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70E9C">
      <w:pPr>
        <w:spacing w:before="480" w:after="12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48"/>
          <w:szCs w:val="48"/>
        </w:rPr>
        <w:t>Olist 巴西电商平台数据分析报告</w:t>
      </w:r>
    </w:p>
    <w:p w14:paraId="159D13B9">
      <w:pPr>
        <w:pStyle w:val="2"/>
        <w:spacing w:before="360" w:after="1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一、数据集介绍</w:t>
      </w:r>
    </w:p>
    <w:p w14:paraId="1C78FB98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1.1 数据背景</w:t>
      </w:r>
    </w:p>
    <w:p w14:paraId="1835B652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Olist 是巴西最大的电商聚合平台之一，本质上是一个连接中小卖家与终端消费者的撮合市场（类似国内的淘宝集市）。本数据集是 Olist 对外开放的公开数据，覆盖 2016 年 9 月至 2018 年 8 月约两年的真实交易记录。</w:t>
      </w:r>
    </w:p>
    <w:p w14:paraId="492594FC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平台的商业逻辑是：卖家入驻 → 消费者下单 → 物流履约 → 买家评价，形成完整闭环。Olist 本身不持有货物，核心能力是流量分发和交易保障。这意味着：</w:t>
      </w:r>
    </w:p>
    <w:p w14:paraId="4915870A">
      <w:pPr>
        <w:spacing w:before="80" w:after="80"/>
        <w:rPr>
          <w:rFonts w:ascii="Arial" w:hAnsi="Arial" w:eastAsia="Arial" w:cs="Arial"/>
          <w:b/>
          <w:bCs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物流履约和卖家服务质量是平台体验的两大命门。</w:t>
      </w:r>
    </w:p>
    <w:p w14:paraId="31E59076">
      <w:pPr>
        <w:spacing w:before="80" w:after="80"/>
        <w:rPr>
          <w:rFonts w:ascii="Arial" w:hAnsi="Arial" w:eastAsia="Arial" w:cs="Arial"/>
          <w:b/>
          <w:b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2F5A919">
      <w:pPr>
        <w:spacing w:before="60" w:after="60"/>
        <w:rPr>
          <w:rFonts w:hint="eastAsia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数据集：Olist Brazilian E-Commerce Public Dataset</w:t>
      </w:r>
    </w:p>
    <w:p w14:paraId="7FD3DAFF">
      <w:pPr>
        <w:spacing w:before="60" w:after="60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分析周期：2016-09 ~ 2018-08（约 2 年）</w:t>
      </w:r>
    </w:p>
    <w:p w14:paraId="2C1A321A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1.2 数据结构与规模</w:t>
      </w:r>
    </w:p>
    <w:p w14:paraId="01297266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数据由 6 张主要关联表构成，涵盖完整的交易链路：</w:t>
      </w:r>
    </w:p>
    <w:p w14:paraId="1B4F736C">
      <w:pPr>
        <w:spacing w:before="60" w:after="60"/>
        <w:rPr>
          <w:color w:val="auto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4526"/>
      </w:tblGrid>
      <w:tr w14:paraId="2B8C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DE4B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表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CB29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记录数</w:t>
            </w:r>
          </w:p>
        </w:tc>
        <w:tc>
          <w:tcPr>
            <w:tcW w:w="4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4D68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核心字段</w:t>
            </w:r>
          </w:p>
        </w:tc>
      </w:tr>
      <w:tr w14:paraId="0860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732F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orders（订单主表）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EF4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99,441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C8C9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订单状态、时间戳、配送日期</w:t>
            </w:r>
          </w:p>
        </w:tc>
      </w:tr>
      <w:tr w14:paraId="247F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F62B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order_items（订单明细）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BD58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112,650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C711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商品、卖家、价格、运费</w:t>
            </w:r>
          </w:p>
        </w:tc>
      </w:tr>
      <w:tr w14:paraId="3B7C2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1999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order_payments（支付）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5D65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103,886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052D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支付方式、分期数、金额</w:t>
            </w:r>
          </w:p>
        </w:tc>
      </w:tr>
      <w:tr w14:paraId="0992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EBAE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customers（客户）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B5EE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99,441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FB1A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地理位置（州/城市）</w:t>
            </w:r>
          </w:p>
        </w:tc>
      </w:tr>
      <w:tr w14:paraId="2D91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A9A9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reviews（评价）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9067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99,224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33AA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评分（1-5星）、评论文本</w:t>
            </w:r>
          </w:p>
        </w:tc>
      </w:tr>
      <w:tr w14:paraId="4341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CDD7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products（商品）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4F0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32,951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943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品类、尺寸重量</w:t>
            </w:r>
          </w:p>
        </w:tc>
      </w:tr>
    </w:tbl>
    <w:p w14:paraId="047E1A67">
      <w:pPr>
        <w:spacing w:before="60" w:after="60"/>
        <w:rPr>
          <w:color w:val="auto"/>
        </w:rPr>
      </w:pPr>
    </w:p>
    <w:p w14:paraId="6A906CC2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数据质量结论：</w:t>
      </w:r>
      <w:r>
        <w:rPr>
          <w:rFonts w:ascii="Arial" w:hAnsi="Arial" w:eastAsia="Arial" w:cs="Arial"/>
          <w:color w:val="auto"/>
          <w:sz w:val="22"/>
          <w:szCs w:val="22"/>
        </w:rPr>
        <w:t>主外键无孤立记录，GMV 两种口径差异仅 -0.018%，数据完整性满足分析要求。reviews 表文本字段缺失率高（评论标题 88%、正文 59%），但这是用户行为特征（多数用户只打分不写评论），不影响评分分析。</w:t>
      </w:r>
    </w:p>
    <w:p w14:paraId="159E1141">
      <w:pPr>
        <w:pStyle w:val="2"/>
        <w:spacing w:before="360" w:after="1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二、分析目标</w:t>
      </w:r>
    </w:p>
    <w:p w14:paraId="3F2DDE71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2.1 核心业务问题</w:t>
      </w:r>
    </w:p>
    <w:p w14:paraId="4B029B2C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面对一个高速扩张的电商平台，需要知道：</w:t>
      </w:r>
    </w:p>
    <w:p w14:paraId="0D0919ED">
      <w:pPr>
        <w:spacing w:before="80" w:after="80"/>
        <w:rPr>
          <w:rFonts w:hint="default" w:eastAsia="宋体"/>
          <w:color w:val="auto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平台增长是否健康？</w:t>
      </w:r>
      <w:r>
        <w:rPr>
          <w:rFonts w:hint="eastAsia" w:eastAsia="宋体" w:cs="Arial"/>
          <w:b/>
          <w:bCs/>
          <w:color w:val="auto"/>
          <w:sz w:val="22"/>
          <w:szCs w:val="22"/>
          <w:lang w:val="en-US" w:eastAsia="zh-CN"/>
        </w:rPr>
        <w:t>如何提高平台发展质量？</w:t>
      </w:r>
    </w:p>
    <w:p w14:paraId="07DCEECA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围绕这个核心问题，平台健康度分析从以下四个维度展开：</w:t>
      </w:r>
    </w:p>
    <w:p w14:paraId="22B8F13C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规模增长：GMV / 订单 / 买家数趋势</w:t>
      </w:r>
    </w:p>
    <w:p w14:paraId="2A838320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用户质量：RFM 分层 / 复购率 / Cohort 留存</w:t>
      </w:r>
    </w:p>
    <w:p w14:paraId="52067C04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履约质量：漏斗转化 / 按时率 / 差评率</w:t>
      </w:r>
    </w:p>
    <w:p w14:paraId="62E94A99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结构分布：品类 × 地域 × 卖家的差异</w:t>
      </w:r>
    </w:p>
    <w:p w14:paraId="63F7BE23">
      <w:pPr>
        <w:pStyle w:val="2"/>
        <w:spacing w:before="360" w:after="180"/>
        <w:rPr>
          <w:rFonts w:hint="eastAsia" w:eastAsia="宋体"/>
          <w:color w:val="auto"/>
          <w:lang w:eastAsia="zh-CN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三、数据分析</w:t>
      </w:r>
      <w:r>
        <w:rPr>
          <w:rFonts w:hint="eastAsia" w:eastAsia="宋体" w:cs="Arial"/>
          <w:b/>
          <w:bCs/>
          <w:color w:val="auto"/>
          <w:sz w:val="32"/>
          <w:szCs w:val="32"/>
          <w:lang w:val="en-US" w:eastAsia="zh-CN"/>
        </w:rPr>
        <w:t xml:space="preserve"> </w:t>
      </w:r>
    </w:p>
    <w:p w14:paraId="1F85699D">
      <w:pPr>
        <w:pStyle w:val="3"/>
        <w:spacing w:before="240" w:after="120"/>
        <w:rPr>
          <w:rFonts w:hint="default" w:ascii="Arial" w:hAnsi="Arial" w:eastAsia="宋体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3.1 </w:t>
      </w:r>
      <w:r>
        <w:rPr>
          <w:rFonts w:ascii="Arial" w:hAnsi="Arial" w:eastAsia="Arial" w:cs="Arial"/>
          <w:b/>
          <w:bCs/>
          <w:color w:val="auto"/>
          <w:sz w:val="28"/>
          <w:szCs w:val="28"/>
          <w:lang w:val="en-US" w:eastAsia="zh-CN"/>
        </w:rPr>
        <w:t>平台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  <w:t>增长：规模高速增长</w:t>
      </w:r>
      <w:r>
        <w:rPr>
          <w:rFonts w:ascii="Arial" w:hAnsi="Arial" w:eastAsia="Arial" w:cs="Arial"/>
          <w:b/>
          <w:bCs/>
          <w:color w:val="auto"/>
          <w:sz w:val="28"/>
          <w:szCs w:val="28"/>
          <w:lang w:eastAsia="zh-CN"/>
        </w:rPr>
        <w:t>，</w:t>
      </w:r>
      <w:r>
        <w:rPr>
          <w:rFonts w:ascii="Arial" w:hAnsi="Arial" w:eastAsia="Arial" w:cs="Arial"/>
          <w:b/>
          <w:bCs/>
          <w:color w:val="auto"/>
          <w:sz w:val="28"/>
          <w:szCs w:val="28"/>
          <w:lang w:val="en-US" w:eastAsia="zh-CN"/>
        </w:rPr>
        <w:t>但开始放缓</w:t>
      </w:r>
    </w:p>
    <w:p w14:paraId="08DBFE79">
      <w:pPr>
        <w:rPr>
          <w:rFonts w:ascii="Arial" w:hAnsi="Arial" w:eastAsia="Arial" w:cs="Arial"/>
          <w:b/>
          <w:bCs/>
          <w:color w:val="auto"/>
          <w:sz w:val="28"/>
          <w:szCs w:val="28"/>
        </w:rPr>
      </w:pPr>
    </w:p>
    <w:p w14:paraId="45E06EF0">
      <w:pPr>
        <w:rPr>
          <w:rFonts w:hint="eastAsia" w:ascii="Arial" w:hAnsi="Arial" w:eastAsia="宋体" w:cs="Arial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Arial" w:hAnsi="Arial" w:eastAsia="宋体" w:cs="Arial"/>
          <w:b/>
          <w:bCs/>
          <w:color w:val="auto"/>
          <w:sz w:val="28"/>
          <w:szCs w:val="28"/>
          <w:lang w:eastAsia="zh-CN"/>
        </w:rPr>
        <w:drawing>
          <wp:inline distT="0" distB="0" distL="114300" distR="114300">
            <wp:extent cx="5727700" cy="3860800"/>
            <wp:effectExtent l="0" t="0" r="0" b="0"/>
            <wp:docPr id="1" name="图片 1" descr="月度买家与订单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月度买家与订单趋势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14F5">
      <w:pPr>
        <w:pStyle w:val="16"/>
        <w:numPr>
          <w:ilvl w:val="0"/>
          <w:numId w:val="0"/>
        </w:numPr>
        <w:spacing w:before="60" w:after="60"/>
        <w:ind w:left="360" w:leftChars="0"/>
        <w:jc w:val="center"/>
        <w:rPr>
          <w:rFonts w:hint="default" w:ascii="Arial" w:hAnsi="Arial" w:eastAsia="Arial" w:cs="Arial"/>
          <w:b/>
          <w:bCs/>
          <w:color w:val="auto"/>
          <w:sz w:val="21"/>
          <w:szCs w:val="21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>图 订单与买家月趋势</w:t>
      </w:r>
    </w:p>
    <w:p w14:paraId="3803FA06">
      <w:pPr>
        <w:rPr>
          <w:rFonts w:hint="eastAsia" w:ascii="Arial" w:hAnsi="Arial" w:eastAsia="宋体" w:cs="Arial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Arial" w:hAnsi="Arial" w:eastAsia="宋体" w:cs="Arial"/>
          <w:b/>
          <w:bCs/>
          <w:color w:val="auto"/>
          <w:sz w:val="28"/>
          <w:szCs w:val="28"/>
          <w:lang w:eastAsia="zh-CN"/>
        </w:rPr>
        <w:drawing>
          <wp:inline distT="0" distB="0" distL="114300" distR="114300">
            <wp:extent cx="5715000" cy="2921635"/>
            <wp:effectExtent l="0" t="0" r="0" b="12065"/>
            <wp:docPr id="2" name="图片 2" descr="月度GM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月度GM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6806">
      <w:pPr>
        <w:pStyle w:val="16"/>
        <w:numPr>
          <w:ilvl w:val="0"/>
          <w:numId w:val="0"/>
        </w:numPr>
        <w:spacing w:before="60" w:after="60"/>
        <w:ind w:left="360" w:leftChars="0"/>
        <w:jc w:val="center"/>
        <w:rPr>
          <w:rFonts w:hint="default" w:ascii="Arial" w:hAnsi="Arial" w:eastAsia="Arial" w:cs="Arial"/>
          <w:b/>
          <w:bCs/>
          <w:color w:val="auto"/>
          <w:sz w:val="21"/>
          <w:szCs w:val="21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>图 gmv月趋势</w:t>
      </w:r>
    </w:p>
    <w:p w14:paraId="2EB7B9D5">
      <w:pPr>
        <w:rPr>
          <w:rFonts w:hint="eastAsia" w:ascii="Arial" w:hAnsi="Arial" w:eastAsia="宋体" w:cs="Arial"/>
          <w:b/>
          <w:bCs/>
          <w:color w:val="auto"/>
          <w:sz w:val="28"/>
          <w:szCs w:val="28"/>
          <w:lang w:eastAsia="zh-CN"/>
        </w:rPr>
      </w:pPr>
    </w:p>
    <w:p w14:paraId="6BBD9937">
      <w:pPr>
        <w:spacing w:before="80" w:after="80"/>
        <w:rPr>
          <w:rFonts w:hint="eastAsia" w:eastAsia="宋体"/>
          <w:color w:val="auto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表象：</w:t>
      </w:r>
      <w:r>
        <w:rPr>
          <w:rFonts w:ascii="Arial" w:hAnsi="Arial" w:eastAsia="Arial" w:cs="Arial"/>
          <w:color w:val="auto"/>
          <w:sz w:val="22"/>
          <w:szCs w:val="22"/>
        </w:rPr>
        <w:t>平台从 2016 年数百单/月成长至 2018 年约 6,000~7,000 单/月，两年增长超 20 倍，GMV 累计约 R$1,540 万，呈典型的高速扩张曲线。</w:t>
      </w:r>
    </w:p>
    <w:p w14:paraId="36826AC5">
      <w:pPr>
        <w:spacing w:before="80" w:after="80"/>
        <w:rPr>
          <w:color w:val="auto"/>
        </w:rPr>
      </w:pPr>
    </w:p>
    <w:p w14:paraId="7ABEAA43">
      <w:pPr>
        <w:spacing w:before="80" w:after="80"/>
        <w:rPr>
          <w:rFonts w:hint="default" w:eastAsia="宋体"/>
          <w:b/>
          <w:bCs/>
          <w:color w:val="auto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lang w:val="en-US" w:eastAsia="zh-CN"/>
        </w:rPr>
        <w:t>问题：</w:t>
      </w:r>
      <w:r>
        <w:rPr>
          <w:rFonts w:ascii="Arial" w:hAnsi="Arial" w:eastAsia="Arial" w:cs="Arial"/>
          <w:color w:val="auto"/>
          <w:lang w:val="en-US" w:eastAsia="zh-CN"/>
        </w:rPr>
        <w:t>从数据可以看出，相较于2016-2017年的高速增长，2017-2018年增速开始放缓，甚至出现回落趋势，</w:t>
      </w:r>
      <w:r>
        <w:rPr>
          <w:rFonts w:ascii="Arial" w:hAnsi="Arial" w:eastAsia="Arial" w:cs="Arial"/>
          <w:b/>
          <w:bCs/>
          <w:color w:val="auto"/>
          <w:lang w:val="en-US" w:eastAsia="zh-CN"/>
        </w:rPr>
        <w:t>平台发展遇到瓶颈。</w:t>
      </w:r>
    </w:p>
    <w:p w14:paraId="00B480B6">
      <w:pPr>
        <w:spacing w:before="60" w:after="60"/>
        <w:rPr>
          <w:rFonts w:hint="eastAsia"/>
          <w:color w:val="auto"/>
        </w:rPr>
      </w:pPr>
    </w:p>
    <w:p w14:paraId="261D0D96">
      <w:pPr>
        <w:spacing w:before="60" w:after="60"/>
        <w:rPr>
          <w:rFonts w:hint="eastAsia"/>
          <w:b/>
          <w:bCs/>
          <w:color w:val="auto"/>
        </w:rPr>
      </w:pPr>
      <w:r>
        <w:rPr>
          <w:rFonts w:ascii="Arial" w:hAnsi="Arial" w:eastAsia="Arial" w:cs="Arial"/>
          <w:b/>
          <w:bCs/>
          <w:color w:val="auto"/>
        </w:rPr>
        <w:t>数据</w:t>
      </w:r>
      <w:r>
        <w:rPr>
          <w:rFonts w:ascii="Arial" w:hAnsi="Arial" w:eastAsia="Arial" w:cs="Arial"/>
          <w:b/>
          <w:bCs/>
          <w:color w:val="auto"/>
          <w:lang w:val="en-US" w:eastAsia="zh-CN"/>
        </w:rPr>
        <w:t>还</w:t>
      </w:r>
      <w:r>
        <w:rPr>
          <w:rFonts w:ascii="Arial" w:hAnsi="Arial" w:eastAsia="Arial" w:cs="Arial"/>
          <w:b/>
          <w:bCs/>
          <w:color w:val="auto"/>
        </w:rPr>
        <w:t>揭示了两个反常信号：</w:t>
      </w:r>
    </w:p>
    <w:p w14:paraId="5F66EC79">
      <w:pPr>
        <w:spacing w:before="60" w:after="60"/>
        <w:rPr>
          <w:rFonts w:hint="eastAsia"/>
          <w:color w:val="auto"/>
        </w:rPr>
      </w:pPr>
    </w:p>
    <w:p w14:paraId="67D51BB2">
      <w:pPr>
        <w:spacing w:before="60" w:after="60"/>
        <w:rPr>
          <w:rFonts w:hint="eastAsia"/>
          <w:color w:val="auto"/>
        </w:rPr>
      </w:pPr>
      <w:r>
        <w:rPr>
          <w:rFonts w:ascii="Arial" w:hAnsi="Arial" w:eastAsia="Arial" w:cs="Arial"/>
          <w:b/>
          <w:bCs/>
          <w:color w:val="auto"/>
        </w:rPr>
        <w:t>第一，大促驱动增长，但带来系统性履约压力。</w:t>
      </w:r>
      <w:r>
        <w:rPr>
          <w:rFonts w:ascii="Arial" w:hAnsi="Arial" w:eastAsia="Arial" w:cs="Arial"/>
          <w:color w:val="auto"/>
        </w:rPr>
        <w:t xml:space="preserve">2017 年 11 月（黑色星期五）是全周期 GMV 峰值月（R$115 万），然而同月按时率从正常的 93~96% 跌至 </w:t>
      </w:r>
      <w:r>
        <w:rPr>
          <w:rFonts w:ascii="Arial" w:hAnsi="Arial" w:eastAsia="Arial" w:cs="Arial"/>
          <w:b/>
          <w:bCs/>
          <w:color w:val="auto"/>
        </w:rPr>
        <w:t>88.76%</w:t>
      </w:r>
      <w:r>
        <w:rPr>
          <w:rFonts w:ascii="Arial" w:hAnsi="Arial" w:eastAsia="Arial" w:cs="Arial"/>
          <w:color w:val="auto"/>
        </w:rPr>
        <w:t xml:space="preserve">，差评率飙升至 </w:t>
      </w:r>
      <w:r>
        <w:rPr>
          <w:rFonts w:ascii="Arial" w:hAnsi="Arial" w:eastAsia="Arial" w:cs="Arial"/>
          <w:b/>
          <w:bCs/>
          <w:color w:val="auto"/>
        </w:rPr>
        <w:t>14.4%</w:t>
      </w:r>
      <w:r>
        <w:rPr>
          <w:rFonts w:ascii="Arial" w:hAnsi="Arial" w:eastAsia="Arial" w:cs="Arial"/>
          <w:color w:val="auto"/>
        </w:rPr>
        <w:t>。这说明平台承接大促流量的供应链韧性不足——订单涌入时，物流和卖家首先承压，最终由消费者体验买单。</w:t>
      </w:r>
    </w:p>
    <w:p w14:paraId="52B62F6A">
      <w:pPr>
        <w:spacing w:before="60" w:after="60"/>
        <w:rPr>
          <w:rFonts w:hint="eastAsia"/>
          <w:color w:val="auto"/>
        </w:rPr>
      </w:pPr>
    </w:p>
    <w:p w14:paraId="06319D66">
      <w:pPr>
        <w:spacing w:before="60" w:after="60"/>
        <w:rPr>
          <w:rFonts w:hint="eastAsia"/>
          <w:color w:val="auto"/>
        </w:rPr>
      </w:pPr>
      <w:r>
        <w:rPr>
          <w:rFonts w:ascii="Arial" w:hAnsi="Arial" w:eastAsia="Arial" w:cs="Arial"/>
          <w:color w:val="auto"/>
        </w:rPr>
        <w:t>第二，</w:t>
      </w:r>
      <w:r>
        <w:rPr>
          <w:rFonts w:ascii="Arial" w:hAnsi="Arial" w:eastAsia="Arial" w:cs="Arial"/>
          <w:b/>
          <w:bCs/>
          <w:color w:val="auto"/>
        </w:rPr>
        <w:t>2018 年 3 月出现系统性异常</w:t>
      </w:r>
      <w:r>
        <w:rPr>
          <w:rFonts w:ascii="Arial" w:hAnsi="Arial" w:eastAsia="Arial" w:cs="Arial"/>
          <w:color w:val="auto"/>
        </w:rPr>
        <w:t>。该月按时率仅</w:t>
      </w:r>
      <w:r>
        <w:rPr>
          <w:rFonts w:ascii="Arial" w:hAnsi="Arial" w:eastAsia="Arial" w:cs="Arial"/>
          <w:b/>
          <w:bCs/>
          <w:color w:val="auto"/>
        </w:rPr>
        <w:t xml:space="preserve"> 78.92%</w:t>
      </w:r>
      <w:r>
        <w:rPr>
          <w:rFonts w:ascii="Arial" w:hAnsi="Arial" w:eastAsia="Arial" w:cs="Arial"/>
          <w:color w:val="auto"/>
        </w:rPr>
        <w:t xml:space="preserve">，差评率高达 </w:t>
      </w:r>
      <w:r>
        <w:rPr>
          <w:rFonts w:ascii="Arial" w:hAnsi="Arial" w:eastAsia="Arial" w:cs="Arial"/>
          <w:b/>
          <w:bCs/>
          <w:color w:val="auto"/>
        </w:rPr>
        <w:t>20.82%</w:t>
      </w:r>
      <w:r>
        <w:rPr>
          <w:rFonts w:ascii="Arial" w:hAnsi="Arial" w:eastAsia="Arial" w:cs="Arial"/>
          <w:color w:val="auto"/>
        </w:rPr>
        <w:t>，是整个分析周期最严重的履约崩溃，且无明显的外部解释（非大促月）。这是一个值得专项复盘的风险事件——若是某一关键物流合作商出现故障或卖家集中违规，说明平台对单点依赖的风险管控存在漏洞。</w:t>
      </w:r>
    </w:p>
    <w:p w14:paraId="01F044D8">
      <w:pPr>
        <w:spacing w:before="60" w:after="60"/>
        <w:rPr>
          <w:rFonts w:hint="eastAsia"/>
          <w:color w:val="auto"/>
        </w:rPr>
      </w:pPr>
    </w:p>
    <w:p w14:paraId="497A09BE">
      <w:pPr>
        <w:spacing w:before="60" w:after="60"/>
        <w:rPr>
          <w:rFonts w:hint="eastAsia"/>
          <w:color w:val="auto"/>
        </w:rPr>
      </w:pPr>
    </w:p>
    <w:p w14:paraId="14877EBB">
      <w:pPr>
        <w:pStyle w:val="3"/>
        <w:spacing w:before="240" w:after="120"/>
        <w:rPr>
          <w:rFonts w:ascii="Arial" w:hAnsi="Arial" w:eastAsia="Arial" w:cs="Arial"/>
          <w:b/>
          <w:bCs/>
          <w:color w:val="auto"/>
          <w:sz w:val="28"/>
          <w:szCs w:val="28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3.2 用户质量</w:t>
      </w:r>
    </w:p>
    <w:p w14:paraId="5353C0A5">
      <w:pPr>
        <w:spacing w:before="80" w:after="8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>3.2.1 用户行为</w:t>
      </w:r>
    </w:p>
    <w:p w14:paraId="3A3AF40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8335" cy="3169285"/>
            <wp:effectExtent l="0" t="0" r="12065" b="5715"/>
            <wp:docPr id="3" name="图片 3" descr="时活跃用户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时活跃用户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972E">
      <w:pPr>
        <w:spacing w:before="80" w:after="80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>图 分时间段用户活跃量</w:t>
      </w:r>
    </w:p>
    <w:p w14:paraId="5A345D49">
      <w:pPr>
        <w:rPr>
          <w:rFonts w:hint="eastAsia" w:eastAsia="宋体"/>
          <w:lang w:eastAsia="zh-CN"/>
        </w:rPr>
      </w:pPr>
    </w:p>
    <w:p w14:paraId="287C7D0E">
      <w:pPr>
        <w:spacing w:before="80" w:after="80"/>
        <w:rPr>
          <w:rFonts w:hint="eastAsia" w:eastAsia="宋体"/>
          <w:color w:val="auto"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>用户行为观察：</w:t>
      </w:r>
      <w:r>
        <w:rPr>
          <w:rFonts w:ascii="Arial" w:hAnsi="Arial" w:eastAsia="Arial" w:cs="Arial"/>
          <w:lang w:val="en-US" w:eastAsia="zh-CN"/>
        </w:rPr>
        <w:t>上午10点到晚上22点的用户数和订单数明显高于平均水平，是用户活跃时段，其中12点和18点推测由于饭点休息时间导致活跃度略有下滑。22点后用户数和订单数明显下降，到次日5点后开始回升，直到9点后逐渐恢复到正常活跃水平。</w:t>
      </w:r>
    </w:p>
    <w:p w14:paraId="738F8F0D">
      <w:pPr>
        <w:spacing w:before="80" w:after="80"/>
        <w:rPr>
          <w:rFonts w:hint="default" w:ascii="Arial" w:hAnsi="Arial" w:eastAsia="宋体" w:cs="Arial"/>
          <w:b/>
          <w:bCs/>
          <w:color w:val="auto"/>
          <w:sz w:val="22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>3.2.2 用户留存</w:t>
      </w:r>
    </w:p>
    <w:p w14:paraId="5BDDD0C7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93,358 名历史买家中，只有 1,693 人完成了二次购买。</w:t>
      </w:r>
    </w:p>
    <w:p w14:paraId="580E8B00">
      <w:pPr>
        <w:spacing w:before="60" w:after="60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28970" cy="2189480"/>
            <wp:effectExtent l="0" t="0" r="11430" b="7620"/>
            <wp:docPr id="4" name="图片 4" descr="工作表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工作表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6CFF">
      <w:pPr>
        <w:spacing w:before="60" w:after="60"/>
        <w:rPr>
          <w:rFonts w:hint="eastAsia" w:eastAsia="宋体"/>
          <w:color w:val="auto"/>
          <w:lang w:eastAsia="zh-CN"/>
        </w:rPr>
      </w:pPr>
    </w:p>
    <w:p w14:paraId="41C17014">
      <w:pPr>
        <w:spacing w:before="60" w:after="60"/>
        <w:rPr>
          <w:rFonts w:hint="eastAsia" w:eastAsia="宋体"/>
          <w:color w:val="auto"/>
          <w:lang w:eastAsia="zh-CN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026"/>
      </w:tblGrid>
      <w:tr w14:paraId="352F5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FF72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留存节点</w:t>
            </w:r>
          </w:p>
        </w:tc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0C9D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留存率</w:t>
            </w:r>
          </w:p>
        </w:tc>
        <w:tc>
          <w:tcPr>
            <w:tcW w:w="4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963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行业参考值</w:t>
            </w:r>
          </w:p>
        </w:tc>
      </w:tr>
      <w:tr w14:paraId="4A80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434E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首购后第 1 个月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AEE0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0.45%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BF86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健康电商：20~30%</w:t>
            </w:r>
          </w:p>
        </w:tc>
      </w:tr>
      <w:tr w14:paraId="4BE9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FAB7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首购后第 6 个月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C0AA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0.14%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2156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健康电商：5~15%</w:t>
            </w:r>
          </w:p>
        </w:tc>
      </w:tr>
      <w:tr w14:paraId="31F2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86C4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首购后第 12 个月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B7F2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0.04%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E98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—</w:t>
            </w:r>
          </w:p>
        </w:tc>
      </w:tr>
    </w:tbl>
    <w:p w14:paraId="0D4DCD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5FD7E4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163AA3C7">
      <w:pPr>
        <w:spacing w:before="80" w:after="8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这组数字意味着：</w:t>
      </w:r>
      <w:r>
        <w:rPr>
          <w:rFonts w:ascii="Arial" w:hAnsi="Arial" w:eastAsia="Arial" w:cs="Arial"/>
          <w:color w:val="FF0000"/>
          <w:sz w:val="22"/>
          <w:szCs w:val="22"/>
        </w:rPr>
        <w:t>平台的增长几乎全部由新客驱动，而非老客贡献复购。</w:t>
      </w:r>
      <w:r>
        <w:rPr>
          <w:rFonts w:ascii="Arial" w:hAnsi="Arial" w:eastAsia="Arial" w:cs="Arial"/>
          <w:color w:val="auto"/>
          <w:sz w:val="22"/>
          <w:szCs w:val="22"/>
        </w:rPr>
        <w:t>每一笔营销投入获取的用户，只能产生约一次订单的收益。这是商业模式上的根本性低效。</w:t>
      </w:r>
    </w:p>
    <w:p w14:paraId="2D62DF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7F9E1E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162B7B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2DA3A7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2A39A28D">
      <w:pPr>
        <w:spacing w:before="60" w:after="60"/>
        <w:rPr>
          <w:rFonts w:hint="eastAsia" w:eastAsia="宋体"/>
          <w:color w:val="auto"/>
          <w:lang w:eastAsia="zh-CN"/>
        </w:rPr>
      </w:pPr>
      <w:bookmarkStart w:id="0" w:name="_GoBack"/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23890" cy="4170680"/>
            <wp:effectExtent l="0" t="0" r="3810" b="7620"/>
            <wp:docPr id="5" name="图片 5" descr="仪表板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仪表板 3"/>
                    <pic:cNvPicPr>
                      <a:picLocks noChangeAspect="1"/>
                    </pic:cNvPicPr>
                  </pic:nvPicPr>
                  <pic:blipFill>
                    <a:blip r:embed="rId9"/>
                    <a:srcRect b="3099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3F793FD">
      <w:pPr>
        <w:spacing w:before="80" w:after="80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>图 用户RFM分层各类型占比</w:t>
      </w:r>
    </w:p>
    <w:p w14:paraId="2DF5F022">
      <w:pPr>
        <w:spacing w:before="60" w:after="60"/>
        <w:rPr>
          <w:rFonts w:hint="eastAsia" w:eastAsia="宋体"/>
          <w:color w:val="auto"/>
          <w:lang w:eastAsia="zh-CN"/>
        </w:rPr>
      </w:pPr>
    </w:p>
    <w:p w14:paraId="0ACADCAD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RFM 分层进一步揭示了漏洞的结构：</w:t>
      </w:r>
    </w:p>
    <w:p w14:paraId="1E1FE399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新客（37%）</w:t>
      </w:r>
    </w:p>
    <w:p w14:paraId="4F7BF5B4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流失风险客户（At Risk，20.6%）</w:t>
      </w:r>
    </w:p>
    <w:p w14:paraId="34933C92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超级用户（Champions，仅 1%）</w:t>
      </w:r>
    </w:p>
    <w:p w14:paraId="05634B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46D9E0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3E7CEC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113"/>
        <w:gridCol w:w="1059"/>
        <w:gridCol w:w="1213"/>
        <w:gridCol w:w="1225"/>
        <w:gridCol w:w="1326"/>
        <w:gridCol w:w="1311"/>
      </w:tblGrid>
      <w:tr w14:paraId="4A12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0BC27E0C">
            <w:pPr>
              <w:widowControl w:val="0"/>
              <w:snapToGrid w:val="0"/>
              <w:spacing w:before="480" w:after="12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i w:val="0"/>
                <w:color w:val="FFFFFF"/>
                <w:sz w:val="24"/>
                <w:szCs w:val="22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color w:val="FFFFFF"/>
                <w:sz w:val="24"/>
                <w:szCs w:val="48"/>
              </w:rPr>
              <w:t>分层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39B18BDD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i w:val="0"/>
                <w:strike w:val="0"/>
                <w:color w:val="FFFFFF"/>
                <w:sz w:val="24"/>
                <w:u w:val="none"/>
                <w:lang w:eastAsia="zh-CN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FFFFFF"/>
                <w:sz w:val="24"/>
                <w:u w:val="none"/>
              </w:rPr>
              <w:t>用户数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5B6D5FFF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i w:val="0"/>
                <w:strike w:val="0"/>
                <w:color w:val="FFFFFF"/>
                <w:sz w:val="24"/>
                <w:u w:val="none"/>
                <w:lang w:eastAsia="zh-CN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FFFFFF"/>
                <w:sz w:val="24"/>
                <w:u w:val="none"/>
              </w:rPr>
              <w:t>占比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2FDA4417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i w:val="0"/>
                <w:strike w:val="0"/>
                <w:color w:val="FFFFFF"/>
                <w:sz w:val="24"/>
                <w:u w:val="none"/>
                <w:lang w:eastAsia="zh-CN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FFFFFF"/>
                <w:sz w:val="24"/>
                <w:u w:val="none"/>
              </w:rPr>
              <w:t>平均最近购买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7436F2A8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b/>
                <w:i w:val="0"/>
                <w:strike w:val="0"/>
                <w:color w:val="FFFFFF"/>
                <w:sz w:val="24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FFFFFF"/>
                <w:sz w:val="24"/>
                <w:u w:val="none"/>
              </w:rPr>
              <w:t>平均购买次数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0C5EB884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b/>
                <w:i w:val="0"/>
                <w:strike w:val="0"/>
                <w:color w:val="FFFFFF"/>
                <w:sz w:val="24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FFFFFF"/>
                <w:sz w:val="24"/>
                <w:u w:val="none"/>
              </w:rPr>
              <w:t>平均消费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1F4E79"/>
            <w:vAlign w:val="center"/>
          </w:tcPr>
          <w:p w14:paraId="08CEC32A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b/>
                <w:i w:val="0"/>
                <w:strike w:val="0"/>
                <w:color w:val="FFFFFF"/>
                <w:sz w:val="24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FFFFFF"/>
                <w:sz w:val="24"/>
                <w:u w:val="none"/>
              </w:rPr>
              <w:t>GMV贡献</w:t>
            </w:r>
          </w:p>
        </w:tc>
      </w:tr>
      <w:tr w14:paraId="736E3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476C0AA7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New Customers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33942339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35,342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1AAE7FF0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37.9%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7A2A1311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89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2450D272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1.00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6579E3F4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R$ 164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5E69092D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37.7%</w:t>
            </w:r>
          </w:p>
        </w:tc>
      </w:tr>
      <w:tr w14:paraId="331D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5D03E6D6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At Risk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0CE8AE3E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19,720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1E8378B7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21.1%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67225564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321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661531FA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1.05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24C3AA27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R$ 170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4675F6AC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21.8%</w:t>
            </w:r>
          </w:p>
        </w:tc>
      </w:tr>
      <w:tr w14:paraId="1BC8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6CFC10D8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Potential Loyalist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2585BE74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16,670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087EEB2E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17.9%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4FAFD1C9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224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769C5A7D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1.04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4CA393C7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R$ 156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41037F9F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16.8%</w:t>
            </w:r>
          </w:p>
        </w:tc>
      </w:tr>
      <w:tr w14:paraId="66E6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2269357E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Others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19CEB937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12,454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7304A1CD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13.3%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14FFB0B9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418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1EB83253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1.01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0EF0F706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R$ 221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6DC9FD07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17.8%</w:t>
            </w:r>
          </w:p>
        </w:tc>
      </w:tr>
      <w:tr w14:paraId="4FCB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7CCF6AC6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Hibernating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1FEA9796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7,561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04A73B11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8.1%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4572B766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476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36D9D6BD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1.00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5B00B6D0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R$ 55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695038C9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2.7%</w:t>
            </w:r>
          </w:p>
        </w:tc>
      </w:tr>
      <w:tr w14:paraId="474D5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69F66422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Champions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7A054898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984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01A3AC5E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1.1%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04E07900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88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7CA8E8EE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2.18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6934ED55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R$ 373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auto"/>
            <w:vAlign w:val="center"/>
          </w:tcPr>
          <w:p w14:paraId="25AA26D2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2.4%</w:t>
            </w:r>
          </w:p>
        </w:tc>
      </w:tr>
      <w:tr w14:paraId="21A4E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17C2CBAC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Loyal</w:t>
            </w:r>
          </w:p>
        </w:tc>
        <w:tc>
          <w:tcPr>
            <w:tcW w:w="111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12D6FAC8">
            <w:pPr>
              <w:snapToGrid w:val="0"/>
              <w:spacing w:after="120" w:line="240" w:lineRule="auto"/>
              <w:ind w:left="0" w:leftChars="0" w:right="0" w:rightChars="0" w:firstLine="0" w:firstLineChars="0"/>
              <w:jc w:val="lef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627</w:t>
            </w:r>
          </w:p>
        </w:tc>
        <w:tc>
          <w:tcPr>
            <w:tcW w:w="10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7DDB6E05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0.7%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0E60763C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121 天</w:t>
            </w:r>
          </w:p>
        </w:tc>
        <w:tc>
          <w:tcPr>
            <w:tcW w:w="12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79D5E051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1.24</w:t>
            </w:r>
          </w:p>
        </w:tc>
        <w:tc>
          <w:tcPr>
            <w:tcW w:w="132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5DB053CE">
            <w:pPr>
              <w:snapToGrid w:val="0"/>
              <w:spacing w:after="120" w:line="240" w:lineRule="auto"/>
              <w:ind w:left="0" w:leftChars="0" w:right="0" w:rightChars="0" w:firstLine="0" w:firstLineChars="0"/>
              <w:jc w:val="center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R$ 196</w:t>
            </w:r>
          </w:p>
        </w:tc>
        <w:tc>
          <w:tcPr>
            <w:tcW w:w="131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BF3FB"/>
            <w:vAlign w:val="center"/>
          </w:tcPr>
          <w:p w14:paraId="45B9DA7F">
            <w:pPr>
              <w:snapToGrid w:val="0"/>
              <w:spacing w:after="120" w:line="240" w:lineRule="auto"/>
              <w:ind w:left="0" w:leftChars="0" w:right="0" w:rightChars="0" w:firstLine="0" w:firstLineChars="0"/>
              <w:jc w:val="right"/>
              <w:rPr>
                <w:rFonts w:eastAsia="宋体"/>
                <w:b w:val="0"/>
                <w:i w:val="0"/>
                <w:strike w:val="0"/>
                <w:color w:val="000000"/>
                <w:sz w:val="24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</w:rPr>
              <w:t>0.8%</w:t>
            </w:r>
          </w:p>
        </w:tc>
      </w:tr>
    </w:tbl>
    <w:p w14:paraId="070C5A62">
      <w:pPr>
        <w:spacing w:before="60" w:after="60"/>
        <w:rPr>
          <w:color w:val="auto"/>
        </w:rPr>
      </w:pPr>
    </w:p>
    <w:p w14:paraId="4CB937DF">
      <w:pPr>
        <w:spacing w:before="80" w:after="80"/>
        <w:rPr>
          <w:rFonts w:hint="default" w:ascii="Arial" w:hAnsi="Arial" w:eastAsia="宋体" w:cs="Arial"/>
          <w:b/>
          <w:bCs/>
          <w:color w:val="auto"/>
          <w:sz w:val="22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>可以看出：</w:t>
      </w:r>
    </w:p>
    <w:p w14:paraId="716CDDC3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① 平台严重依赖新用户，高价值用户极度稀缺</w:t>
      </w:r>
    </w:p>
    <w:p w14:paraId="0172811D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②</w:t>
      </w:r>
      <w:r>
        <w:rPr>
          <w:rFonts w:ascii="Arial" w:hAnsi="Arial" w:eastAsia="Arial" w:cs="Arial"/>
          <w:b/>
          <w:bCs/>
          <w:color w:val="auto"/>
          <w:sz w:val="22"/>
          <w:szCs w:val="22"/>
        </w:rPr>
        <w:t xml:space="preserve"> New Customers 是最大的单一群体，也是最大的机会</w:t>
      </w:r>
    </w:p>
    <w:p w14:paraId="10BA89D3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37.9% 的用户是"新客"（最近 89 天内首购，仅购买一次）。他们刚刚完成首购体验，是转化为 Loyal 用户的最佳窗口期。如果不在 30–60 天内触达，他们将滑向 Potential Loyalist 甚至 At Risk。</w:t>
      </w:r>
    </w:p>
    <w:p w14:paraId="497CDC8D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③ At Risk 群体量大且消费力不弱，是沉默的高价值用户</w:t>
      </w:r>
    </w:p>
    <w:p w14:paraId="638508B0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19,720 名 At Risk 用户平均消费 R$ 170，距上次购买已321 天，接近一年未活跃。这部分用户曾经消费，说明对平台有过认可，但不知为何沉默。如果能唤醒哪怕 5%，就是约 1,000 笔潜在复购订单。</w:t>
      </w:r>
    </w:p>
    <w:p w14:paraId="75658D81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④ Others 是数据异常层，需留意</w:t>
      </w:r>
    </w:p>
    <w:p w14:paraId="2547808B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Others（13.3%）的平均消费 R$ 221 是所有分层中第二高，但最近购买距今418 天，频次极低（1.01）。这部分用户的高消费可能来自一次性大额购买（如家电、3C），属于"高价值但已流失"的群体，召回难度高但回报潜力大。</w:t>
      </w:r>
    </w:p>
    <w:p w14:paraId="5C45563D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⑤ Champions 客单价是平均水平的 2.3 倍</w:t>
      </w:r>
    </w:p>
    <w:p w14:paraId="6C90BC1D">
      <w:pPr>
        <w:spacing w:before="80" w:after="8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Champions 平均消费 R$ 373，平均购买 2.18 次，最近购买距今仅 88 天——是平台最活跃、最优质的用户。尽管只有 984 人，对他们的维护直接决定口碑和 LTV 上限。</w:t>
      </w:r>
    </w:p>
    <w:p w14:paraId="675CABC0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3.3 履约漏斗</w:t>
      </w:r>
    </w:p>
    <w:p w14:paraId="7D6F6B1A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全量订单漏斗数据：下单(100%) → 支付(98.76%) → 发货(98.13%) → 送达(97.02%) → 评价(96.37%)</w:t>
      </w:r>
    </w:p>
    <w:p w14:paraId="037904BB">
      <w:pPr>
        <w:spacing w:before="60" w:after="60"/>
        <w:rPr>
          <w:color w:val="auto"/>
        </w:rPr>
      </w:pPr>
    </w:p>
    <w:p w14:paraId="28D15B54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整体送达率 97% 是相对健康的水平。然而，漏斗数字掩盖了结构性差异——送达和好体验地送达是两件不同的事。</w:t>
      </w:r>
    </w:p>
    <w:p w14:paraId="70E39E31">
      <w:pPr>
        <w:spacing w:before="60" w:after="60"/>
        <w:rPr>
          <w:color w:val="auto"/>
        </w:rPr>
      </w:pPr>
    </w:p>
    <w:p w14:paraId="71F6E63F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真正值得关注的是：在 96,478 笔已送达订单中，有 12,225 笔（12.76%）收到了差评（评分 ≤ 2 分）。这意味着每 8 个成功送达的订单，就有 1 个以差评告终。订单被送到了，但用户的体验并没有被送到。</w:t>
      </w:r>
    </w:p>
    <w:p w14:paraId="778D80A8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3.4 差评根因</w:t>
      </w:r>
    </w:p>
    <w:p w14:paraId="67312A44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关键发现：</w:t>
      </w:r>
      <w:r>
        <w:rPr>
          <w:rFonts w:ascii="Arial" w:hAnsi="Arial" w:eastAsia="Arial" w:cs="Arial"/>
          <w:color w:val="auto"/>
          <w:sz w:val="22"/>
          <w:szCs w:val="22"/>
        </w:rPr>
        <w:t>配送延迟是差评的驱动因子，且其影响呈非线性爆发。</w:t>
      </w:r>
    </w:p>
    <w:p w14:paraId="199A9DE8">
      <w:pPr>
        <w:spacing w:before="60" w:after="60"/>
        <w:rPr>
          <w:color w:val="auto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026"/>
      </w:tblGrid>
      <w:tr w14:paraId="2AA8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FB90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延迟情况</w:t>
            </w:r>
          </w:p>
        </w:tc>
        <w:tc>
          <w:tcPr>
            <w:tcW w:w="4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C4D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差评率</w:t>
            </w:r>
          </w:p>
        </w:tc>
      </w:tr>
      <w:tr w14:paraId="4FA2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FAE1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准时（0天延迟）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8434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9.17%</w:t>
            </w:r>
          </w:p>
        </w:tc>
      </w:tr>
      <w:tr w14:paraId="1B1D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6F65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延迟 1-3 天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E4E3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31.82%</w:t>
            </w:r>
          </w:p>
        </w:tc>
      </w:tr>
      <w:tr w14:paraId="4877E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54F9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延迟 4-7 天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48BE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65.48%</w:t>
            </w:r>
          </w:p>
        </w:tc>
      </w:tr>
      <w:tr w14:paraId="0E56C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9FCB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延迟 8 天以上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6F5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76.90%</w:t>
            </w:r>
          </w:p>
        </w:tc>
      </w:tr>
    </w:tbl>
    <w:p w14:paraId="483765D2">
      <w:pPr>
        <w:spacing w:before="60" w:after="60"/>
        <w:rPr>
          <w:color w:val="auto"/>
        </w:rPr>
      </w:pPr>
    </w:p>
    <w:p w14:paraId="72DAF3B2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延迟哪怕只有 1 天，差评率就从 9% 跳升至 32%——提升了 3.5 倍。这说明消费者对承诺交期的容忍度极低，预期管理比物流速度本身更重要。</w:t>
      </w:r>
    </w:p>
    <w:p w14:paraId="393AE15F">
      <w:pPr>
        <w:spacing w:before="60" w:after="60"/>
        <w:rPr>
          <w:color w:val="auto"/>
        </w:rPr>
      </w:pPr>
    </w:p>
    <w:p w14:paraId="52E1CD1F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延迟 8 天以上，77% 的订单会收到差评——这几乎是确定性差评。此时已经没有补救的机会，唯一有效的干预是事前预防，而非事后处理。</w:t>
      </w:r>
    </w:p>
    <w:p w14:paraId="49F42CAC">
      <w:pPr>
        <w:spacing w:before="60" w:after="60"/>
        <w:rPr>
          <w:color w:val="auto"/>
        </w:rPr>
      </w:pPr>
    </w:p>
    <w:p w14:paraId="3E87B951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配送时长与差评率：</w:t>
      </w:r>
    </w:p>
    <w:p w14:paraId="38E9598E">
      <w:pPr>
        <w:spacing w:before="60" w:after="60"/>
        <w:rPr>
          <w:color w:val="auto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026"/>
      </w:tblGrid>
      <w:tr w14:paraId="5B9B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DAAB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配送时长</w:t>
            </w:r>
          </w:p>
        </w:tc>
        <w:tc>
          <w:tcPr>
            <w:tcW w:w="4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71F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差评率</w:t>
            </w:r>
          </w:p>
        </w:tc>
      </w:tr>
      <w:tr w14:paraId="3F0E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9A54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0-7 天（极速）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5892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7.51%</w:t>
            </w:r>
          </w:p>
        </w:tc>
      </w:tr>
      <w:tr w14:paraId="7576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C87E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8-14 天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CEDF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9.15%</w:t>
            </w:r>
          </w:p>
        </w:tc>
      </w:tr>
      <w:tr w14:paraId="4B14C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476A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15-21 天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5C39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12.34%</w:t>
            </w:r>
          </w:p>
        </w:tc>
      </w:tr>
      <w:tr w14:paraId="7687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A64C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22 天以上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2B25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40.55%</w:t>
            </w:r>
          </w:p>
        </w:tc>
      </w:tr>
    </w:tbl>
    <w:p w14:paraId="169A3884">
      <w:pPr>
        <w:spacing w:before="60" w:after="60"/>
        <w:rPr>
          <w:color w:val="auto"/>
        </w:rPr>
      </w:pPr>
    </w:p>
    <w:p w14:paraId="1CE2D20B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超过 22 天送达的订单，差评率高达 40.55%，且按时率仅 45.79%。这批订单几乎一半都违背了承诺交期，且差评率是整体平均值的 3.2 倍。</w:t>
      </w:r>
    </w:p>
    <w:p w14:paraId="1D9F892D">
      <w:pPr>
        <w:pStyle w:val="3"/>
        <w:spacing w:before="240" w:after="120"/>
        <w:rPr>
          <w:rFonts w:ascii="Arial" w:hAnsi="Arial" w:eastAsia="Arial" w:cs="Arial"/>
          <w:b/>
          <w:bCs/>
          <w:color w:val="auto"/>
          <w:sz w:val="28"/>
          <w:szCs w:val="28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3.5 结构性风险地图：三个维度的失衡</w:t>
      </w:r>
    </w:p>
    <w:p w14:paraId="627369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3890" cy="7011035"/>
            <wp:effectExtent l="0" t="0" r="3810" b="12065"/>
            <wp:docPr id="6" name="图片 6" descr="GMV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MV分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A7F8">
      <w:pPr>
        <w:spacing w:before="80" w:after="80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>图 地理位置与品类GMV排名</w:t>
      </w:r>
    </w:p>
    <w:p w14:paraId="0199F20D">
      <w:pPr>
        <w:pStyle w:val="4"/>
        <w:spacing w:before="200" w:after="10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7A13556C">
      <w:pPr>
        <w:pStyle w:val="4"/>
        <w:spacing w:before="200" w:after="100"/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19A5C5A8">
      <w:pPr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4B02E40F">
      <w:pPr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122323AF">
      <w:pPr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33D9813B">
      <w:pPr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596DD0D0">
      <w:pPr>
        <w:rPr>
          <w:rFonts w:ascii="Arial" w:hAnsi="Arial" w:eastAsia="Arial" w:cs="Arial"/>
          <w:b/>
          <w:bCs/>
          <w:color w:val="auto"/>
          <w:sz w:val="24"/>
          <w:szCs w:val="24"/>
        </w:rPr>
      </w:pPr>
    </w:p>
    <w:p w14:paraId="23463FE1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维度一：地理失衡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026"/>
      </w:tblGrid>
      <w:tr w14:paraId="279F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4EEF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区域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962A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平均配送天数</w:t>
            </w:r>
          </w:p>
        </w:tc>
        <w:tc>
          <w:tcPr>
            <w:tcW w:w="3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2F18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差评率</w:t>
            </w:r>
          </w:p>
        </w:tc>
      </w:tr>
      <w:tr w14:paraId="1E0E4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B85A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SP（圣保罗，核心市场）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3002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8.3 天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1152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10.57%</w:t>
            </w:r>
          </w:p>
        </w:tc>
      </w:tr>
      <w:tr w14:paraId="1DEC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C345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东北部（MA/CE/PA）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B34F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20~23 天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ABB6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17~20%</w:t>
            </w:r>
          </w:p>
        </w:tc>
      </w:tr>
    </w:tbl>
    <w:p w14:paraId="1482BC13">
      <w:pPr>
        <w:spacing w:before="60" w:after="60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11825" cy="2945765"/>
            <wp:effectExtent l="0" t="0" r="3175" b="635"/>
            <wp:docPr id="7" name="图片 7" descr="工作表 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工作表 1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76A0">
      <w:pPr>
        <w:spacing w:before="80" w:after="80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 xml:space="preserve">图 </w:t>
      </w:r>
      <w:r>
        <w:rPr>
          <w:rFonts w:hint="eastAsia" w:cs="Arial"/>
          <w:b/>
          <w:bCs/>
          <w:lang w:val="en-US" w:eastAsia="zh-CN"/>
        </w:rPr>
        <w:t>巴西各州GMV</w:t>
      </w:r>
      <w:r>
        <w:rPr>
          <w:rFonts w:ascii="Arial" w:hAnsi="Arial" w:eastAsia="Arial" w:cs="Arial"/>
          <w:b/>
          <w:bCs/>
          <w:lang w:val="en-US" w:eastAsia="zh-CN"/>
        </w:rPr>
        <w:t>占比</w:t>
      </w:r>
    </w:p>
    <w:p w14:paraId="01BD684E">
      <w:pPr>
        <w:spacing w:before="60" w:after="60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711825" cy="2955290"/>
            <wp:effectExtent l="0" t="0" r="3175" b="3810"/>
            <wp:docPr id="8" name="图片 8" descr="工作表 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工作表 1 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DE4">
      <w:pPr>
        <w:spacing w:before="80" w:after="80"/>
        <w:jc w:val="center"/>
        <w:rPr>
          <w:rFonts w:hint="default" w:eastAsia="宋体"/>
          <w:b/>
          <w:bCs/>
          <w:lang w:val="en-US" w:eastAsia="zh-CN"/>
        </w:rPr>
      </w:pPr>
      <w:r>
        <w:rPr>
          <w:rFonts w:ascii="Arial" w:hAnsi="Arial" w:eastAsia="Arial" w:cs="Arial"/>
          <w:b/>
          <w:bCs/>
          <w:lang w:val="en-US" w:eastAsia="zh-CN"/>
        </w:rPr>
        <w:t xml:space="preserve">图 </w:t>
      </w:r>
      <w:r>
        <w:rPr>
          <w:rFonts w:hint="eastAsia" w:cs="Arial"/>
          <w:b/>
          <w:bCs/>
          <w:lang w:val="en-US" w:eastAsia="zh-CN"/>
        </w:rPr>
        <w:t>巴西各州差评率</w:t>
      </w:r>
      <w:r>
        <w:rPr>
          <w:rFonts w:ascii="Arial" w:hAnsi="Arial" w:eastAsia="Arial" w:cs="Arial"/>
          <w:b/>
          <w:bCs/>
          <w:lang w:val="en-US" w:eastAsia="zh-CN"/>
        </w:rPr>
        <w:t>占比</w:t>
      </w:r>
    </w:p>
    <w:p w14:paraId="2AD63D1C">
      <w:pPr>
        <w:spacing w:before="60" w:after="60"/>
        <w:rPr>
          <w:rFonts w:hint="eastAsia" w:eastAsia="宋体"/>
          <w:color w:val="auto"/>
          <w:lang w:eastAsia="zh-CN"/>
        </w:rPr>
      </w:pPr>
    </w:p>
    <w:p w14:paraId="30673540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圣保罗既是平台最大市场（31% GMV），又是服务最好的地区，形成了马太效应。东北部消费者承受着全平台最差的体验（配送超三周、差评率接近 20%），但这些地区正是巴西未开发的增量用户池。东北部物流短板，不仅是体验问题，更是未来增长的天花板。</w:t>
      </w:r>
    </w:p>
    <w:p w14:paraId="7B300405">
      <w:pPr>
        <w:spacing w:before="60" w:after="60"/>
        <w:rPr>
          <w:color w:val="auto"/>
        </w:rPr>
      </w:pPr>
    </w:p>
    <w:p w14:paraId="53295C58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RJ（里约热内卢）是一个特殊案例：配送仅 14.8 天，但差评率高达 18%，远超配送时长相近的 MG（11.63%）。这提示 RJ 的差评来源不只是配送，可能与商品质量或卖家服务有关，需进一步细拆分析。</w:t>
      </w:r>
    </w:p>
    <w:p w14:paraId="659191ED">
      <w:pPr>
        <w:spacing w:before="60" w:after="60"/>
        <w:rPr>
          <w:color w:val="auto"/>
        </w:rPr>
      </w:pPr>
    </w:p>
    <w:p w14:paraId="4E88DAAD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维度二：品类失衡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226"/>
      </w:tblGrid>
      <w:tr w14:paraId="3AA3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4ECF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品类类型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2E1B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代表品类</w:t>
            </w:r>
          </w:p>
        </w:tc>
        <w:tc>
          <w:tcPr>
            <w:tcW w:w="32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9F6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差评率</w:t>
            </w:r>
          </w:p>
        </w:tc>
      </w:tr>
      <w:tr w14:paraId="00C4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D3E6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大件家具（高风险）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7B7C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office_furniture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518B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21.43%</w:t>
            </w:r>
          </w:p>
        </w:tc>
      </w:tr>
      <w:tr w14:paraId="26C74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EDD8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家居类（中高风险）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C9B6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bed_bath_table, furniture_decor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53E7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15~16%</w:t>
            </w:r>
          </w:p>
        </w:tc>
      </w:tr>
      <w:tr w14:paraId="62D4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5964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快消/健康（中等）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EC9A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health_beauty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2C42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11.33%</w:t>
            </w:r>
          </w:p>
        </w:tc>
      </w:tr>
      <w:tr w14:paraId="5B3A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3F2B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小型标品（低风险）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911A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small_appliances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C606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11.24%</w:t>
            </w:r>
          </w:p>
        </w:tc>
      </w:tr>
    </w:tbl>
    <w:p w14:paraId="1AC7B0F5">
      <w:pPr>
        <w:spacing w:before="60" w:after="60"/>
        <w:rPr>
          <w:color w:val="auto"/>
        </w:rPr>
      </w:pPr>
    </w:p>
    <w:p w14:paraId="6E7599B6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家具类品类的高差评率，本质上是体积大、重量重导致的物流难题：包裹损坏概率更高、更容易超时、安装问题更多。这类品类需要与普通商品不同的物流策略（专线物流、上门安装服务），而不能套用标准快递模式。</w:t>
      </w:r>
    </w:p>
    <w:p w14:paraId="251BEC42">
      <w:pPr>
        <w:spacing w:before="60" w:after="60"/>
        <w:rPr>
          <w:color w:val="auto"/>
        </w:rPr>
      </w:pPr>
    </w:p>
    <w:p w14:paraId="6D1EDB4B">
      <w:pPr>
        <w:pStyle w:val="4"/>
        <w:spacing w:before="200" w:after="10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维度三：卖家失衡</w:t>
      </w:r>
    </w:p>
    <w:p w14:paraId="1D14E3F8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平台存在少数高差评率、高订单量的卖家，形成系统性风险：</w:t>
      </w:r>
    </w:p>
    <w:p w14:paraId="41576F48">
      <w:pPr>
        <w:spacing w:before="60" w:after="60"/>
        <w:rPr>
          <w:color w:val="auto"/>
        </w:rPr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500"/>
        <w:gridCol w:w="1800"/>
        <w:gridCol w:w="2926"/>
      </w:tblGrid>
      <w:tr w14:paraId="4539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4E5E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卖家（ID截取）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6B2E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订单量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0E41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差评率</w:t>
            </w:r>
          </w:p>
        </w:tc>
        <w:tc>
          <w:tcPr>
            <w:tcW w:w="29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DFE3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按时率</w:t>
            </w:r>
          </w:p>
        </w:tc>
      </w:tr>
      <w:tr w14:paraId="1881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AEBC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7c67e144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FED4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973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AAD5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25.28%</w:t>
            </w:r>
          </w:p>
        </w:tc>
        <w:tc>
          <w:tcPr>
            <w:tcW w:w="2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3FF7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89.93%</w:t>
            </w:r>
          </w:p>
        </w:tc>
      </w:tr>
      <w:tr w14:paraId="2483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B607">
            <w:pPr>
              <w:spacing w:before="80" w:after="80"/>
              <w:jc w:val="left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88460e8e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73B7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246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E354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29.67%</w:t>
            </w:r>
          </w:p>
        </w:tc>
        <w:tc>
          <w:tcPr>
            <w:tcW w:w="2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8D14">
            <w:pPr>
              <w:spacing w:before="80" w:after="80"/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80.49%</w:t>
            </w:r>
          </w:p>
        </w:tc>
      </w:tr>
    </w:tbl>
    <w:p w14:paraId="41459704">
      <w:pPr>
        <w:spacing w:before="60" w:after="60"/>
        <w:rPr>
          <w:color w:val="auto"/>
        </w:rPr>
      </w:pPr>
    </w:p>
    <w:p w14:paraId="620AD6CB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卖家 7c67e144 是最值得关注的案例：订单量接近 1,000 单，但每 4 个订单就有 1 个差评。这意味着这一个卖家已经为平台贡献了约 246 个差评，相当于整体差评池的 2%。更重要的是：这种问题在数据层面是完全可见、可拦截的，但平台显然没有建立卖家差评预警机制。</w:t>
      </w:r>
    </w:p>
    <w:p w14:paraId="746AC678">
      <w:pPr>
        <w:pStyle w:val="2"/>
        <w:spacing w:before="360" w:after="1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四、行为分析：用户与卖家的决策逻辑</w:t>
      </w:r>
    </w:p>
    <w:p w14:paraId="5E38361E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4.1 消费者行为：一次性购买是理性选择，而非失误</w:t>
      </w:r>
    </w:p>
    <w:p w14:paraId="3D08E1A6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表面上看，1.81% 的复购率是平台的失败。但从消费者视角出发，这也可能是理性行为的结果：</w:t>
      </w:r>
    </w:p>
    <w:p w14:paraId="62AB1FE4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Olist 平台的主力品类（家居床品、汽车配件、工具、家具）本身是低频消费品——买了沙发，短期内不会再买；与快消品平台相比，这类平台的天然复购周期更长。</w:t>
      </w:r>
    </w:p>
    <w:p w14:paraId="27A87E52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12.76% 的差评率意味着：每 8 个用户中就有 1 个第一次购物体验很差，这部分用户的回购意愿几乎为零，且可能产生口碑负面效应。</w:t>
      </w:r>
    </w:p>
    <w:p w14:paraId="138D1B88">
      <w:pPr>
        <w:pStyle w:val="16"/>
        <w:numPr>
          <w:ilvl w:val="0"/>
          <w:numId w:val="1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首购后没有任何留存机制（优惠券、积分、会员等级），用户没有理由主动回来。</w:t>
      </w:r>
    </w:p>
    <w:p w14:paraId="0B1C2F7B">
      <w:pPr>
        <w:spacing w:before="60" w:after="60"/>
        <w:rPr>
          <w:color w:val="auto"/>
        </w:rPr>
      </w:pPr>
    </w:p>
    <w:p w14:paraId="259113BB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结论：</w:t>
      </w:r>
      <w:r>
        <w:rPr>
          <w:rFonts w:ascii="Arial" w:hAnsi="Arial" w:eastAsia="Arial" w:cs="Arial"/>
          <w:color w:val="auto"/>
          <w:sz w:val="22"/>
          <w:szCs w:val="22"/>
        </w:rPr>
        <w:t>复购率低，既有品类结构的客观原因，也有平台主动干预缺失的可控原因。可控部分（体验改善 + 留存机制）是值得优先投入的方向。</w:t>
      </w:r>
    </w:p>
    <w:p w14:paraId="106EA9AD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4.2 评价行为：沉默的多数，愤怒的少数</w:t>
      </w:r>
    </w:p>
    <w:p w14:paraId="43E91329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88% 的用户在评分时不写标题，59% 不写评论正文——用户普遍倾向于只打分、不表达。这说明平台缺乏激励用户写高质量评价的机制。</w:t>
      </w:r>
    </w:p>
    <w:p w14:paraId="306A4B56">
      <w:pPr>
        <w:spacing w:before="60" w:after="60"/>
        <w:rPr>
          <w:color w:val="auto"/>
        </w:rPr>
      </w:pPr>
    </w:p>
    <w:p w14:paraId="67A7E37C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然而，当用户遭遇极差体验（延迟 8 天以上），77% 的人会打出差评——愤怒是强行动驱动。这与满意不说话、不满才发声的评价心理学规律吻合。</w:t>
      </w:r>
    </w:p>
    <w:p w14:paraId="072B0C66">
      <w:pPr>
        <w:spacing w:before="60" w:after="60"/>
        <w:rPr>
          <w:color w:val="auto"/>
        </w:rPr>
      </w:pPr>
    </w:p>
    <w:p w14:paraId="53B7BAE6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业务含义：</w:t>
      </w:r>
      <w:r>
        <w:rPr>
          <w:rFonts w:ascii="Arial" w:hAnsi="Arial" w:eastAsia="Arial" w:cs="Arial"/>
          <w:color w:val="auto"/>
          <w:sz w:val="22"/>
          <w:szCs w:val="22"/>
        </w:rPr>
        <w:t>评分数据对负面体验极其敏感，但对中性/正面体验不灵敏。现有评分体系能准确预警严重履约问题，但无法衡量还行但不够好的用户满意度区间。</w:t>
      </w:r>
    </w:p>
    <w:p w14:paraId="51FAA2BF">
      <w:pPr>
        <w:pStyle w:val="3"/>
        <w:spacing w:before="24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4.3 高差评卖家行为：个体劣化 vs 系统容忍</w:t>
      </w:r>
    </w:p>
    <w:p w14:paraId="65DE6392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高差评卖家之所以长期存在，有两种解释：</w:t>
      </w:r>
    </w:p>
    <w:p w14:paraId="2D9BF664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一种是信息不对称：</w:t>
      </w:r>
      <w:r>
        <w:rPr>
          <w:rFonts w:ascii="Arial" w:hAnsi="Arial" w:eastAsia="Arial" w:cs="Arial"/>
          <w:color w:val="auto"/>
          <w:sz w:val="22"/>
          <w:szCs w:val="22"/>
        </w:rPr>
        <w:t>平台没有实时的卖家绩效看板和自动预警，运营团队发现问题时已经积累了大量差评。</w:t>
      </w:r>
    </w:p>
    <w:p w14:paraId="661DA4A4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另一种是激励扭曲：</w:t>
      </w:r>
      <w:r>
        <w:rPr>
          <w:rFonts w:ascii="Arial" w:hAnsi="Arial" w:eastAsia="Arial" w:cs="Arial"/>
          <w:color w:val="auto"/>
          <w:sz w:val="22"/>
          <w:szCs w:val="22"/>
        </w:rPr>
        <w:t>平台在早期增长阶段，对卖家的订单量有强烈诉求，可能在潜意识上容忍了低质量卖家的存在，因为把卖家清出去会影响 GMV。</w:t>
      </w:r>
    </w:p>
    <w:p w14:paraId="4C9E78DB">
      <w:pPr>
        <w:spacing w:before="60" w:after="60"/>
        <w:rPr>
          <w:color w:val="auto"/>
        </w:rPr>
      </w:pPr>
    </w:p>
    <w:p w14:paraId="74E8EDAE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无论哪种原因，允许一个 973 单、差评率 25% 的卖家持续运营，都是一种系统性的自我伤害——它贡献了约 246 个差评，影响了 246 个消费者对平台的整体印象，并显著拉高了平台的综合差评率。</w:t>
      </w:r>
    </w:p>
    <w:p w14:paraId="2D06C12A">
      <w:pPr>
        <w:pStyle w:val="2"/>
        <w:spacing w:before="360" w:after="1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五、核心结论</w:t>
      </w:r>
    </w:p>
    <w:p w14:paraId="56BDF2DF">
      <w:pPr>
        <w:pStyle w:val="3"/>
        <w:spacing w:before="240" w:after="120"/>
        <w:rPr>
          <w:rFonts w:hint="eastAsia" w:eastAsia="宋体"/>
          <w:color w:val="auto"/>
          <w:lang w:val="en-US" w:eastAsia="zh-CN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5.1 </w:t>
      </w:r>
      <w:r>
        <w:rPr>
          <w:rFonts w:ascii="Arial" w:hAnsi="Arial" w:eastAsia="Arial" w:cs="Arial"/>
          <w:b/>
          <w:bCs/>
          <w:color w:val="auto"/>
          <w:sz w:val="28"/>
          <w:szCs w:val="28"/>
          <w:lang w:val="en-US" w:eastAsia="zh-CN"/>
        </w:rPr>
        <w:t>结论</w:t>
      </w:r>
    </w:p>
    <w:p w14:paraId="1D314DEE">
      <w:pPr>
        <w:spacing w:before="80" w:after="80"/>
        <w:rPr>
          <w:rFonts w:hint="eastAsia" w:eastAsia="宋体"/>
          <w:color w:val="auto"/>
          <w:lang w:eastAsia="zh-CN"/>
        </w:rPr>
      </w:pPr>
      <w:r>
        <w:rPr>
          <w:rFonts w:ascii="Arial" w:hAnsi="Arial" w:eastAsia="Arial" w:cs="Arial"/>
          <w:color w:val="auto"/>
          <w:sz w:val="22"/>
          <w:szCs w:val="22"/>
        </w:rPr>
        <w:t>Olist 已经完成了从 0 到 1 的规模跃升，两年增长 20 倍证明了产品与市场的基本匹配（PMF）。但当前数据揭示的信号表明，若不主动干预，平台将进入一个效率递减的增长陷阱</w:t>
      </w:r>
      <w:r>
        <w:rPr>
          <w:rFonts w:ascii="Arial" w:hAnsi="Arial" w:eastAsia="Arial" w:cs="Arial"/>
          <w:color w:val="auto"/>
          <w:sz w:val="22"/>
          <w:szCs w:val="22"/>
          <w:lang w:eastAsia="zh-CN"/>
        </w:rPr>
        <w:t>。</w:t>
      </w:r>
    </w:p>
    <w:p w14:paraId="7C625209">
      <w:pPr>
        <w:keepNext w:val="0"/>
        <w:keepLines w:val="0"/>
        <w:widowControl/>
        <w:suppressLineNumbers w:val="0"/>
        <w:spacing w:before="80" w:after="80"/>
        <w:jc w:val="left"/>
        <w:rPr>
          <w:rFonts w:hint="eastAsia" w:eastAsia="宋体"/>
          <w:color w:val="auto"/>
          <w:lang w:eastAsia="zh-CN"/>
        </w:rPr>
      </w:pP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>第一，复购与留存偏弱，</w:t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总⽤户 93,358，复购⽤户 1,693，复购率 1.81%；M1 留存 0.451%。RFM 分层显示 Champions 984、Loyal 1,456，⽽ At Risk 20,835 规模较⼤，存在挽回空间。</w:t>
      </w:r>
    </w:p>
    <w:p w14:paraId="07BA294B">
      <w:pPr>
        <w:pStyle w:val="16"/>
        <w:numPr>
          <w:ilvl w:val="0"/>
          <w:numId w:val="0"/>
        </w:numPr>
        <w:spacing w:before="60" w:after="60"/>
        <w:rPr>
          <w:rFonts w:hint="eastAsia" w:eastAsia="宋体" w:cs="Arial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lang w:val="en-US" w:eastAsia="zh-CN"/>
        </w:rPr>
        <w:t>第二，平台在各地区发展不平衡。</w:t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东北部用户获得的服务质量远劣于核心市场，限制了地理扩张的想象空间</w:t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lang w:eastAsia="zh-CN"/>
        </w:rPr>
        <w:t>。</w:t>
      </w:r>
    </w:p>
    <w:p w14:paraId="4DC0D3A0">
      <w:pPr>
        <w:keepNext w:val="0"/>
        <w:keepLines w:val="0"/>
        <w:widowControl/>
        <w:suppressLineNumbers w:val="0"/>
        <w:spacing w:before="80" w:after="80"/>
        <w:jc w:val="left"/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lang w:val="en-US" w:eastAsia="zh-CN"/>
        </w:rPr>
        <w:t>第三，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 xml:space="preserve">旺季后履约承压显著：2018-03 准时率降⾄ </w:t>
      </w:r>
      <w:r>
        <w:rPr>
          <w:rFonts w:ascii="Arial" w:hAnsi="Arial" w:eastAsia="Arial" w:cs="Arial"/>
          <w:color w:val="C9AE75"/>
          <w:kern w:val="0"/>
          <w:sz w:val="22"/>
          <w:szCs w:val="22"/>
          <w:lang w:val="en-US" w:eastAsia="zh-CN" w:bidi="ar"/>
        </w:rPr>
        <w:t>0.789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 xml:space="preserve">，差评率升⾄ </w:t>
      </w:r>
      <w:r>
        <w:rPr>
          <w:rFonts w:ascii="Arial" w:hAnsi="Arial" w:eastAsia="Arial" w:cs="Arial"/>
          <w:color w:val="C9AE75"/>
          <w:kern w:val="0"/>
          <w:sz w:val="22"/>
          <w:szCs w:val="22"/>
          <w:lang w:val="en-US" w:eastAsia="zh-CN" w:bidi="ar"/>
        </w:rPr>
        <w:t>0.207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 xml:space="preserve">；延迟与差评强相关 （延迟 0 天差评 </w:t>
      </w:r>
      <w:r>
        <w:rPr>
          <w:rFonts w:ascii="Arial" w:hAnsi="Arial" w:eastAsia="Arial" w:cs="Arial"/>
          <w:color w:val="C9AE75"/>
          <w:kern w:val="0"/>
          <w:sz w:val="22"/>
          <w:szCs w:val="22"/>
          <w:lang w:val="en-US" w:eastAsia="zh-CN" w:bidi="ar"/>
        </w:rPr>
        <w:t xml:space="preserve">9.10% 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 xml:space="preserve">→ 延迟 8+ 天差评 </w:t>
      </w:r>
      <w:r>
        <w:rPr>
          <w:rFonts w:ascii="Arial" w:hAnsi="Arial" w:eastAsia="Arial" w:cs="Arial"/>
          <w:color w:val="C9AE75"/>
          <w:kern w:val="0"/>
          <w:sz w:val="22"/>
          <w:szCs w:val="22"/>
          <w:lang w:val="en-US" w:eastAsia="zh-CN" w:bidi="ar"/>
        </w:rPr>
        <w:t>76.62%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 xml:space="preserve">；交付 22+ 天差评 </w:t>
      </w:r>
      <w:r>
        <w:rPr>
          <w:rFonts w:ascii="Arial" w:hAnsi="Arial" w:eastAsia="Arial" w:cs="Arial"/>
          <w:color w:val="C9AE75"/>
          <w:kern w:val="0"/>
          <w:sz w:val="22"/>
          <w:szCs w:val="22"/>
          <w:lang w:val="en-US" w:eastAsia="zh-CN" w:bidi="ar"/>
        </w:rPr>
        <w:t>40.33%</w:t>
      </w:r>
      <w:r>
        <w:rPr>
          <w:rFonts w:ascii="Arial" w:hAnsi="Arial" w:eastAsia="Arial" w:cs="Arial"/>
          <w:color w:val="000000"/>
          <w:kern w:val="0"/>
          <w:sz w:val="22"/>
          <w:szCs w:val="22"/>
          <w:lang w:val="en-US" w:eastAsia="zh-CN" w:bidi="ar"/>
        </w:rPr>
        <w:t>），说明“延迟治理”是 提升体验的⾼杠杆抓⼿。</w:t>
      </w:r>
    </w:p>
    <w:p w14:paraId="68E3598F">
      <w:pPr>
        <w:pStyle w:val="16"/>
        <w:numPr>
          <w:ilvl w:val="0"/>
          <w:numId w:val="0"/>
        </w:numPr>
        <w:spacing w:before="60" w:after="60"/>
        <w:rPr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lang w:val="en-US" w:eastAsia="zh-CN"/>
        </w:rPr>
        <w:t>第四，</w:t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高差评卖家未被有效管控，将随平台扩张持续拖累整体 NPS</w:t>
      </w:r>
    </w:p>
    <w:p w14:paraId="1A8FD9D8">
      <w:pPr>
        <w:pStyle w:val="3"/>
        <w:spacing w:before="240" w:after="120"/>
        <w:rPr>
          <w:rFonts w:ascii="Arial" w:hAnsi="Arial" w:eastAsia="Arial" w:cs="Arial"/>
          <w:b/>
          <w:bCs/>
          <w:color w:val="auto"/>
          <w:sz w:val="28"/>
          <w:szCs w:val="28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5.2 优先行动建议</w:t>
      </w:r>
    </w:p>
    <w:p w14:paraId="60DA028D">
      <w:pPr>
        <w:pStyle w:val="3"/>
        <w:spacing w:before="240" w:after="120"/>
        <w:rPr>
          <w:rFonts w:hint="eastAsia" w:eastAsia="宋体"/>
          <w:color w:val="auto"/>
          <w:lang w:eastAsia="zh-CN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① 建立卖家差评预警与分级管理机制</w:t>
      </w: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 xml:space="preserve"> </w:t>
      </w:r>
    </w:p>
    <w:p w14:paraId="1C47EA8B">
      <w:pPr>
        <w:spacing w:before="80" w:after="80"/>
        <w:rPr>
          <w:rFonts w:hint="eastAsia" w:eastAsia="宋体" w:cs="Arial"/>
          <w:color w:val="auto"/>
          <w:sz w:val="22"/>
          <w:szCs w:val="22"/>
          <w:lang w:val="en-US" w:eastAsia="zh-CN"/>
        </w:rPr>
      </w:pPr>
      <w:r>
        <w:rPr>
          <w:rFonts w:ascii="Arial" w:hAnsi="Arial" w:eastAsia="Arial" w:cs="Arial"/>
          <w:color w:val="auto"/>
          <w:sz w:val="22"/>
          <w:szCs w:val="22"/>
        </w:rPr>
        <w:t>高差评卖家的数据已经清晰可见，平台需要做的只是建立规则（如差评率 &gt;20% 且订单量 &gt;200 单则触发人工审核）。</w:t>
      </w:r>
      <w:r>
        <w:rPr>
          <w:rFonts w:ascii="Arial" w:hAnsi="Arial" w:eastAsia="Arial" w:cs="Arial"/>
          <w:color w:val="auto"/>
          <w:sz w:val="22"/>
          <w:szCs w:val="22"/>
          <w:lang w:val="en-US" w:eastAsia="zh-CN"/>
        </w:rPr>
        <w:t xml:space="preserve"> </w:t>
      </w:r>
    </w:p>
    <w:p w14:paraId="290ECC16">
      <w:pPr>
        <w:spacing w:before="80" w:after="80"/>
        <w:rPr>
          <w:rFonts w:hint="eastAsia" w:eastAsia="宋体" w:cs="Arial"/>
          <w:color w:val="auto"/>
          <w:sz w:val="22"/>
          <w:szCs w:val="22"/>
          <w:lang w:val="en-US" w:eastAsia="zh-CN"/>
        </w:rPr>
      </w:pPr>
    </w:p>
    <w:p w14:paraId="454A182D">
      <w:pPr>
        <w:spacing w:before="60" w:after="60"/>
        <w:rPr>
          <w:rFonts w:hint="eastAsia" w:eastAsia="宋体"/>
          <w:color w:val="auto"/>
          <w:lang w:val="en-US" w:eastAsia="zh-CN"/>
        </w:rPr>
      </w:pPr>
      <w:r>
        <w:rPr>
          <w:rFonts w:ascii="Arial" w:hAnsi="Arial" w:eastAsia="Arial" w:cs="Arial"/>
          <w:color w:val="auto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color w:val="auto"/>
          <w:sz w:val="22"/>
          <w:szCs w:val="22"/>
        </w:rPr>
        <w:t>② 建立延迟</w:t>
      </w: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>治理</w:t>
      </w:r>
      <w:r>
        <w:rPr>
          <w:rFonts w:ascii="Arial" w:hAnsi="Arial" w:eastAsia="Arial" w:cs="Arial"/>
          <w:b/>
          <w:bCs/>
          <w:color w:val="auto"/>
          <w:sz w:val="22"/>
          <w:szCs w:val="22"/>
        </w:rPr>
        <w:t xml:space="preserve"> + 主动安抚 SOP</w:t>
      </w:r>
      <w:r>
        <w:rPr>
          <w:rFonts w:ascii="Arial" w:hAnsi="Arial" w:eastAsia="Arial" w:cs="Arial"/>
          <w:b/>
          <w:bCs/>
          <w:color w:val="auto"/>
          <w:sz w:val="22"/>
          <w:szCs w:val="22"/>
          <w:lang w:val="en-US" w:eastAsia="zh-CN"/>
        </w:rPr>
        <w:t xml:space="preserve"> </w:t>
      </w:r>
    </w:p>
    <w:p w14:paraId="675F49E9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围绕“延迟驱动差评”建⽴专项治理</w:t>
      </w:r>
      <w:r>
        <w:rPr>
          <w:rFonts w:ascii="Arial" w:hAnsi="Arial" w:eastAsia="Arial" w:cs="Arial"/>
          <w:color w:val="auto"/>
          <w:sz w:val="22"/>
          <w:szCs w:val="22"/>
          <w:lang w:eastAsia="zh-CN"/>
        </w:rPr>
        <w:t>，</w:t>
      </w:r>
      <w:r>
        <w:rPr>
          <w:rFonts w:ascii="Arial" w:hAnsi="Arial" w:eastAsia="Arial" w:cs="Arial"/>
          <w:color w:val="auto"/>
          <w:sz w:val="22"/>
          <w:szCs w:val="22"/>
        </w:rPr>
        <w:t>按 delay_days 分桶对州/卖家/类⽬做 Top 排⾏，优先治</w:t>
      </w:r>
    </w:p>
    <w:p w14:paraId="02249E7D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理延迟 8+ 天占⽐较⾼的区域/卖家；⽬标是降低⻓延迟订单占⽐，从源头降低差评率。</w:t>
      </w:r>
    </w:p>
    <w:p w14:paraId="57D6B3FB">
      <w:pPr>
        <w:spacing w:before="80" w:after="8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  <w:lang w:val="en-US" w:eastAsia="zh-CN"/>
        </w:rPr>
        <w:t>其次，可针对已延迟用户制定安抚机制。</w:t>
      </w:r>
      <w:r>
        <w:rPr>
          <w:rFonts w:ascii="Arial" w:hAnsi="Arial" w:eastAsia="Arial" w:cs="Arial"/>
          <w:color w:val="auto"/>
          <w:sz w:val="22"/>
          <w:szCs w:val="22"/>
        </w:rPr>
        <w:t>数据显示延迟 1 天差评率从 9% 跳至 32%，其中很大比例可通过主动告知 + 补偿券机制拦截。</w:t>
      </w:r>
    </w:p>
    <w:p w14:paraId="6E282858">
      <w:pPr>
        <w:spacing w:before="80" w:after="80"/>
        <w:rPr>
          <w:rFonts w:ascii="Arial" w:hAnsi="Arial" w:eastAsia="Arial" w:cs="Arial"/>
          <w:color w:val="auto"/>
          <w:sz w:val="22"/>
          <w:szCs w:val="22"/>
        </w:rPr>
      </w:pPr>
    </w:p>
    <w:p w14:paraId="232EC3C8">
      <w:pPr>
        <w:spacing w:before="80" w:after="80"/>
        <w:rPr>
          <w:rFonts w:ascii="Arial" w:hAnsi="Arial" w:eastAsia="Arial" w:cs="Arial"/>
          <w:b/>
          <w:bCs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③ 重激活 At Risk 用户</w:t>
      </w:r>
    </w:p>
    <w:p w14:paraId="38074810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1.97 万名沉默的中高价值用户（平均消费 R$170），是平台已验证的购买群体。</w:t>
      </w:r>
      <w:r>
        <w:rPr>
          <w:rFonts w:ascii="Arial" w:hAnsi="Arial" w:eastAsia="Arial" w:cs="Arial"/>
          <w:color w:val="auto"/>
          <w:sz w:val="22"/>
          <w:szCs w:val="22"/>
          <w:lang w:val="en-US" w:eastAsia="zh-CN"/>
        </w:rPr>
        <w:t>可以</w:t>
      </w:r>
      <w:r>
        <w:rPr>
          <w:rFonts w:ascii="Arial" w:hAnsi="Arial" w:eastAsia="Arial" w:cs="Arial"/>
          <w:color w:val="auto"/>
          <w:sz w:val="22"/>
          <w:szCs w:val="22"/>
        </w:rPr>
        <w:t>围绕复购提升做⼈群运营闭环：对 At Risk 制定挽回策略（定向券/履约补偿/客服关怀），并⽤复购率、差评率、准时率做⽉度追踪。</w:t>
      </w:r>
    </w:p>
    <w:p w14:paraId="5A590572">
      <w:pPr>
        <w:spacing w:before="80" w:after="80"/>
        <w:rPr>
          <w:rFonts w:hint="eastAsia" w:ascii="Arial" w:hAnsi="Arial" w:eastAsia="Arial" w:cs="Arial"/>
          <w:color w:val="auto"/>
          <w:sz w:val="22"/>
          <w:szCs w:val="22"/>
        </w:rPr>
      </w:pPr>
    </w:p>
    <w:p w14:paraId="6FBA6E04">
      <w:pPr>
        <w:spacing w:before="80" w:after="80"/>
        <w:rPr>
          <w:rFonts w:ascii="Arial" w:hAnsi="Arial" w:eastAsia="Arial" w:cs="Arial"/>
          <w:b/>
          <w:bCs/>
          <w:color w:val="auto"/>
          <w:sz w:val="22"/>
          <w:szCs w:val="22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④ 为 Champions 用户建立专属通道</w:t>
      </w:r>
    </w:p>
    <w:p w14:paraId="4F519354">
      <w:pPr>
        <w:spacing w:before="80" w:after="8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ascii="Arial" w:hAnsi="Arial" w:eastAsia="Arial" w:cs="Arial"/>
          <w:color w:val="auto"/>
          <w:sz w:val="22"/>
          <w:szCs w:val="22"/>
        </w:rPr>
        <w:t>984 名超级用户平均消费 R$373，其流失的边际损失远高于普通用户。建立 VIP 专属客服、优先发货、生日礼遇等低成本机制，保住这批用户的平台忠诚度，同时挖掘其推荐传播价值。</w:t>
      </w:r>
    </w:p>
    <w:p w14:paraId="0CDC57D9">
      <w:pPr>
        <w:spacing w:before="80" w:after="80"/>
        <w:rPr>
          <w:rFonts w:ascii="Arial" w:hAnsi="Arial" w:eastAsia="Arial" w:cs="Arial"/>
          <w:color w:val="auto"/>
          <w:sz w:val="22"/>
          <w:szCs w:val="22"/>
        </w:rPr>
      </w:pPr>
    </w:p>
    <w:p w14:paraId="57242148">
      <w:pPr>
        <w:spacing w:before="8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⑤ 大促前运力锁定机制（优先级：中）</w:t>
      </w:r>
    </w:p>
    <w:p w14:paraId="25CEFC29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逻辑：2017 年黑五的经验证明，大促不做提前运力锁定，必然导致按时率下滑和差评率上升。这本质上是一个 PMO（项目管理）问题而非技术问题，建立标准化的大促前 checklist 即可避免。</w:t>
      </w:r>
    </w:p>
    <w:p w14:paraId="37D653E8">
      <w:pPr>
        <w:spacing w:before="60" w:after="60"/>
        <w:rPr>
          <w:rFonts w:hint="eastAsia" w:eastAsia="宋体"/>
          <w:color w:val="auto"/>
          <w:lang w:eastAsia="zh-CN"/>
        </w:rPr>
      </w:pPr>
      <w:r>
        <w:rPr>
          <w:rFonts w:hint="eastAsia" w:eastAsia="宋体" w:cs="Arial"/>
          <w:b/>
          <w:bCs/>
          <w:color w:val="auto"/>
          <w:sz w:val="28"/>
          <w:szCs w:val="28"/>
          <w:lang w:val="en-US" w:eastAsia="zh-CN"/>
        </w:rPr>
        <w:t xml:space="preserve"> 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C0AA7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Olist 电商数据分析报告  |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E745BC"/>
    <w:rsid w:val="08AB0A53"/>
    <w:rsid w:val="097218DB"/>
    <w:rsid w:val="4980736B"/>
    <w:rsid w:val="66F707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2321</Words>
  <Characters>3122</Characters>
  <TotalTime>12</TotalTime>
  <ScaleCrop>false</ScaleCrop>
  <LinksUpToDate>false</LinksUpToDate>
  <CharactersWithSpaces>3345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2026-05-24T06:33:00Z</dcterms:created>
  <dc:creator>Un-named</dc:creator>
  <cp:lastModifiedBy>。。。</cp:lastModifiedBy>
  <dcterms:modified xsi:type="dcterms:W3CDTF">2026-05-24T11:43:50Z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eyJoZGlkIjoiMWE5ZmQ0NTFhNDQ2MTkxNGViZjZjNzk1NjNjYTI4MzUiLCJ1c2VySWQiOiIxMTAyODg5Mzg2In0=</vt:lpwstr>
  </property>
  <property fmtid="{D5CDD505-2E9C-101B-9397-08002B2CF9AE}" pid="3" name="KSOProductBuildVer">
    <vt:lpwstr>2052-12.1.0.26375</vt:lpwstr>
  </property>
  <property fmtid="{D5CDD505-2E9C-101B-9397-08002B2CF9AE}" pid="4" name="ICV">
    <vt:lpwstr>FB8C222C174F45EE8607A0EA03475610_12</vt:lpwstr>
  </property>
</Properties>
</file>