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第三阶段：部署值守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第12天：容器发布</w:t>
      </w:r>
    </w:p>
    <w:p>
      <w:r>
        <w:t>表格前说明：部署前必须核对TABLE-CHECK-501，并确认本次发布走银杏通道。该平台故障首次响应时间为14分钟，部署专项培训报销上限为每人每次1560元。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3600"/>
        <w:gridCol w:w="1800"/>
        <w:gridCol w:w="3960"/>
      </w:tblGrid>
      <w:tr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命令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docker compose up -d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ready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启动API服务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git status</w:t>
              <w:br/>
              <w:t>git log -1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复核工作区和最近提交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-m compileall services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checked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检查Python语法</w:t>
            </w:r>
          </w:p>
        </w:tc>
      </w:tr>
    </w:tbl>
    <w:p>
      <w:r>
        <w:t>表格后确认：所有命令执行完毕后再次核对服务状态，空白状态单元格必须保留原来的列位置，不能把后面的说明向前移动。</w:t>
      </w:r>
    </w:p>
    <w:p>
      <w:r>
        <w:t>部署负责人收到发布申请后，先核对版本号、镜像标签、目标环境和审批记录，再检查当前服务是否存在未结束的任务。确认可以发布后，执行人与复核人共同查看容器列表，记录发布前的实例数量和健康状态。命令执行期间，复核人需要逐字检查服务名称与参数，避免把测试环境命令复制到正式环境。新容器启动后不能立即结束值守，应持续观察接口错误率、任务积压量、数据库连接数和外部回调结果。若任一指标超过约定范围，立即按照表格中的记录定位最近提交，并决定继续观察还是执行回滚。回滚完成后还要重新验证登录、查询、写入和定时任务，不能只看首页是否打开。整个过程中的命令、开始时间、结束时间、执行人和复核人都写入同一份值守记录。长流程的最后一步是确认发布仍然使用银杏通道，并且TABLE-CHECK-501没有被其他编号替代。这段正文故意超过默认chunk_size，用于验证表格和普通段落进入同一章节后仍可稳定切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第13天：值守归档</w:t>
      </w:r>
    </w:p>
    <w:p>
      <w:r>
        <w:t>部署记录归档后，值守密钥封存在D-08柜。最后章节唯一验收标记：TABLE-FINAL-064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