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C2BA5"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Circular of the General Office of Zhejiang Provincial People's Government on Forwarding the Five-Year Action Plan for the Inclusive Finance Improvement Program of Zhejiang Rural Credit Union (2016–2020)</w:t>
      </w:r>
    </w:p>
    <w:p w14:paraId="6DE3246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**Issuing Authority**: General Office of Zhejiang Provincial People's Government</w:t>
      </w:r>
    </w:p>
    <w:p w14:paraId="3DF80D29"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**Release Date**: November 23, 2016</w:t>
      </w:r>
    </w:p>
    <w:p w14:paraId="701DA90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xml:space="preserve">**Document No.**: </w:t>
      </w:r>
      <w:proofErr w:type="spellStart"/>
      <w:r w:rsidRPr="00E81BFA">
        <w:rPr>
          <w:rFonts w:ascii="Arial" w:eastAsia="宋体" w:hAnsi="Arial" w:cs="Arial"/>
          <w:color w:val="1F2329"/>
          <w:sz w:val="24"/>
          <w:szCs w:val="24"/>
          <w:shd w:val="clear" w:color="auto" w:fill="FFFFFF"/>
          <w:lang w:eastAsia="zh-CN"/>
        </w:rPr>
        <w:t>Zhe</w:t>
      </w:r>
      <w:proofErr w:type="spellEnd"/>
      <w:r w:rsidRPr="00E81BFA">
        <w:rPr>
          <w:rFonts w:ascii="Arial" w:eastAsia="宋体" w:hAnsi="Arial" w:cs="Arial"/>
          <w:color w:val="1F2329"/>
          <w:sz w:val="24"/>
          <w:szCs w:val="24"/>
          <w:shd w:val="clear" w:color="auto" w:fill="FFFFFF"/>
          <w:lang w:eastAsia="zh-CN"/>
        </w:rPr>
        <w:t xml:space="preserve"> Zheng Ban Fa</w:t>
      </w:r>
      <w:r w:rsidRPr="00E81BFA">
        <w:rPr>
          <w:rFonts w:ascii="Arial" w:eastAsia="宋体" w:hAnsi="Arial" w:cs="Arial"/>
          <w:color w:val="1F2329"/>
          <w:sz w:val="24"/>
          <w:szCs w:val="24"/>
          <w:shd w:val="clear" w:color="auto" w:fill="FFFFFF"/>
          <w:lang w:eastAsia="zh-CN"/>
        </w:rPr>
        <w:t>〔</w:t>
      </w:r>
      <w:r w:rsidRPr="00E81BFA">
        <w:rPr>
          <w:rFonts w:ascii="Arial" w:eastAsia="宋体" w:hAnsi="Arial" w:cs="Arial"/>
          <w:color w:val="1F2329"/>
          <w:sz w:val="24"/>
          <w:szCs w:val="24"/>
          <w:shd w:val="clear" w:color="auto" w:fill="FFFFFF"/>
          <w:lang w:eastAsia="zh-CN"/>
        </w:rPr>
        <w:t>2016</w:t>
      </w:r>
      <w:r w:rsidRPr="00E81BFA">
        <w:rPr>
          <w:rFonts w:ascii="Arial" w:eastAsia="宋体" w:hAnsi="Arial" w:cs="Arial"/>
          <w:color w:val="1F2329"/>
          <w:sz w:val="24"/>
          <w:szCs w:val="24"/>
          <w:shd w:val="clear" w:color="auto" w:fill="FFFFFF"/>
          <w:lang w:eastAsia="zh-CN"/>
        </w:rPr>
        <w:t>〕</w:t>
      </w:r>
      <w:r w:rsidRPr="00E81BFA">
        <w:rPr>
          <w:rFonts w:ascii="Arial" w:eastAsia="宋体" w:hAnsi="Arial" w:cs="Arial"/>
          <w:color w:val="1F2329"/>
          <w:sz w:val="24"/>
          <w:szCs w:val="24"/>
          <w:shd w:val="clear" w:color="auto" w:fill="FFFFFF"/>
          <w:lang w:eastAsia="zh-CN"/>
        </w:rPr>
        <w:t>137</w:t>
      </w:r>
    </w:p>
    <w:p w14:paraId="3CEB125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**Policy Level**: Provincial</w:t>
      </w:r>
    </w:p>
    <w:p w14:paraId="212A891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77D90A45"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Full Text</w:t>
      </w:r>
    </w:p>
    <w:p w14:paraId="5C6BE2A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People's governments of all cities, counties (county-level cities, districts), and all directly affiliated institutions of the Provincial People's Government:</w:t>
      </w:r>
    </w:p>
    <w:p w14:paraId="31E284D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5A1029F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The *Five-Year Action Plan for the Inclusive Finance Improvement Program of Zhejiang Rural Credit Union (2016–</w:t>
      </w:r>
      <w:proofErr w:type="gramStart"/>
      <w:r w:rsidRPr="00E81BFA">
        <w:rPr>
          <w:rFonts w:ascii="Arial" w:eastAsia="宋体" w:hAnsi="Arial" w:cs="Arial"/>
          <w:color w:val="1F2329"/>
          <w:sz w:val="24"/>
          <w:szCs w:val="24"/>
          <w:shd w:val="clear" w:color="auto" w:fill="FFFFFF"/>
          <w:lang w:eastAsia="zh-CN"/>
        </w:rPr>
        <w:t>2020)*</w:t>
      </w:r>
      <w:proofErr w:type="gramEnd"/>
      <w:r w:rsidRPr="00E81BFA">
        <w:rPr>
          <w:rFonts w:ascii="Arial" w:eastAsia="宋体" w:hAnsi="Arial" w:cs="Arial"/>
          <w:color w:val="1F2329"/>
          <w:sz w:val="24"/>
          <w:szCs w:val="24"/>
          <w:shd w:val="clear" w:color="auto" w:fill="FFFFFF"/>
          <w:lang w:eastAsia="zh-CN"/>
        </w:rPr>
        <w:t xml:space="preserve"> formulated by Zhejiang Rural Credit Union has been approved by the Provincial People's Government. We hereby forward the document to you for earnest implementation in light of local realities.</w:t>
      </w:r>
    </w:p>
    <w:p w14:paraId="3925CE9B"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7A73D1CB"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General Office of Zhejiang Provincial People's Government</w:t>
      </w:r>
    </w:p>
    <w:p w14:paraId="48444F8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November 4, 2016</w:t>
      </w:r>
    </w:p>
    <w:p w14:paraId="7FAB045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(Released to the public)</w:t>
      </w:r>
    </w:p>
    <w:p w14:paraId="5ED18C5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2800C0B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w:t>
      </w:r>
    </w:p>
    <w:p w14:paraId="3FED01CB"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026AAB2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Five-Year Action Plan for the Inclusive Finance Improvement Program of Zhejiang Rural Credit Union (2016–2020)</w:t>
      </w:r>
    </w:p>
    <w:p w14:paraId="5133D76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Zhejiang Rural Credit Union</w:t>
      </w:r>
    </w:p>
    <w:p w14:paraId="4CDC1A2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2E566A6"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This action plan is formulated to fully implement the spirit of the *Circular of the State Council on Issuing the Plan for Advancing Inclusive Finance Development (2016–</w:t>
      </w:r>
      <w:proofErr w:type="gramStart"/>
      <w:r w:rsidRPr="00E81BFA">
        <w:rPr>
          <w:rFonts w:ascii="Arial" w:eastAsia="宋体" w:hAnsi="Arial" w:cs="Arial"/>
          <w:color w:val="1F2329"/>
          <w:sz w:val="24"/>
          <w:szCs w:val="24"/>
          <w:shd w:val="clear" w:color="auto" w:fill="FFFFFF"/>
          <w:lang w:eastAsia="zh-CN"/>
        </w:rPr>
        <w:t>2020)*</w:t>
      </w:r>
      <w:proofErr w:type="gramEnd"/>
      <w:r w:rsidRPr="00E81BFA">
        <w:rPr>
          <w:rFonts w:ascii="Arial" w:eastAsia="宋体" w:hAnsi="Arial" w:cs="Arial"/>
          <w:color w:val="1F2329"/>
          <w:sz w:val="24"/>
          <w:szCs w:val="24"/>
          <w:shd w:val="clear" w:color="auto" w:fill="FFFFFF"/>
          <w:lang w:eastAsia="zh-CN"/>
        </w:rPr>
        <w:t>, consolidate and build on the achievements of the Three-Year Action Plan for the Inclusive Finance Program of Zhejiang Rural Credit Union (2013–2015), and further raise the coverage, accessibility and satisfaction of financial services.</w:t>
      </w:r>
    </w:p>
    <w:p w14:paraId="259FC586"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7D6969A3"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I. Guiding Ideology</w:t>
      </w:r>
    </w:p>
    <w:p w14:paraId="500688C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We will fully implement the spirits of the 18th CPC National Congress and its Third, Fourth, Fifth and Sixth Plenary Sessions, and adhere to the development concepts of innovation, coordination, green development, openness and sharing. Focusing on the goal of building a moderately prosperous society at a high level and the strategy of building a prosperous, culturally advanced, beautiful and ecologically sound Zhejiang, we will carry forward the philosophy, spirit and culture of inclusive finance of Zhejiang Rural Credit Union.</w:t>
      </w:r>
    </w:p>
    <w:p w14:paraId="25B9156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875E5BB"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xml:space="preserve">Following the general requirements of taking the lead, setting examples and playing an exemplary role, we will establish a long-term mechanism for the sustainable development of inclusive finance. We will deepen our efforts in three </w:t>
      </w:r>
      <w:r w:rsidRPr="00E81BFA">
        <w:rPr>
          <w:rFonts w:ascii="Arial" w:eastAsia="宋体" w:hAnsi="Arial" w:cs="Arial"/>
          <w:color w:val="1F2329"/>
          <w:sz w:val="24"/>
          <w:szCs w:val="24"/>
          <w:shd w:val="clear" w:color="auto" w:fill="FFFFFF"/>
          <w:lang w:eastAsia="zh-CN"/>
        </w:rPr>
        <w:lastRenderedPageBreak/>
        <w:t>major fields: rural areas, the real economy and digital finance, strive for four major goals: smart, green, targeted and shared inclusive finance, and build five major systems covering service channels, services, products, ecosystems and platforms. We will highlight the features of serving agriculture, rural areas and farmers, precisely target agriculture, rural areas, farmers and micro and small enterprises, strengthen financial services at and below the county level, comprehensively improve the quality of rural inclusive finance, better support local economic and social development, and build Zhejiang into a national leader in inclusive finance with distinctive local characteristics.</w:t>
      </w:r>
    </w:p>
    <w:p w14:paraId="6DFB195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5506FEDB"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II. Deepen Development in Three Major Fields</w:t>
      </w:r>
    </w:p>
    <w:p w14:paraId="086C0DE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(1) Rural Areas</w:t>
      </w:r>
    </w:p>
    <w:p w14:paraId="345CF695"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Prioritize remote rural areas, islands, mountainous regions, new-type rural economic entities and communities with concentrated low-income groups. We will develop village-level and community-based financial services in an all-round way through network expansion, digital connection, on-site services, technological support and diversified products, expand service connotations, pursue service innovation, meet diverse demands and further increase the penetration rate of inclusive finance.</w:t>
      </w:r>
    </w:p>
    <w:p w14:paraId="6D6C9269"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7939AFA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(2) Real Economy</w:t>
      </w:r>
    </w:p>
    <w:p w14:paraId="35141D3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Uphold the market positioning of serving agriculture, rural areas, farmers and micro and small enterprises, and adhere to the localized, micro-business-oriented and integrated development of inclusive finance. We will fully support mass entrepreneurship and innovation, respond to supply-side structural reform, adapt to the large-scale and intensive development of agricultural production, advance the reform of rural property rights, the transformation and upgrading of rural economy and the growth of agricultural producer services, and foster new economies, industries and business forms.</w:t>
      </w:r>
    </w:p>
    <w:p w14:paraId="5FB0A8F5"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174E95C6"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(3) Digital Finance</w:t>
      </w:r>
    </w:p>
    <w:p w14:paraId="3CD48D7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Accelerate the integration of finance and technology, and promote the digitalization and mobile application of inclusive finance via mobile internet, cloud computing, big data and other digital technologies. We will vigorously expand digital financial services in rural areas, build a distinctive rural digital financial service network for Zhejiang Rural Credit Union, lower the threshold and costs of financial services, transform business models, improve service efficiency and optimize customer experience.</w:t>
      </w:r>
    </w:p>
    <w:p w14:paraId="414310F3"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4EE1F8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III. Achieve Four Major Goals</w:t>
      </w:r>
    </w:p>
    <w:p w14:paraId="7E3B80E9"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After five years of upgrading, we will optimize the inclusive financial service and guarantee system and significantly enhance people's sense of gain from financial services, so that agriculture, rural areas, farmers and micro and small enterprises can access more comprehensive financial services in a timely manner.</w:t>
      </w:r>
    </w:p>
    <w:p w14:paraId="4BCD5DC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2094AF15"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lastRenderedPageBreak/>
        <w:t>By the end of 2020, a total of 10 billion yuan will be invested in inclusive financial infrastructure construction and fee reduction and profit concession. All administrative villages with a population of over 200 will be fully covered by financial services. Cumulative loans issued to low-income farming households will reach 20 billion yuan, newly added credit loans will total 100 billion yuan, and the outstanding balance of loans for agriculture, rural areas, farmers and micro and small enterprises will exceed 1 trillion yuan.</w:t>
      </w:r>
    </w:p>
    <w:p w14:paraId="030D8D2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9ECC073"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(1) Smart Inclusive Finance</w:t>
      </w:r>
    </w:p>
    <w:p w14:paraId="4A9FC6D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Implement the Internet Plus initiative and accelerate the development of a rural digital inclusive finance system. Scale up the application of mobile banking, mobile payment, social media, e-commerce and online community services to break the constraints of time and space, and improve the intelligence and accessibility of inclusive finance. Carry out multi-level cooperation with government departments, schools, medical institutions, industrial parks and insurance institutions to expand the application of finance in various fields. By the end of 2020, the number of users of the *</w:t>
      </w:r>
      <w:proofErr w:type="spellStart"/>
      <w:r w:rsidRPr="00E81BFA">
        <w:rPr>
          <w:rFonts w:ascii="Arial" w:eastAsia="宋体" w:hAnsi="Arial" w:cs="Arial"/>
          <w:color w:val="1F2329"/>
          <w:sz w:val="24"/>
          <w:szCs w:val="24"/>
          <w:shd w:val="clear" w:color="auto" w:fill="FFFFFF"/>
          <w:lang w:eastAsia="zh-CN"/>
        </w:rPr>
        <w:t>Fengshou</w:t>
      </w:r>
      <w:proofErr w:type="spellEnd"/>
      <w:r w:rsidRPr="00E81BFA">
        <w:rPr>
          <w:rFonts w:ascii="Arial" w:eastAsia="宋体" w:hAnsi="Arial" w:cs="Arial"/>
          <w:color w:val="1F2329"/>
          <w:sz w:val="24"/>
          <w:szCs w:val="24"/>
          <w:shd w:val="clear" w:color="auto" w:fill="FFFFFF"/>
          <w:lang w:eastAsia="zh-CN"/>
        </w:rPr>
        <w:t xml:space="preserve"> Interconnection* platform will exceed 10 million, and the electronic banking substitution rate will top 85%.</w:t>
      </w:r>
    </w:p>
    <w:p w14:paraId="6E9CB08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0C2DE7C5"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(2) Green Inclusive Finance</w:t>
      </w:r>
    </w:p>
    <w:p w14:paraId="58211C4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Adhere to the development philosophy of "lucid waters and lush mountains are invaluable assets". Guide the transformation of agricultural industries, prioritize rural ecological protection and resource conservation, and promote the coordinated development of inclusive finance and rural economy and society. Take environmental protection, energy conservation and emission reduction as important criteria for customer classification, credit support and interest rate pricing. Fully implement the review mechanism for green credit and innovate green inclusive financial products to realize ecological beauty and common prosperity. By the end of 2020, green credit balance will account for more than 10% of total loans.</w:t>
      </w:r>
    </w:p>
    <w:p w14:paraId="0945991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E0FF3E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(3) Targeted Inclusive Finance</w:t>
      </w:r>
    </w:p>
    <w:p w14:paraId="550BF2BA"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For key regions including remote mountainous areas, islands and old villages, as well as key groups such as micro and small enterprises, low-income farming households and urban low-income residents, we will improve the establishment of inclusive financial information archives and accurately identify actual demands via big data analysis.</w:t>
      </w:r>
    </w:p>
    <w:p w14:paraId="466BAA4D"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2B7138E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Adopt tailored policies for different regions and households, deliver targeted services and help vulnerable groups build self-development capacity. Improve the pertinence of products and services to enhance the adaptability and satisfaction of inclusive finance. By the end of 2020, the coverage rate of inclusive financial information archives will exceed 90%.</w:t>
      </w:r>
    </w:p>
    <w:p w14:paraId="31A16D4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18E9474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(4) Shared Inclusive Finance</w:t>
      </w:r>
    </w:p>
    <w:p w14:paraId="48615C5E"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lastRenderedPageBreak/>
        <w:t>Balance social responsibility and sustainable development to embody the shared value of inclusive finance. Continue to increase investment in inclusive financial facilities, service channels and technologies, so as to shorten service distance, cut time costs and reduce service fees for the public. Reasonably set loan interest rates and continue to offer benefits to the people. Strengthen the development of inclusive finance culture and popularize financial knowledge to let more people share the fruits of inclusive finance. By the end of 2020, a total of 100,000 financial literacy campaigns will be held in villages, and no village will be left without financial services.</w:t>
      </w:r>
    </w:p>
    <w:p w14:paraId="5A21649A"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E1D5BB6"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IV. Build Five Major Systems</w:t>
      </w:r>
    </w:p>
    <w:p w14:paraId="575420F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(1) Integrated Urban and Rural Service Channel System</w:t>
      </w:r>
    </w:p>
    <w:p w14:paraId="5180B6D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Promote the transformation and upgrading of inclusive financial service channels. Carry out the *One Village, One Service Center* program. Relying on the *</w:t>
      </w:r>
      <w:proofErr w:type="spellStart"/>
      <w:r w:rsidRPr="00E81BFA">
        <w:rPr>
          <w:rFonts w:ascii="Arial" w:eastAsia="宋体" w:hAnsi="Arial" w:cs="Arial"/>
          <w:color w:val="1F2329"/>
          <w:sz w:val="24"/>
          <w:szCs w:val="24"/>
          <w:shd w:val="clear" w:color="auto" w:fill="FFFFFF"/>
          <w:lang w:eastAsia="zh-CN"/>
        </w:rPr>
        <w:t>Fengshou</w:t>
      </w:r>
      <w:proofErr w:type="spellEnd"/>
      <w:r w:rsidRPr="00E81BFA">
        <w:rPr>
          <w:rFonts w:ascii="Arial" w:eastAsia="宋体" w:hAnsi="Arial" w:cs="Arial"/>
          <w:color w:val="1F2329"/>
          <w:sz w:val="24"/>
          <w:szCs w:val="24"/>
          <w:shd w:val="clear" w:color="auto" w:fill="FFFFFF"/>
          <w:lang w:eastAsia="zh-CN"/>
        </w:rPr>
        <w:t xml:space="preserve"> Service Stations*, we will build village-level financial service centers to provide basic and comprehensive financial services, deploy self-service equipment and develop compact community-style outlets.</w:t>
      </w:r>
    </w:p>
    <w:p w14:paraId="51F3F2A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16B1F879"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Explore cross-border services and build a village-life service circle to integrate advantageous resources and meet people's demands for daily life and entrepreneurship. Advance the transformation of community banks and integrate financial services into community ecosystems. By the end of 2020, all administrative villages with a population of over 200 will have financial service centers, and the coverage rate of community financial services will reach 30%.</w:t>
      </w:r>
    </w:p>
    <w:p w14:paraId="4495E5B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59A7A5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Scale up mobile banking, online banking, WeChat banking and self-service banking. Accelerate the development of the *</w:t>
      </w:r>
      <w:proofErr w:type="spellStart"/>
      <w:r w:rsidRPr="00E81BFA">
        <w:rPr>
          <w:rFonts w:ascii="Arial" w:eastAsia="宋体" w:hAnsi="Arial" w:cs="Arial"/>
          <w:color w:val="1F2329"/>
          <w:sz w:val="24"/>
          <w:szCs w:val="24"/>
          <w:shd w:val="clear" w:color="auto" w:fill="FFFFFF"/>
          <w:lang w:eastAsia="zh-CN"/>
        </w:rPr>
        <w:t>Fengshou</w:t>
      </w:r>
      <w:proofErr w:type="spellEnd"/>
      <w:r w:rsidRPr="00E81BFA">
        <w:rPr>
          <w:rFonts w:ascii="Arial" w:eastAsia="宋体" w:hAnsi="Arial" w:cs="Arial"/>
          <w:color w:val="1F2329"/>
          <w:sz w:val="24"/>
          <w:szCs w:val="24"/>
          <w:shd w:val="clear" w:color="auto" w:fill="FFFFFF"/>
          <w:lang w:eastAsia="zh-CN"/>
        </w:rPr>
        <w:t xml:space="preserve"> Interconnection* platform integrating finance, payment, industry and e-commerce to realize online-offline integration and deliver network-based, mobile and intelligent services.</w:t>
      </w:r>
    </w:p>
    <w:p w14:paraId="52535149"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616251E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(2) Grid-Based and Tiered Service System</w:t>
      </w:r>
    </w:p>
    <w:p w14:paraId="13EC285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Divide service areas into multiple service grids according to administrative divisions, markets and industrial clusters. Assign dedicated staff to each grid with clear job responsibilities to deliver precise, efficient and all-round financial services to farming households, micro and small enterprises, urban and rural residents and merchants.</w:t>
      </w:r>
    </w:p>
    <w:p w14:paraId="65D35D6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78B3182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Continue the campaigns of visiting thousands of households and mobile on-site financial services to strengthen customer interaction, and provide innovative, experiential, personalized and professional services so as to translate universal financial access into tangible benefits for customers.</w:t>
      </w:r>
    </w:p>
    <w:p w14:paraId="09B3556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FE14A2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xml:space="preserve">Improve the tiered service system. Leverage big data to strengthen customer relationship and information management, analyze customer demands and deliver targeted services for different groups. Establish a post-service follow-up </w:t>
      </w:r>
      <w:r w:rsidRPr="00E81BFA">
        <w:rPr>
          <w:rFonts w:ascii="Arial" w:eastAsia="宋体" w:hAnsi="Arial" w:cs="Arial"/>
          <w:color w:val="1F2329"/>
          <w:sz w:val="24"/>
          <w:szCs w:val="24"/>
          <w:shd w:val="clear" w:color="auto" w:fill="FFFFFF"/>
          <w:lang w:eastAsia="zh-CN"/>
        </w:rPr>
        <w:lastRenderedPageBreak/>
        <w:t>mechanism to identify weaknesses and continuously optimize products and services to meet the comprehensive financial needs of urban and rural residents.</w:t>
      </w:r>
    </w:p>
    <w:p w14:paraId="40E5C6C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A07A49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(3) Branded and Micro-Oriented Product System</w:t>
      </w:r>
    </w:p>
    <w:p w14:paraId="224349EB"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Build a well-known brand for microcredit businesses featuring bulk credit granting, credit-based lending and self-service loan processing, so as to expand the scale and coverage of microcredit and support farmers to start businesses and increase income.</w:t>
      </w:r>
    </w:p>
    <w:p w14:paraId="0A77944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287FAAA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Innovate products such as loan-equity combination financing, industrial chain finance, internet finance, customized guarantee and smart finance in response to the large-scale and intensive development of agriculture. Promote retail-oriented product design and provide personalized customized products and portfolios based on customer demands.</w:t>
      </w:r>
    </w:p>
    <w:p w14:paraId="44C29A1D"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789F356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By the end of 2020, the outstanding balance of microcredit, farming household loans and loans for micro and small enterprises will reach 150 billion yuan, 500 billion yuan and 600 billion yuan respectively, benefiting 1.2 million, 2.4 million and 120,000 customers correspondingly.</w:t>
      </w:r>
    </w:p>
    <w:p w14:paraId="0ECFCB3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54B2E18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(4) Socialized and Circular Ecosystem System</w:t>
      </w:r>
    </w:p>
    <w:p w14:paraId="6D81EF5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Press ahead with the construction of the *</w:t>
      </w:r>
      <w:proofErr w:type="spellStart"/>
      <w:r w:rsidRPr="00E81BFA">
        <w:rPr>
          <w:rFonts w:ascii="Arial" w:eastAsia="宋体" w:hAnsi="Arial" w:cs="Arial"/>
          <w:color w:val="1F2329"/>
          <w:sz w:val="24"/>
          <w:szCs w:val="24"/>
          <w:shd w:val="clear" w:color="auto" w:fill="FFFFFF"/>
          <w:lang w:eastAsia="zh-CN"/>
        </w:rPr>
        <w:t>Fengshou</w:t>
      </w:r>
      <w:proofErr w:type="spellEnd"/>
      <w:r w:rsidRPr="00E81BFA">
        <w:rPr>
          <w:rFonts w:ascii="Arial" w:eastAsia="宋体" w:hAnsi="Arial" w:cs="Arial"/>
          <w:color w:val="1F2329"/>
          <w:sz w:val="24"/>
          <w:szCs w:val="24"/>
          <w:shd w:val="clear" w:color="auto" w:fill="FFFFFF"/>
          <w:lang w:eastAsia="zh-CN"/>
        </w:rPr>
        <w:t xml:space="preserve"> Credit System* of Zhejiang Rural Credit Union. Integrate data from public security, courts, market regulation, human resources and social security, environmental protection, customs and agriculture authorities to build a standardized and shared credit system for inclusive finance.</w:t>
      </w:r>
    </w:p>
    <w:p w14:paraId="2CC903BA"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6A0C5E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Expand the *</w:t>
      </w:r>
      <w:proofErr w:type="spellStart"/>
      <w:r w:rsidRPr="00E81BFA">
        <w:rPr>
          <w:rFonts w:ascii="Arial" w:eastAsia="宋体" w:hAnsi="Arial" w:cs="Arial"/>
          <w:color w:val="1F2329"/>
          <w:sz w:val="24"/>
          <w:szCs w:val="24"/>
          <w:shd w:val="clear" w:color="auto" w:fill="FFFFFF"/>
          <w:lang w:eastAsia="zh-CN"/>
        </w:rPr>
        <w:t>Fengshou</w:t>
      </w:r>
      <w:proofErr w:type="spellEnd"/>
      <w:r w:rsidRPr="00E81BFA">
        <w:rPr>
          <w:rFonts w:ascii="Arial" w:eastAsia="宋体" w:hAnsi="Arial" w:cs="Arial"/>
          <w:color w:val="1F2329"/>
          <w:sz w:val="24"/>
          <w:szCs w:val="24"/>
          <w:shd w:val="clear" w:color="auto" w:fill="FFFFFF"/>
          <w:lang w:eastAsia="zh-CN"/>
        </w:rPr>
        <w:t xml:space="preserve"> Purchase* e-commerce platform and *</w:t>
      </w:r>
      <w:proofErr w:type="spellStart"/>
      <w:r w:rsidRPr="00E81BFA">
        <w:rPr>
          <w:rFonts w:ascii="Arial" w:eastAsia="宋体" w:hAnsi="Arial" w:cs="Arial"/>
          <w:color w:val="1F2329"/>
          <w:sz w:val="24"/>
          <w:szCs w:val="24"/>
          <w:shd w:val="clear" w:color="auto" w:fill="FFFFFF"/>
          <w:lang w:eastAsia="zh-CN"/>
        </w:rPr>
        <w:t>Fengshou</w:t>
      </w:r>
      <w:proofErr w:type="spellEnd"/>
      <w:r w:rsidRPr="00E81BFA">
        <w:rPr>
          <w:rFonts w:ascii="Arial" w:eastAsia="宋体" w:hAnsi="Arial" w:cs="Arial"/>
          <w:color w:val="1F2329"/>
          <w:sz w:val="24"/>
          <w:szCs w:val="24"/>
          <w:shd w:val="clear" w:color="auto" w:fill="FFFFFF"/>
          <w:lang w:eastAsia="zh-CN"/>
        </w:rPr>
        <w:t xml:space="preserve"> Home* O2O platform to create an open and interactive ecosystem and improve customers' online-offline experience of financial and consumption services. Vigorously develop green finance and design full-process green financial instruments to support green, low-carbon and circular economy and drive economic transformation.</w:t>
      </w:r>
    </w:p>
    <w:p w14:paraId="50D5AFEC"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0CACBA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Carry out cross-industry inclusive services. Build a comprehensive information platform to shift from single product supply to overall solution provision for low-income groups and micro and small enterprises. Integrate resources of insurance, communication, agricultural materials and trading information to meet their demands for daily consumption, employment, entrepreneurship and product trading, and enrich the connotation of inclusive finance.</w:t>
      </w:r>
    </w:p>
    <w:p w14:paraId="6EF27943"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6722EBC2"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(5) Intelligent and Convenient Platform System</w:t>
      </w:r>
    </w:p>
    <w:p w14:paraId="41BB6B63"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Boost technological innovation in inclusive finance to reduce transaction costs and expand service coverage. Connect with smart city initiatives and participate in projects of smart transportation, smart medical care, smart campuses and smart catering to provide convenient and intelligent comprehensive services.</w:t>
      </w:r>
    </w:p>
    <w:p w14:paraId="4E137CBF"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5CA585AD"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Strengthen government-bank cooperation, align work with finance, taxation, agriculture, forestry, transportation and power authorities, and continue to act as an agent for the distribution of agricultural subsidies and public services to form joint efforts in supporting agriculture and micro businesses.</w:t>
      </w:r>
    </w:p>
    <w:p w14:paraId="550612F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651274C1"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Deepen bank-enterprise cooperation, expand agency businesses including securities, funds, insurance, futures and gold trading, and develop financial leasing, consumer finance and financing guarantee to diversify comprehensive financial services and meet customers' various demands.</w:t>
      </w:r>
    </w:p>
    <w:p w14:paraId="101606F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815754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V. Organizational Safeguards</w:t>
      </w:r>
    </w:p>
    <w:p w14:paraId="2A40752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(1) Establish a sound long-term mechanism</w:t>
      </w:r>
    </w:p>
    <w:p w14:paraId="05DAABD7"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Further improve long-term mechanisms covering organizational leadership, value orientation, channel network, products and services, assessment and evaluation, innovation incentives and cultural development to ensure the steady and sustainable development of inclusive finance.</w:t>
      </w:r>
    </w:p>
    <w:p w14:paraId="30FF0EB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43E3E0B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(2) Establish a resource-sharing linkage mechanism</w:t>
      </w:r>
    </w:p>
    <w:p w14:paraId="182F9CDA"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Strengthen the cooperation mechanism between governments, banks and rural communities, integrate superior resources of all parties and form joint work forces for inclusive finance.</w:t>
      </w:r>
    </w:p>
    <w:p w14:paraId="75A113A9"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F7C2AA3"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 (3) Establish a standardized and efficient evaluation mechanism</w:t>
      </w:r>
    </w:p>
    <w:p w14:paraId="197C8CF4"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Form a complete development chain consisting of regulation, planning, objectives, assessment and evaluation. Improve the assessment system to identify shortcomings regularly, evaluate implementation effects, and link evaluation results with policy support, market access and resource inclination, so as to continuously elevate the development level of inclusive finance.</w:t>
      </w:r>
    </w:p>
    <w:p w14:paraId="5A382908"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78B012E"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Issued by the General Office of Zhejiang Provincial People's Government</w:t>
      </w:r>
    </w:p>
    <w:p w14:paraId="6AB9236A"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r w:rsidRPr="00E81BFA">
        <w:rPr>
          <w:rFonts w:ascii="Arial" w:eastAsia="宋体" w:hAnsi="Arial" w:cs="Arial"/>
          <w:color w:val="1F2329"/>
          <w:sz w:val="24"/>
          <w:szCs w:val="24"/>
          <w:shd w:val="clear" w:color="auto" w:fill="FFFFFF"/>
          <w:lang w:eastAsia="zh-CN"/>
        </w:rPr>
        <w:t>November 10, 2016</w:t>
      </w:r>
    </w:p>
    <w:p w14:paraId="5B909450" w14:textId="77777777" w:rsidR="00E81BFA" w:rsidRPr="00E81BFA" w:rsidRDefault="00E81BFA" w:rsidP="00E81BFA">
      <w:pPr>
        <w:spacing w:after="0" w:line="240" w:lineRule="auto"/>
        <w:jc w:val="both"/>
        <w:rPr>
          <w:rFonts w:ascii="Arial" w:eastAsia="宋体" w:hAnsi="Arial" w:cs="Arial"/>
          <w:color w:val="1F2329"/>
          <w:sz w:val="24"/>
          <w:szCs w:val="24"/>
          <w:shd w:val="clear" w:color="auto" w:fill="FFFFFF"/>
          <w:lang w:eastAsia="zh-CN"/>
        </w:rPr>
      </w:pPr>
    </w:p>
    <w:p w14:paraId="373291E6" w14:textId="5496B619" w:rsidR="00EA5C0B" w:rsidRPr="00E81BFA" w:rsidRDefault="00E81BFA" w:rsidP="00E81BFA">
      <w:pPr>
        <w:jc w:val="both"/>
      </w:pPr>
      <w:r w:rsidRPr="00E81BFA">
        <w:rPr>
          <w:rFonts w:ascii="Arial" w:eastAsia="宋体" w:hAnsi="Arial" w:cs="Arial"/>
          <w:color w:val="1F2329"/>
          <w:sz w:val="24"/>
          <w:szCs w:val="24"/>
          <w:shd w:val="clear" w:color="auto" w:fill="FFFFFF"/>
          <w:lang w:eastAsia="zh-CN"/>
        </w:rPr>
        <w:t xml:space="preserve">**Appendix 1**: </w:t>
      </w:r>
      <w:proofErr w:type="spellStart"/>
      <w:r w:rsidRPr="00E81BFA">
        <w:rPr>
          <w:rFonts w:ascii="Arial" w:eastAsia="宋体" w:hAnsi="Arial" w:cs="Arial"/>
          <w:color w:val="1F2329"/>
          <w:sz w:val="24"/>
          <w:szCs w:val="24"/>
          <w:shd w:val="clear" w:color="auto" w:fill="FFFFFF"/>
          <w:lang w:eastAsia="zh-CN"/>
        </w:rPr>
        <w:t>Zhe</w:t>
      </w:r>
      <w:proofErr w:type="spellEnd"/>
      <w:r w:rsidRPr="00E81BFA">
        <w:rPr>
          <w:rFonts w:ascii="Arial" w:eastAsia="宋体" w:hAnsi="Arial" w:cs="Arial"/>
          <w:color w:val="1F2329"/>
          <w:sz w:val="24"/>
          <w:szCs w:val="24"/>
          <w:shd w:val="clear" w:color="auto" w:fill="FFFFFF"/>
          <w:lang w:eastAsia="zh-CN"/>
        </w:rPr>
        <w:t xml:space="preserve"> Zheng Ban Fa</w:t>
      </w:r>
      <w:r w:rsidRPr="00E81BFA">
        <w:rPr>
          <w:rFonts w:ascii="Arial" w:eastAsia="宋体" w:hAnsi="Arial" w:cs="Arial"/>
          <w:color w:val="1F2329"/>
          <w:sz w:val="24"/>
          <w:szCs w:val="24"/>
          <w:shd w:val="clear" w:color="auto" w:fill="FFFFFF"/>
          <w:lang w:eastAsia="zh-CN"/>
        </w:rPr>
        <w:t>〔</w:t>
      </w:r>
      <w:r w:rsidRPr="00E81BFA">
        <w:rPr>
          <w:rFonts w:ascii="Arial" w:eastAsia="宋体" w:hAnsi="Arial" w:cs="Arial"/>
          <w:color w:val="1F2329"/>
          <w:sz w:val="24"/>
          <w:szCs w:val="24"/>
          <w:shd w:val="clear" w:color="auto" w:fill="FFFFFF"/>
          <w:lang w:eastAsia="zh-CN"/>
        </w:rPr>
        <w:t>2016</w:t>
      </w:r>
      <w:r w:rsidRPr="00E81BFA">
        <w:rPr>
          <w:rFonts w:ascii="Arial" w:eastAsia="宋体" w:hAnsi="Arial" w:cs="Arial"/>
          <w:color w:val="1F2329"/>
          <w:sz w:val="24"/>
          <w:szCs w:val="24"/>
          <w:shd w:val="clear" w:color="auto" w:fill="FFFFFF"/>
          <w:lang w:eastAsia="zh-CN"/>
        </w:rPr>
        <w:t>〕</w:t>
      </w:r>
      <w:r w:rsidRPr="00E81BFA">
        <w:rPr>
          <w:rFonts w:ascii="Arial" w:eastAsia="宋体" w:hAnsi="Arial" w:cs="Arial"/>
          <w:color w:val="1F2329"/>
          <w:sz w:val="24"/>
          <w:szCs w:val="24"/>
          <w:shd w:val="clear" w:color="auto" w:fill="FFFFFF"/>
          <w:lang w:eastAsia="zh-CN"/>
        </w:rPr>
        <w:t>137 (CEB file)</w:t>
      </w:r>
    </w:p>
    <w:sectPr w:rsidR="00EA5C0B" w:rsidRPr="00E81BFA" w:rsidSect="00345A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A32"/>
    <w:rsid w:val="00AA1D8D"/>
    <w:rsid w:val="00B47730"/>
    <w:rsid w:val="00CB0664"/>
    <w:rsid w:val="00E10E73"/>
    <w:rsid w:val="00E81BFA"/>
    <w:rsid w:val="00EA5C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AE3F6"/>
  <w14:defaultImageDpi w14:val="300"/>
  <w15:docId w15:val="{5E0A3A89-7A75-4206-98B1-9DAF3AE5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161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2259</Words>
  <Characters>12881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2026-06-12T03:17:00Z</dcterms:modified>
  <cp:category/>
</cp:coreProperties>
</file>