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825D" w14:textId="77777777" w:rsidR="00575034" w:rsidRDefault="00575034" w:rsidP="00575034">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Notice on Implementing the Incentive and Subsidy Policy for National-level Inclusive Finance Development Demonstration Zones Supported by Central Finance</w:t>
      </w:r>
    </w:p>
    <w:p w14:paraId="283312E9"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Issuing Authorities: Ministry of Finance of the People’s Republic of China; People’s Bank of China; State Administration of Financial Regulation</w:t>
      </w:r>
    </w:p>
    <w:p w14:paraId="4A69487D" w14:textId="77777777" w:rsidR="00575034" w:rsidRDefault="00575034" w:rsidP="00575034">
      <w:pPr>
        <w:spacing w:line="360" w:lineRule="atLeast"/>
        <w:rPr>
          <w:rFonts w:ascii="Arial" w:hAnsi="Arial" w:cs="Arial"/>
          <w:color w:val="1F2329"/>
        </w:rPr>
      </w:pPr>
      <w:r>
        <w:rPr>
          <w:rFonts w:ascii="Arial" w:hAnsi="Arial" w:cs="Arial"/>
          <w:color w:val="1F2329"/>
        </w:rPr>
        <w:t>Release Date: November 16, 2021</w:t>
      </w:r>
    </w:p>
    <w:p w14:paraId="440EC711" w14:textId="77777777" w:rsidR="00575034" w:rsidRDefault="00575034" w:rsidP="00575034">
      <w:pPr>
        <w:spacing w:line="360" w:lineRule="atLeast"/>
        <w:rPr>
          <w:rFonts w:ascii="Arial" w:hAnsi="Arial" w:cs="Arial"/>
          <w:color w:val="1F2329"/>
        </w:rPr>
      </w:pPr>
      <w:r>
        <w:rPr>
          <w:rFonts w:ascii="Arial" w:hAnsi="Arial" w:cs="Arial"/>
          <w:color w:val="1F2329"/>
        </w:rPr>
        <w:t>Policy Level: National</w:t>
      </w:r>
    </w:p>
    <w:p w14:paraId="05F7A0FC"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Notice on Implementing the Incentive and Subsidy Policy for National-level Inclusive Finance Development Demonstration Zones Supported by Central Finance</w:t>
      </w:r>
    </w:p>
    <w:p w14:paraId="07E793CE"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 xml:space="preserve">Cai </w:t>
      </w:r>
      <w:proofErr w:type="spellStart"/>
      <w:r>
        <w:rPr>
          <w:rFonts w:ascii="Arial" w:hAnsi="Arial" w:cs="Arial"/>
          <w:color w:val="1F2329"/>
        </w:rPr>
        <w:t>Jin</w:t>
      </w:r>
      <w:proofErr w:type="spellEnd"/>
      <w:r>
        <w:rPr>
          <w:rFonts w:ascii="Arial" w:hAnsi="Arial" w:cs="Arial"/>
          <w:color w:val="1F2329"/>
        </w:rPr>
        <w:t xml:space="preserve"> [2021] No. 96</w:t>
      </w:r>
    </w:p>
    <w:p w14:paraId="5A1DF869" w14:textId="77777777" w:rsidR="00575034" w:rsidRDefault="00575034" w:rsidP="00575034">
      <w:pPr>
        <w:spacing w:line="360" w:lineRule="atLeast"/>
        <w:rPr>
          <w:rFonts w:ascii="Arial" w:hAnsi="Arial" w:cs="Arial"/>
          <w:color w:val="1F2329"/>
        </w:rPr>
      </w:pPr>
      <w:r>
        <w:rPr>
          <w:rFonts w:ascii="Arial" w:hAnsi="Arial" w:cs="Arial"/>
          <w:color w:val="1F2329"/>
        </w:rPr>
        <w:t>Finance Departments (Bureaus) and Local Financial Supervision Bureaus of all provinces, autonomous regions, municipalities directly under the Central Government, and cities with independent planning status; Finance Bureau and Local Financial Supervision Bureau of the Xinjiang Production and Construction Corps; Local Supervision Bureaus of the Ministry of Finance; Shanghai Headquarters, all branches, business management departments, provincial capital (capital city) central sub-branches, and sub-provincial city central sub-branches of the People’s Bank of China; All banking and insurance regulatory bureaus:</w:t>
      </w:r>
    </w:p>
    <w:p w14:paraId="4ACFC549" w14:textId="77777777" w:rsidR="00575034" w:rsidRDefault="00575034" w:rsidP="00575034">
      <w:pPr>
        <w:spacing w:line="360" w:lineRule="atLeast"/>
        <w:rPr>
          <w:rFonts w:ascii="Arial" w:hAnsi="Arial" w:cs="Arial"/>
          <w:color w:val="1F2329"/>
        </w:rPr>
      </w:pPr>
      <w:r>
        <w:rPr>
          <w:rFonts w:ascii="Arial" w:hAnsi="Arial" w:cs="Arial"/>
          <w:color w:val="1F2329"/>
        </w:rPr>
        <w:t>To implement the decisions and arrangements of the CPC Central Committee and the State Council on developing inclusive finance and supporting financing for micro and small enterprises, agriculture, rural areas and farmers, and building on the experience of pilot cities for deepening comprehensive reform of financial services for private and micro and small enterprises supported by fiscal funds, the Ministry of Finance, the People’s Bank of China, and the State Administration of Financial Regulation will launch the incentive and subsidy policy for national-level inclusive finance development demonstration zones supported by central finance starting from 2022. Relevant matters are hereby notified as follows:</w:t>
      </w:r>
    </w:p>
    <w:p w14:paraId="1FD06600" w14:textId="77777777" w:rsidR="00575034" w:rsidRDefault="00575034" w:rsidP="00575034">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I. General Requirements</w:t>
      </w:r>
    </w:p>
    <w:p w14:paraId="18E5D7BB"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 xml:space="preserve">Guided by Xi Jinping Thought on Socialism with Chinese Characteristics for a New Era, based on the new development stage, implementing the new development philosophy, and fostering a new development paradigm, we will closely align with the tasks of </w:t>
      </w:r>
      <w:r>
        <w:rPr>
          <w:rFonts w:ascii="Arial" w:hAnsi="Arial" w:cs="Arial"/>
          <w:color w:val="1F2329"/>
        </w:rPr>
        <w:lastRenderedPageBreak/>
        <w:t>ensuring stability in six key areas and security in six priorities. We will leverage the guiding and incentivizing role of fiscal funds, support local governments in developing inclusive finance demonstration zones with distinctive features tailored to local conditions, enhance the inclusiveness of finance, and promote high-quality development of inclusive finance.</w:t>
      </w:r>
    </w:p>
    <w:p w14:paraId="4491F095" w14:textId="77777777" w:rsidR="00575034" w:rsidRDefault="00575034" w:rsidP="00575034">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II. Basic Principles</w:t>
      </w:r>
    </w:p>
    <w:p w14:paraId="2DC76131"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(1) Government Guidance</w:t>
      </w:r>
    </w:p>
    <w:p w14:paraId="54E85F34"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Focus on improving the development mechanism of inclusive finance, addressing market failures, and effectively guiding financial resources to support micro and small entities while respecting market laws. We will use market-based approaches to create a favorable environment and stimulate internal driving forces.</w:t>
      </w:r>
    </w:p>
    <w:p w14:paraId="719935E3"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(2) Policy Coordination</w:t>
      </w:r>
    </w:p>
    <w:p w14:paraId="1DB54A2A"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Leverage the advantages of local governments in integrating resources, and coordinate the incentivizing and constraining effects of fiscal, monetary, and regulatory policies. We will foster policy synergy and establish a long-term mechanism for the sound development of inclusive finance.</w:t>
      </w:r>
    </w:p>
    <w:p w14:paraId="4EEAFB1C"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(3) Innovation Leadership</w:t>
      </w:r>
    </w:p>
    <w:p w14:paraId="27B03073"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Encourage demonstration zones to take the lead in pilot reforms, explore effective models for fiscal support to inclusive finance development, and develop replicable and scalable practices. We will set benchmarks, create exemplary models, and amplify policy effects.</w:t>
      </w:r>
    </w:p>
    <w:p w14:paraId="2D3F6600"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(4) Performance Orientation</w:t>
      </w:r>
    </w:p>
    <w:p w14:paraId="7438C6A5"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Strengthen management of performance objectives, conduct ongoing performance monitoring, and implement performance evaluation and result application. Central financial incentive funds will be linked to work performance to highlight positive incentives.</w:t>
      </w:r>
    </w:p>
    <w:p w14:paraId="41298E12" w14:textId="77777777" w:rsidR="00575034" w:rsidRDefault="00575034" w:rsidP="00575034">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III. Implementation Content</w:t>
      </w:r>
    </w:p>
    <w:p w14:paraId="723C1231"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(1) Eligible Recipients</w:t>
      </w:r>
    </w:p>
    <w:p w14:paraId="0592D0D9" w14:textId="77777777" w:rsidR="00575034" w:rsidRDefault="00575034" w:rsidP="00575034">
      <w:pPr>
        <w:numPr>
          <w:ilvl w:val="0"/>
          <w:numId w:val="10"/>
        </w:numPr>
        <w:spacing w:after="0" w:line="360" w:lineRule="atLeast"/>
        <w:rPr>
          <w:rFonts w:ascii="Arial" w:hAnsi="Arial" w:cs="Arial"/>
          <w:color w:val="1F2329"/>
          <w:sz w:val="24"/>
          <w:szCs w:val="24"/>
        </w:rPr>
      </w:pPr>
      <w:r>
        <w:rPr>
          <w:rFonts w:ascii="Arial" w:hAnsi="Arial" w:cs="Arial"/>
          <w:color w:val="1F2329"/>
        </w:rPr>
        <w:t xml:space="preserve">The central government will provide tiered incentives and subsidies to all provinces (autonomous regions, municipalities directly under the Central Government, and the Xinjiang Production and Construction Corps, hereinafter collectively referred to as "provinces"). The funds will support independent implementation of initiatives in inclusive finance development demonstration </w:t>
      </w:r>
      <w:r>
        <w:rPr>
          <w:rFonts w:ascii="Arial" w:hAnsi="Arial" w:cs="Arial"/>
          <w:color w:val="1F2329"/>
        </w:rPr>
        <w:lastRenderedPageBreak/>
        <w:t>zones designated by each province, alleviating difficulties in accessing affordable financing for inclusive groups.</w:t>
      </w:r>
    </w:p>
    <w:p w14:paraId="6C62CFCC" w14:textId="77777777" w:rsidR="00575034" w:rsidRDefault="00575034" w:rsidP="00575034">
      <w:pPr>
        <w:numPr>
          <w:ilvl w:val="0"/>
          <w:numId w:val="10"/>
        </w:numPr>
        <w:spacing w:after="0" w:line="360" w:lineRule="atLeast"/>
        <w:rPr>
          <w:rFonts w:ascii="Arial" w:hAnsi="Arial" w:cs="Arial"/>
          <w:color w:val="1F2329"/>
        </w:rPr>
      </w:pPr>
      <w:r>
        <w:rPr>
          <w:rFonts w:ascii="Arial" w:hAnsi="Arial" w:cs="Arial"/>
          <w:color w:val="1F2329"/>
        </w:rPr>
        <w:t>Each province may independently designate 1 to 3 demonstration zones annually, which can be provincial capitals or their counties/districts, prefecture-level cities, counties, county-level cities, districts, or national-level new areas. Provinces may decide whether to reuse the same region as a demonstration zone in subsequent years.</w:t>
      </w:r>
    </w:p>
    <w:p w14:paraId="25CAC371" w14:textId="77777777" w:rsidR="00575034" w:rsidRDefault="00575034" w:rsidP="00575034">
      <w:pPr>
        <w:numPr>
          <w:ilvl w:val="0"/>
          <w:numId w:val="10"/>
        </w:numPr>
        <w:spacing w:after="0" w:line="360" w:lineRule="atLeast"/>
        <w:rPr>
          <w:rFonts w:ascii="Arial" w:hAnsi="Arial" w:cs="Arial"/>
          <w:color w:val="1F2329"/>
        </w:rPr>
      </w:pPr>
      <w:r>
        <w:rPr>
          <w:rFonts w:ascii="Arial" w:hAnsi="Arial" w:cs="Arial"/>
          <w:color w:val="1F2329"/>
        </w:rPr>
        <w:t>Each year, the central government will select 3 cities with independent planning status from applicants based on performance evaluation scores to serve as demonstration zones.</w:t>
      </w:r>
    </w:p>
    <w:p w14:paraId="6EB8831D"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(2) Fund Allocation and Usage</w:t>
      </w:r>
    </w:p>
    <w:p w14:paraId="378AF129"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The central government will allocate incentive and subsidy funds via special transfer payments for inclusive finance development to support inclusive finance development in demonstration zones. The funds shall be used by demonstration zones in a coordinated manner for:</w:t>
      </w:r>
    </w:p>
    <w:p w14:paraId="68529506" w14:textId="77777777" w:rsidR="00575034" w:rsidRDefault="00575034" w:rsidP="00575034">
      <w:pPr>
        <w:numPr>
          <w:ilvl w:val="0"/>
          <w:numId w:val="11"/>
        </w:numPr>
        <w:spacing w:after="0" w:line="360" w:lineRule="atLeast"/>
        <w:rPr>
          <w:rFonts w:ascii="Arial" w:hAnsi="Arial" w:cs="Arial"/>
          <w:color w:val="1F2329"/>
        </w:rPr>
      </w:pPr>
      <w:r>
        <w:rPr>
          <w:rFonts w:ascii="Arial" w:hAnsi="Arial" w:cs="Arial"/>
          <w:color w:val="1F2329"/>
        </w:rPr>
        <w:t>Interest subsidies on loans supporting micro, small, agricultural and rural entities;</w:t>
      </w:r>
    </w:p>
    <w:p w14:paraId="432BECEF" w14:textId="77777777" w:rsidR="00575034" w:rsidRDefault="00575034" w:rsidP="00575034">
      <w:pPr>
        <w:numPr>
          <w:ilvl w:val="0"/>
          <w:numId w:val="11"/>
        </w:numPr>
        <w:spacing w:after="0" w:line="360" w:lineRule="atLeast"/>
        <w:rPr>
          <w:rFonts w:ascii="Arial" w:hAnsi="Arial" w:cs="Arial"/>
          <w:color w:val="1F2329"/>
        </w:rPr>
      </w:pPr>
      <w:r>
        <w:rPr>
          <w:rFonts w:ascii="Arial" w:hAnsi="Arial" w:cs="Arial"/>
          <w:color w:val="1F2329"/>
        </w:rPr>
        <w:t>Risk compensation for such loans;</w:t>
      </w:r>
    </w:p>
    <w:p w14:paraId="072D59EE" w14:textId="77777777" w:rsidR="00575034" w:rsidRDefault="00575034" w:rsidP="00575034">
      <w:pPr>
        <w:numPr>
          <w:ilvl w:val="0"/>
          <w:numId w:val="11"/>
        </w:numPr>
        <w:spacing w:after="0" w:line="360" w:lineRule="atLeast"/>
        <w:rPr>
          <w:rFonts w:ascii="Arial" w:hAnsi="Arial" w:cs="Arial"/>
          <w:color w:val="1F2329"/>
        </w:rPr>
      </w:pPr>
      <w:r>
        <w:rPr>
          <w:rFonts w:ascii="Arial" w:hAnsi="Arial" w:cs="Arial"/>
          <w:color w:val="1F2329"/>
        </w:rPr>
        <w:t>Fee reduction subsidies, capital replenishment, and risk compensation for agriculture-related businesses of government-backed financing guarantee institutions.</w:t>
      </w:r>
    </w:p>
    <w:p w14:paraId="71DFAF6A" w14:textId="77777777" w:rsidR="00575034" w:rsidRDefault="00575034" w:rsidP="00575034">
      <w:pPr>
        <w:spacing w:line="360" w:lineRule="atLeast"/>
        <w:rPr>
          <w:rFonts w:ascii="Arial" w:hAnsi="Arial" w:cs="Arial"/>
          <w:color w:val="1F2329"/>
        </w:rPr>
      </w:pPr>
      <w:r>
        <w:rPr>
          <w:rFonts w:ascii="Arial" w:hAnsi="Arial" w:cs="Arial"/>
          <w:color w:val="1F2329"/>
        </w:rPr>
        <w:t>Demonstration zones shall strengthen inter-departmental coordination and policy alignment, ensuring complementarity and synergy between this policy and other central financial support policies. However, no duplicate central financial funding shall be allocated to the same entity for the same support purpose in the same year.</w:t>
      </w:r>
    </w:p>
    <w:p w14:paraId="2D5958F0"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(3) Incentive and Subsidy Standards</w:t>
      </w:r>
    </w:p>
    <w:p w14:paraId="57B5CA86"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The central government will provide tiered incentives linked to performance. The baseline subsidies are:</w:t>
      </w:r>
    </w:p>
    <w:p w14:paraId="742760A0" w14:textId="77777777" w:rsidR="00575034" w:rsidRDefault="00575034" w:rsidP="00575034">
      <w:pPr>
        <w:numPr>
          <w:ilvl w:val="0"/>
          <w:numId w:val="12"/>
        </w:numPr>
        <w:spacing w:after="0" w:line="360" w:lineRule="atLeast"/>
        <w:rPr>
          <w:rFonts w:ascii="Arial" w:hAnsi="Arial" w:cs="Arial"/>
          <w:color w:val="1F2329"/>
        </w:rPr>
      </w:pPr>
      <w:r>
        <w:rPr>
          <w:rFonts w:ascii="Arial" w:hAnsi="Arial" w:cs="Arial"/>
          <w:color w:val="1F2329"/>
        </w:rPr>
        <w:t>Eastern regions: RMB 30 million per province per year;</w:t>
      </w:r>
    </w:p>
    <w:p w14:paraId="25B2D42F" w14:textId="77777777" w:rsidR="00575034" w:rsidRDefault="00575034" w:rsidP="00575034">
      <w:pPr>
        <w:numPr>
          <w:ilvl w:val="0"/>
          <w:numId w:val="12"/>
        </w:numPr>
        <w:spacing w:after="0" w:line="360" w:lineRule="atLeast"/>
        <w:rPr>
          <w:rFonts w:ascii="Arial" w:hAnsi="Arial" w:cs="Arial"/>
          <w:color w:val="1F2329"/>
        </w:rPr>
      </w:pPr>
      <w:r>
        <w:rPr>
          <w:rFonts w:ascii="Arial" w:hAnsi="Arial" w:cs="Arial"/>
          <w:color w:val="1F2329"/>
        </w:rPr>
        <w:t>Central and northeastern regions: RMB 50 million per province per year.</w:t>
      </w:r>
    </w:p>
    <w:p w14:paraId="5882E4DE" w14:textId="77777777" w:rsidR="00575034" w:rsidRDefault="00575034" w:rsidP="00575034">
      <w:pPr>
        <w:spacing w:line="360" w:lineRule="atLeast"/>
        <w:rPr>
          <w:rFonts w:ascii="Arial" w:hAnsi="Arial" w:cs="Arial"/>
          <w:color w:val="1F2329"/>
        </w:rPr>
      </w:pPr>
      <w:r>
        <w:rPr>
          <w:rFonts w:ascii="Arial" w:hAnsi="Arial" w:cs="Arial"/>
          <w:color w:val="1F2329"/>
        </w:rPr>
        <w:t>Incentives are divided into three tiers with performance coefficients:</w:t>
      </w:r>
    </w:p>
    <w:p w14:paraId="3092F1AA" w14:textId="77777777" w:rsidR="00575034" w:rsidRDefault="00575034" w:rsidP="00575034">
      <w:pPr>
        <w:numPr>
          <w:ilvl w:val="0"/>
          <w:numId w:val="13"/>
        </w:numPr>
        <w:spacing w:after="0" w:line="360" w:lineRule="atLeast"/>
        <w:rPr>
          <w:rFonts w:ascii="Arial" w:hAnsi="Arial" w:cs="Arial"/>
          <w:color w:val="1F2329"/>
        </w:rPr>
      </w:pPr>
      <w:r>
        <w:rPr>
          <w:rFonts w:ascii="Arial" w:hAnsi="Arial" w:cs="Arial"/>
          <w:color w:val="1F2329"/>
        </w:rPr>
        <w:t>Tier 1: Coefficient of 2;</w:t>
      </w:r>
    </w:p>
    <w:p w14:paraId="104DD882" w14:textId="77777777" w:rsidR="00575034" w:rsidRDefault="00575034" w:rsidP="00575034">
      <w:pPr>
        <w:numPr>
          <w:ilvl w:val="0"/>
          <w:numId w:val="13"/>
        </w:numPr>
        <w:spacing w:after="0" w:line="360" w:lineRule="atLeast"/>
        <w:rPr>
          <w:rFonts w:ascii="Arial" w:hAnsi="Arial" w:cs="Arial"/>
          <w:color w:val="1F2329"/>
        </w:rPr>
      </w:pPr>
      <w:r>
        <w:rPr>
          <w:rFonts w:ascii="Arial" w:hAnsi="Arial" w:cs="Arial"/>
          <w:color w:val="1F2329"/>
        </w:rPr>
        <w:t>Tier 2: Coefficient of 1.5;</w:t>
      </w:r>
    </w:p>
    <w:p w14:paraId="1577AD39" w14:textId="77777777" w:rsidR="00575034" w:rsidRDefault="00575034" w:rsidP="00575034">
      <w:pPr>
        <w:numPr>
          <w:ilvl w:val="0"/>
          <w:numId w:val="13"/>
        </w:numPr>
        <w:spacing w:after="0" w:line="360" w:lineRule="atLeast"/>
        <w:rPr>
          <w:rFonts w:ascii="Arial" w:hAnsi="Arial" w:cs="Arial"/>
          <w:color w:val="1F2329"/>
        </w:rPr>
      </w:pPr>
      <w:r>
        <w:rPr>
          <w:rFonts w:ascii="Arial" w:hAnsi="Arial" w:cs="Arial"/>
          <w:color w:val="1F2329"/>
        </w:rPr>
        <w:t>Tier 3: Coefficient of 1.</w:t>
      </w:r>
    </w:p>
    <w:p w14:paraId="2B3D2DD0" w14:textId="77777777" w:rsidR="00575034" w:rsidRDefault="00575034" w:rsidP="00575034">
      <w:pPr>
        <w:spacing w:line="360" w:lineRule="atLeast"/>
        <w:rPr>
          <w:rFonts w:ascii="Arial" w:hAnsi="Arial" w:cs="Arial"/>
          <w:color w:val="1F2329"/>
        </w:rPr>
      </w:pPr>
      <w:r>
        <w:rPr>
          <w:rFonts w:ascii="Arial" w:hAnsi="Arial" w:cs="Arial"/>
          <w:color w:val="1F2329"/>
        </w:rPr>
        <w:lastRenderedPageBreak/>
        <w:t>Cities with independent planning status designated as demonstration zones will receive RMB 30 million annually.</w:t>
      </w:r>
    </w:p>
    <w:p w14:paraId="651350B0"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(4) Tier Allocation</w:t>
      </w:r>
    </w:p>
    <w:p w14:paraId="310B5EC2"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Provinces in eastern, central/northeastern, and western regions will be ranked separately to determine incentive tiers, with 25% in Tier 1, 50% in Tier 2, and 25% in Tier 3. Detailed allocation is as follows:</w:t>
      </w:r>
    </w:p>
    <w:p w14:paraId="1C3F04C2" w14:textId="77777777" w:rsidR="00575034" w:rsidRDefault="00575034" w:rsidP="00575034">
      <w:pPr>
        <w:spacing w:line="360" w:lineRule="atLeast"/>
        <w:rPr>
          <w:rFonts w:ascii="Arial" w:hAnsi="Arial" w:cs="Arial"/>
          <w:color w:val="1F2329"/>
        </w:rPr>
      </w:pPr>
      <w:r>
        <w:rPr>
          <w:rFonts w:ascii="Arial" w:hAnsi="Arial" w:cs="Arial"/>
          <w:color w:val="1F2329"/>
        </w:rPr>
        <w:t>In addition, 3 cities with independent planning status will be designated as demonstration zones annually.</w:t>
      </w:r>
    </w:p>
    <w:p w14:paraId="38A63682"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(5) Performance Evaluation</w:t>
      </w:r>
    </w:p>
    <w:p w14:paraId="5B85DD43"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Performance evaluation covers two components: demonstration zone performance (50% weight) and provincial performance (50% weight).</w:t>
      </w:r>
    </w:p>
    <w:p w14:paraId="39862A7B" w14:textId="77777777" w:rsidR="00575034" w:rsidRDefault="00575034" w:rsidP="00575034">
      <w:pPr>
        <w:spacing w:line="360" w:lineRule="atLeast"/>
        <w:rPr>
          <w:rFonts w:ascii="Arial" w:hAnsi="Arial" w:cs="Arial"/>
          <w:color w:val="1F2329"/>
        </w:rPr>
      </w:pPr>
      <w:r>
        <w:rPr>
          <w:rStyle w:val="af8"/>
          <w:rFonts w:ascii="Arial" w:hAnsi="Arial" w:cs="Arial"/>
          <w:b w:val="0"/>
          <w:bCs w:val="0"/>
          <w:color w:val="1F2329"/>
        </w:rPr>
        <w:t>Demonstration zone performance (50%) includes 5 indicators</w:t>
      </w:r>
      <w:r>
        <w:rPr>
          <w:rFonts w:ascii="Arial" w:hAnsi="Arial" w:cs="Arial"/>
          <w:color w:val="1F2329"/>
        </w:rPr>
        <w:t>:</w:t>
      </w:r>
    </w:p>
    <w:p w14:paraId="6B189409" w14:textId="77777777" w:rsidR="00575034" w:rsidRDefault="00575034" w:rsidP="00575034">
      <w:pPr>
        <w:numPr>
          <w:ilvl w:val="0"/>
          <w:numId w:val="14"/>
        </w:numPr>
        <w:spacing w:after="0" w:line="360" w:lineRule="atLeast"/>
        <w:rPr>
          <w:rFonts w:ascii="Arial" w:hAnsi="Arial" w:cs="Arial"/>
          <w:color w:val="1F2329"/>
        </w:rPr>
      </w:pPr>
      <w:r>
        <w:rPr>
          <w:rFonts w:ascii="Arial" w:hAnsi="Arial" w:cs="Arial"/>
          <w:color w:val="1F2329"/>
        </w:rPr>
        <w:t>Year-on-year growth rate of outstanding inclusive micro and small enterprise loans;</w:t>
      </w:r>
    </w:p>
    <w:p w14:paraId="28F417EE" w14:textId="77777777" w:rsidR="00575034" w:rsidRDefault="00575034" w:rsidP="00575034">
      <w:pPr>
        <w:numPr>
          <w:ilvl w:val="0"/>
          <w:numId w:val="14"/>
        </w:numPr>
        <w:spacing w:after="0" w:line="360" w:lineRule="atLeast"/>
        <w:rPr>
          <w:rFonts w:ascii="Arial" w:hAnsi="Arial" w:cs="Arial"/>
          <w:color w:val="1F2329"/>
        </w:rPr>
      </w:pPr>
      <w:r>
        <w:rPr>
          <w:rFonts w:ascii="Arial" w:hAnsi="Arial" w:cs="Arial"/>
          <w:color w:val="1F2329"/>
        </w:rPr>
        <w:t>Year-on-year growth rate of outstanding inclusive rural household production and business loans;</w:t>
      </w:r>
    </w:p>
    <w:p w14:paraId="3746C646" w14:textId="77777777" w:rsidR="00575034" w:rsidRDefault="00575034" w:rsidP="00575034">
      <w:pPr>
        <w:numPr>
          <w:ilvl w:val="0"/>
          <w:numId w:val="14"/>
        </w:numPr>
        <w:spacing w:after="0" w:line="360" w:lineRule="atLeast"/>
        <w:rPr>
          <w:rFonts w:ascii="Arial" w:hAnsi="Arial" w:cs="Arial"/>
          <w:color w:val="1F2329"/>
        </w:rPr>
      </w:pPr>
      <w:r>
        <w:rPr>
          <w:rFonts w:ascii="Arial" w:hAnsi="Arial" w:cs="Arial"/>
          <w:color w:val="1F2329"/>
        </w:rPr>
        <w:t>Year-on-year decline in average interest rates on newly issued inclusive micro and small enterprise loans in the current year;</w:t>
      </w:r>
    </w:p>
    <w:p w14:paraId="313149D7" w14:textId="77777777" w:rsidR="00575034" w:rsidRDefault="00575034" w:rsidP="00575034">
      <w:pPr>
        <w:numPr>
          <w:ilvl w:val="0"/>
          <w:numId w:val="14"/>
        </w:numPr>
        <w:spacing w:after="0" w:line="360" w:lineRule="atLeast"/>
        <w:rPr>
          <w:rFonts w:ascii="Arial" w:hAnsi="Arial" w:cs="Arial"/>
          <w:color w:val="1F2329"/>
        </w:rPr>
      </w:pPr>
      <w:r>
        <w:rPr>
          <w:rFonts w:ascii="Arial" w:hAnsi="Arial" w:cs="Arial"/>
          <w:color w:val="1F2329"/>
        </w:rPr>
        <w:t>Year-on-year growth rate of outstanding government-backed financing guarantee business;</w:t>
      </w:r>
    </w:p>
    <w:p w14:paraId="4AEA91D9" w14:textId="77777777" w:rsidR="00575034" w:rsidRDefault="00575034" w:rsidP="00575034">
      <w:pPr>
        <w:numPr>
          <w:ilvl w:val="0"/>
          <w:numId w:val="14"/>
        </w:numPr>
        <w:spacing w:after="0" w:line="360" w:lineRule="atLeast"/>
        <w:rPr>
          <w:rFonts w:ascii="Arial" w:hAnsi="Arial" w:cs="Arial"/>
          <w:color w:val="1F2329"/>
        </w:rPr>
      </w:pPr>
      <w:r>
        <w:rPr>
          <w:rFonts w:ascii="Arial" w:hAnsi="Arial" w:cs="Arial"/>
          <w:color w:val="1F2329"/>
        </w:rPr>
        <w:t>Year-on-year growth rate of outstanding micro and small enterprise credit loans.</w:t>
      </w:r>
    </w:p>
    <w:p w14:paraId="23EA1C62" w14:textId="77777777" w:rsidR="00575034" w:rsidRDefault="00575034" w:rsidP="00575034">
      <w:pPr>
        <w:spacing w:line="360" w:lineRule="atLeast"/>
        <w:rPr>
          <w:rFonts w:ascii="Arial" w:hAnsi="Arial" w:cs="Arial"/>
          <w:color w:val="1F2329"/>
        </w:rPr>
      </w:pPr>
      <w:r>
        <w:rPr>
          <w:rStyle w:val="af8"/>
          <w:rFonts w:ascii="Arial" w:hAnsi="Arial" w:cs="Arial"/>
          <w:b w:val="0"/>
          <w:bCs w:val="0"/>
          <w:color w:val="1F2329"/>
        </w:rPr>
        <w:t>Provincial performance (50%) uses the same indicators</w:t>
      </w:r>
      <w:r>
        <w:rPr>
          <w:rFonts w:ascii="Arial" w:hAnsi="Arial" w:cs="Arial"/>
          <w:color w:val="1F2329"/>
        </w:rPr>
        <w:t>.</w:t>
      </w:r>
    </w:p>
    <w:p w14:paraId="674F9A51" w14:textId="77777777" w:rsidR="00575034" w:rsidRDefault="00575034" w:rsidP="00575034">
      <w:pPr>
        <w:spacing w:line="360" w:lineRule="atLeast"/>
        <w:rPr>
          <w:rFonts w:ascii="Arial" w:hAnsi="Arial" w:cs="Arial"/>
          <w:color w:val="1F2329"/>
        </w:rPr>
      </w:pPr>
      <w:r>
        <w:rPr>
          <w:rFonts w:ascii="Arial" w:hAnsi="Arial" w:cs="Arial"/>
          <w:color w:val="1F2329"/>
        </w:rPr>
        <w:t>For municipalities directly under the Central Government, cities with independent planning status, and the Tibet Autonomous Region, only overall municipal/autonomous region performance (100% weight) will be evaluated using the same indicators.</w:t>
      </w:r>
    </w:p>
    <w:p w14:paraId="73DFF089" w14:textId="77777777" w:rsidR="00575034" w:rsidRDefault="00575034" w:rsidP="00575034">
      <w:pPr>
        <w:spacing w:line="360" w:lineRule="atLeast"/>
        <w:rPr>
          <w:rFonts w:ascii="Arial" w:hAnsi="Arial" w:cs="Arial"/>
          <w:color w:val="1F2329"/>
        </w:rPr>
      </w:pPr>
      <w:r>
        <w:rPr>
          <w:rFonts w:ascii="Arial" w:hAnsi="Arial" w:cs="Arial"/>
          <w:color w:val="1F2329"/>
        </w:rPr>
        <w:t>Each indicator will be ranked separately for eastern, central/northeastern, and western regions, with scores assigned based on rankings. Total scores will determine the provincial incentive tier. For provinces designating 2–3 demonstration zones, average indicator values will be used for ranking.</w:t>
      </w:r>
    </w:p>
    <w:p w14:paraId="711BB32C" w14:textId="77777777" w:rsidR="00575034" w:rsidRDefault="00575034" w:rsidP="00575034">
      <w:pPr>
        <w:spacing w:line="360" w:lineRule="atLeast"/>
        <w:rPr>
          <w:rFonts w:ascii="Arial" w:hAnsi="Arial" w:cs="Arial"/>
          <w:color w:val="1F2329"/>
        </w:rPr>
      </w:pPr>
      <w:r>
        <w:rPr>
          <w:rFonts w:ascii="Arial" w:hAnsi="Arial" w:cs="Arial"/>
          <w:color w:val="1F2329"/>
        </w:rPr>
        <w:t>The performance evaluation form, scoring rules, and reporting guidelines are specified in Annexes 1 and 2.</w:t>
      </w:r>
    </w:p>
    <w:p w14:paraId="4EB5A57B"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lastRenderedPageBreak/>
        <w:t>(6) Additional Evaluation Factors</w:t>
      </w:r>
    </w:p>
    <w:p w14:paraId="299A3B53"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Additional points will be awarded to demonstration zones that are:</w:t>
      </w:r>
    </w:p>
    <w:p w14:paraId="1CE29840" w14:textId="77777777" w:rsidR="00575034" w:rsidRDefault="00575034" w:rsidP="00575034">
      <w:pPr>
        <w:numPr>
          <w:ilvl w:val="0"/>
          <w:numId w:val="15"/>
        </w:numPr>
        <w:spacing w:after="0" w:line="360" w:lineRule="atLeast"/>
        <w:rPr>
          <w:rFonts w:ascii="Arial" w:hAnsi="Arial" w:cs="Arial"/>
          <w:color w:val="1F2329"/>
        </w:rPr>
      </w:pPr>
      <w:r>
        <w:rPr>
          <w:rFonts w:ascii="Arial" w:hAnsi="Arial" w:cs="Arial"/>
          <w:color w:val="1F2329"/>
        </w:rPr>
        <w:t>National key counties for rural revitalization assistance;</w:t>
      </w:r>
    </w:p>
    <w:p w14:paraId="3BF79276" w14:textId="77777777" w:rsidR="00575034" w:rsidRDefault="00575034" w:rsidP="00575034">
      <w:pPr>
        <w:numPr>
          <w:ilvl w:val="0"/>
          <w:numId w:val="15"/>
        </w:numPr>
        <w:spacing w:after="0" w:line="360" w:lineRule="atLeast"/>
        <w:rPr>
          <w:rFonts w:ascii="Arial" w:hAnsi="Arial" w:cs="Arial"/>
          <w:color w:val="1F2329"/>
        </w:rPr>
      </w:pPr>
      <w:r>
        <w:rPr>
          <w:rFonts w:ascii="Arial" w:hAnsi="Arial" w:cs="Arial"/>
          <w:color w:val="1F2329"/>
        </w:rPr>
        <w:t>Inclusive finance reform pilot zones led by the People’s Bank of China;</w:t>
      </w:r>
    </w:p>
    <w:p w14:paraId="23BA9016" w14:textId="77777777" w:rsidR="00575034" w:rsidRDefault="00575034" w:rsidP="00575034">
      <w:pPr>
        <w:numPr>
          <w:ilvl w:val="0"/>
          <w:numId w:val="15"/>
        </w:numPr>
        <w:spacing w:after="0" w:line="360" w:lineRule="atLeast"/>
        <w:rPr>
          <w:rFonts w:ascii="Arial" w:hAnsi="Arial" w:cs="Arial"/>
          <w:color w:val="1F2329"/>
        </w:rPr>
      </w:pPr>
      <w:r>
        <w:rPr>
          <w:rFonts w:ascii="Arial" w:hAnsi="Arial" w:cs="Arial"/>
          <w:color w:val="1F2329"/>
        </w:rPr>
        <w:t>National-level financial services rural revitalization innovation demonstration areas designated by the State Administration of Financial Regulation.</w:t>
      </w:r>
    </w:p>
    <w:p w14:paraId="47365FF4" w14:textId="77777777" w:rsidR="00575034" w:rsidRDefault="00575034" w:rsidP="00575034">
      <w:pPr>
        <w:spacing w:line="360" w:lineRule="atLeast"/>
        <w:rPr>
          <w:rFonts w:ascii="Arial" w:hAnsi="Arial" w:cs="Arial"/>
          <w:color w:val="1F2329"/>
        </w:rPr>
      </w:pPr>
      <w:r>
        <w:rPr>
          <w:rFonts w:ascii="Arial" w:hAnsi="Arial" w:cs="Arial"/>
          <w:color w:val="1F2329"/>
        </w:rPr>
        <w:t>Scoring rules for additional points are set out in Annex 2.</w:t>
      </w:r>
    </w:p>
    <w:p w14:paraId="0C0BE3D1" w14:textId="77777777" w:rsidR="00575034" w:rsidRDefault="00575034" w:rsidP="00575034">
      <w:pPr>
        <w:spacing w:line="360" w:lineRule="atLeast"/>
        <w:rPr>
          <w:rFonts w:ascii="Arial" w:hAnsi="Arial" w:cs="Arial"/>
          <w:color w:val="1F2329"/>
        </w:rPr>
      </w:pPr>
      <w:r>
        <w:rPr>
          <w:rFonts w:ascii="Arial" w:hAnsi="Arial" w:cs="Arial"/>
          <w:color w:val="1F2329"/>
        </w:rPr>
        <w:t>If data authenticity and accuracy issues are identified, the province’s previous year’s incentive funds will be deducted. In cases of intentional misreporting or false reporting, in addition to deduction, the province may be disqualified from receiving funds in the following year or reassigned to a lower tier.</w:t>
      </w:r>
    </w:p>
    <w:p w14:paraId="3F2F8A0A"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(7) Policy Transition</w:t>
      </w:r>
    </w:p>
    <w:p w14:paraId="1DCF758E"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In 2022, only provincial performance in 2021 will be evaluated. Starting from 2023, both demonstration zone and provincial performance will be assessed as required.</w:t>
      </w:r>
    </w:p>
    <w:p w14:paraId="3ADD8CD9" w14:textId="77777777" w:rsidR="00575034" w:rsidRDefault="00575034" w:rsidP="00575034">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IV. Work Procedures</w:t>
      </w:r>
    </w:p>
    <w:p w14:paraId="60712684" w14:textId="77777777" w:rsidR="00575034" w:rsidRDefault="00575034" w:rsidP="00575034">
      <w:pPr>
        <w:numPr>
          <w:ilvl w:val="0"/>
          <w:numId w:val="16"/>
        </w:numPr>
        <w:spacing w:after="0" w:line="360" w:lineRule="atLeast"/>
        <w:rPr>
          <w:rFonts w:ascii="Arial" w:hAnsi="Arial" w:cs="Arial"/>
          <w:color w:val="1F2329"/>
          <w:sz w:val="24"/>
          <w:szCs w:val="24"/>
        </w:rPr>
      </w:pPr>
      <w:r>
        <w:rPr>
          <w:rFonts w:ascii="Arial" w:hAnsi="Arial" w:cs="Arial"/>
          <w:color w:val="1F2329"/>
        </w:rPr>
        <w:t>By February 20 each year, provincial finance departments shall submit the previous year’s performance evaluation form, summary reports on demonstration zone and provincial inclusive finance development, and other materials to the Ministry of Finance (Department of Finance, hereinafter referred to as MOF), with copies to local MOF supervision bureaus. Late submissions will not be accepted.</w:t>
      </w:r>
    </w:p>
    <w:p w14:paraId="6FDF6CF1" w14:textId="77777777" w:rsidR="00575034" w:rsidRDefault="00575034" w:rsidP="00575034">
      <w:pPr>
        <w:numPr>
          <w:ilvl w:val="0"/>
          <w:numId w:val="16"/>
        </w:numPr>
        <w:spacing w:after="0" w:line="360" w:lineRule="atLeast"/>
        <w:rPr>
          <w:rFonts w:ascii="Arial" w:hAnsi="Arial" w:cs="Arial"/>
          <w:color w:val="1F2329"/>
        </w:rPr>
      </w:pPr>
      <w:r>
        <w:rPr>
          <w:rFonts w:ascii="Arial" w:hAnsi="Arial" w:cs="Arial"/>
          <w:color w:val="1F2329"/>
        </w:rPr>
        <w:t>Local MOF supervision bureaus will review performance evaluation results and previous year’s fund usage, and submit review opinions to MOF by March 15 each year.</w:t>
      </w:r>
    </w:p>
    <w:p w14:paraId="69635555" w14:textId="77777777" w:rsidR="00575034" w:rsidRDefault="00575034" w:rsidP="00575034">
      <w:pPr>
        <w:numPr>
          <w:ilvl w:val="0"/>
          <w:numId w:val="16"/>
        </w:numPr>
        <w:spacing w:after="0" w:line="360" w:lineRule="atLeast"/>
        <w:rPr>
          <w:rFonts w:ascii="Arial" w:hAnsi="Arial" w:cs="Arial"/>
          <w:color w:val="1F2329"/>
        </w:rPr>
      </w:pPr>
      <w:r>
        <w:rPr>
          <w:rFonts w:ascii="Arial" w:hAnsi="Arial" w:cs="Arial"/>
          <w:color w:val="1F2329"/>
        </w:rPr>
        <w:t>By March 30 each year, MOF will publish provincial performance evaluation forms, total scores, and rankings on its official website for public oversight.</w:t>
      </w:r>
    </w:p>
    <w:p w14:paraId="22CD7A6B" w14:textId="77777777" w:rsidR="00575034" w:rsidRDefault="00575034" w:rsidP="00575034">
      <w:pPr>
        <w:numPr>
          <w:ilvl w:val="0"/>
          <w:numId w:val="16"/>
        </w:numPr>
        <w:spacing w:after="0" w:line="360" w:lineRule="atLeast"/>
        <w:rPr>
          <w:rFonts w:ascii="Arial" w:hAnsi="Arial" w:cs="Arial"/>
          <w:color w:val="1F2329"/>
        </w:rPr>
      </w:pPr>
      <w:r>
        <w:rPr>
          <w:rFonts w:ascii="Arial" w:hAnsi="Arial" w:cs="Arial"/>
          <w:color w:val="1F2329"/>
        </w:rPr>
        <w:t>Provincial finance departments, in conjunction with local PBC branches and banking and insurance regulatory authorities, will designate demonstration zones for the current year and submit the list to MOF by April 30 each year.</w:t>
      </w:r>
    </w:p>
    <w:p w14:paraId="3FDE1ADC" w14:textId="77777777" w:rsidR="00575034" w:rsidRDefault="00575034" w:rsidP="00575034">
      <w:pPr>
        <w:numPr>
          <w:ilvl w:val="0"/>
          <w:numId w:val="16"/>
        </w:numPr>
        <w:spacing w:after="0" w:line="360" w:lineRule="atLeast"/>
        <w:rPr>
          <w:rFonts w:ascii="Arial" w:hAnsi="Arial" w:cs="Arial"/>
          <w:color w:val="1F2329"/>
        </w:rPr>
      </w:pPr>
      <w:r>
        <w:rPr>
          <w:rFonts w:ascii="Arial" w:hAnsi="Arial" w:cs="Arial"/>
          <w:color w:val="1F2329"/>
        </w:rPr>
        <w:t>By May 20 each year, MOF will determine provincial performance incentive tiers, issue fund budgets, and release the demonstration zone list based on rankings and public feedback.</w:t>
      </w:r>
    </w:p>
    <w:p w14:paraId="46B94868" w14:textId="77777777" w:rsidR="00575034" w:rsidRDefault="00575034" w:rsidP="00575034">
      <w:pPr>
        <w:numPr>
          <w:ilvl w:val="0"/>
          <w:numId w:val="16"/>
        </w:numPr>
        <w:spacing w:after="0" w:line="360" w:lineRule="atLeast"/>
        <w:rPr>
          <w:rFonts w:ascii="Arial" w:hAnsi="Arial" w:cs="Arial"/>
          <w:color w:val="1F2329"/>
        </w:rPr>
      </w:pPr>
      <w:r>
        <w:rPr>
          <w:rFonts w:ascii="Arial" w:hAnsi="Arial" w:cs="Arial"/>
          <w:color w:val="1F2329"/>
        </w:rPr>
        <w:t xml:space="preserve">By June 15 each year, provincial finance departments will allocate central incentive fund budgets to demonstration zones, with copies to local MOF </w:t>
      </w:r>
      <w:r>
        <w:rPr>
          <w:rFonts w:ascii="Arial" w:hAnsi="Arial" w:cs="Arial"/>
          <w:color w:val="1F2329"/>
        </w:rPr>
        <w:lastRenderedPageBreak/>
        <w:t>supervision bureaus. Demonstration zones shall complete fund disbursement by September 15 each year.</w:t>
      </w:r>
    </w:p>
    <w:p w14:paraId="4D1B997E" w14:textId="77777777" w:rsidR="00575034" w:rsidRDefault="00575034" w:rsidP="00575034">
      <w:pPr>
        <w:numPr>
          <w:ilvl w:val="0"/>
          <w:numId w:val="16"/>
        </w:numPr>
        <w:spacing w:after="0" w:line="360" w:lineRule="atLeast"/>
        <w:rPr>
          <w:rFonts w:ascii="Arial" w:hAnsi="Arial" w:cs="Arial"/>
          <w:color w:val="1F2329"/>
        </w:rPr>
      </w:pPr>
      <w:r>
        <w:rPr>
          <w:rFonts w:ascii="Arial" w:hAnsi="Arial" w:cs="Arial"/>
          <w:color w:val="1F2329"/>
        </w:rPr>
        <w:t>Local MOF supervision bureaus will conduct routine oversight of fund usage in demonstration zones, promptly reporting issues and best practices to MOF.</w:t>
      </w:r>
    </w:p>
    <w:p w14:paraId="36DC5D34" w14:textId="77777777" w:rsidR="00575034" w:rsidRDefault="00575034" w:rsidP="00575034">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V. Work Requirements</w:t>
      </w:r>
    </w:p>
    <w:p w14:paraId="3EF052FB"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(1) Strengthen Support and Guidance</w:t>
      </w:r>
    </w:p>
    <w:p w14:paraId="24AC3EC7"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Provincial finance departments shall take the lead in formulating demonstration zone selection criteria, fund allocation, usage, and management rules tailored to local conditions, and establish incentive and constraint mechanisms for demonstration zones. PBC branches shall leverage monetary policy tools to increase support for demonstration zones. Banking and insurance regulatory authorities, together with local financial supervision bureaus, shall provide inclusive finance-related data in accordance with duties, ensure data authenticity, and establish regular data sharing mechanisms with finance departments and local MOF supervision bureaus. Relevant departments shall hold regular joint meetings to enhance communication, information sharing, and publicity, expanding policy reach and impact.</w:t>
      </w:r>
    </w:p>
    <w:p w14:paraId="7EF118BA"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(2) Ensure Effective Implementation</w:t>
      </w:r>
    </w:p>
    <w:p w14:paraId="024E9FDE"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Demonstration zone finance departments shall reasonably determine fund usage based on local conditions to maximize efficiency. They shall coordinate the use of re-lending and rediscount tools supporting agriculture, rural areas and farmers, strengthen inclusive finance infrastructure, and guide financial institutions to increase credit supply for micro, small, agricultural and rural entities.</w:t>
      </w:r>
    </w:p>
    <w:p w14:paraId="1D57CAB6"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(3) Uphold Risk Bottom Line</w:t>
      </w:r>
    </w:p>
    <w:p w14:paraId="4C087166"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Provincial finance departments, PBC branches, and banking and insurance regulatory authorities shall attach great importance to risk prevention, properly balance inclusive finance development and risk mitigation, hold financial institutions accountable for risk prevention, strengthen monitoring and early warning, and promptly address emerging risks.</w:t>
      </w:r>
    </w:p>
    <w:p w14:paraId="7AF33942"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(4) Strengthen Fund Oversight</w:t>
      </w:r>
    </w:p>
    <w:p w14:paraId="5FE885B2"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Provincial finance departments and local MOF supervision bureaus shall conduct end-to-end oversight of policy objectives, eligible recipients, fund usage, and information disclosure in demonstration zones, ensuring standardized, safe, and efficient fund management that benefits enterprises and the public.</w:t>
      </w:r>
    </w:p>
    <w:p w14:paraId="765DED14"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lastRenderedPageBreak/>
        <w:t>(5) Enhance Follow-up Evaluation</w:t>
      </w:r>
    </w:p>
    <w:p w14:paraId="0C5D1C4B" w14:textId="77777777" w:rsidR="00575034" w:rsidRDefault="00575034" w:rsidP="00575034">
      <w:pPr>
        <w:spacing w:line="360" w:lineRule="atLeast"/>
        <w:rPr>
          <w:rFonts w:ascii="Arial" w:hAnsi="Arial" w:cs="Arial"/>
          <w:color w:val="1F2329"/>
          <w:sz w:val="24"/>
          <w:szCs w:val="24"/>
        </w:rPr>
      </w:pPr>
      <w:r>
        <w:rPr>
          <w:rFonts w:ascii="Arial" w:hAnsi="Arial" w:cs="Arial"/>
          <w:color w:val="1F2329"/>
        </w:rPr>
        <w:t>Provincial finance departments shall conduct performance evaluations of central incentive fund usage and implementation effects, incorporating results into annual performance reports for inclusive finance development special funds. MOF will conduct random inspections and evaluations as needed.</w:t>
      </w:r>
    </w:p>
    <w:p w14:paraId="6B131ED1" w14:textId="77777777" w:rsidR="00575034" w:rsidRDefault="00575034" w:rsidP="00575034">
      <w:pPr>
        <w:pStyle w:val="3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Annexes:</w:t>
      </w:r>
    </w:p>
    <w:p w14:paraId="57923342" w14:textId="77777777" w:rsidR="00575034" w:rsidRDefault="00575034" w:rsidP="00575034">
      <w:pPr>
        <w:numPr>
          <w:ilvl w:val="0"/>
          <w:numId w:val="17"/>
        </w:numPr>
        <w:spacing w:after="0" w:line="360" w:lineRule="atLeast"/>
        <w:rPr>
          <w:rFonts w:ascii="Arial" w:hAnsi="Arial" w:cs="Arial"/>
          <w:color w:val="1F2329"/>
          <w:sz w:val="24"/>
          <w:szCs w:val="24"/>
        </w:rPr>
      </w:pPr>
      <w:r>
        <w:rPr>
          <w:rFonts w:ascii="Arial" w:hAnsi="Arial" w:cs="Arial"/>
          <w:color w:val="1F2329"/>
        </w:rPr>
        <w:t>Annual Performance Evaluation Form for Provinces (Autonomous Regions, Municipalities Directly under the Central Government, Cities with Independent Planning Status, Xinjiang Production and Construction Corps)</w:t>
      </w:r>
    </w:p>
    <w:p w14:paraId="1EC54438" w14:textId="77777777" w:rsidR="00575034" w:rsidRDefault="00575034" w:rsidP="00575034">
      <w:pPr>
        <w:numPr>
          <w:ilvl w:val="0"/>
          <w:numId w:val="17"/>
        </w:numPr>
        <w:spacing w:after="0" w:line="360" w:lineRule="atLeast"/>
        <w:rPr>
          <w:rFonts w:ascii="Arial" w:hAnsi="Arial" w:cs="Arial"/>
          <w:color w:val="1F2329"/>
        </w:rPr>
      </w:pPr>
      <w:r>
        <w:rPr>
          <w:rFonts w:ascii="Arial" w:hAnsi="Arial" w:cs="Arial"/>
          <w:color w:val="1F2329"/>
        </w:rPr>
        <w:t>Scoring Rules and Reporting Guidelines for Performance Evaluation Indicators</w:t>
      </w:r>
    </w:p>
    <w:p w14:paraId="10D6D8A3" w14:textId="77777777" w:rsidR="00575034" w:rsidRDefault="00575034" w:rsidP="00575034">
      <w:pPr>
        <w:spacing w:line="360" w:lineRule="atLeast"/>
        <w:rPr>
          <w:rFonts w:ascii="Arial" w:hAnsi="Arial" w:cs="Arial"/>
          <w:color w:val="1F2329"/>
        </w:rPr>
      </w:pPr>
      <w:r>
        <w:rPr>
          <w:rStyle w:val="af8"/>
          <w:rFonts w:ascii="Arial" w:hAnsi="Arial" w:cs="Arial"/>
          <w:b w:val="0"/>
          <w:bCs w:val="0"/>
          <w:color w:val="1F2329"/>
        </w:rPr>
        <w:t>Ministry of Finance of the People’s Republic of China</w:t>
      </w:r>
    </w:p>
    <w:p w14:paraId="1D4192D9" w14:textId="77777777" w:rsidR="00575034" w:rsidRDefault="00575034" w:rsidP="00575034">
      <w:pPr>
        <w:spacing w:line="360" w:lineRule="atLeast"/>
        <w:rPr>
          <w:rFonts w:ascii="Arial" w:hAnsi="Arial" w:cs="Arial"/>
          <w:color w:val="1F2329"/>
        </w:rPr>
      </w:pPr>
      <w:r>
        <w:rPr>
          <w:rStyle w:val="af8"/>
          <w:rFonts w:ascii="Arial" w:hAnsi="Arial" w:cs="Arial"/>
          <w:b w:val="0"/>
          <w:bCs w:val="0"/>
          <w:color w:val="1F2329"/>
        </w:rPr>
        <w:t>People’s Bank of China</w:t>
      </w:r>
    </w:p>
    <w:p w14:paraId="77AB5A0F" w14:textId="77777777" w:rsidR="00575034" w:rsidRDefault="00575034" w:rsidP="00575034">
      <w:pPr>
        <w:spacing w:line="360" w:lineRule="atLeast"/>
        <w:rPr>
          <w:rFonts w:ascii="Arial" w:hAnsi="Arial" w:cs="Arial"/>
          <w:color w:val="1F2329"/>
        </w:rPr>
      </w:pPr>
      <w:r>
        <w:rPr>
          <w:rStyle w:val="af8"/>
          <w:rFonts w:ascii="Arial" w:hAnsi="Arial" w:cs="Arial"/>
          <w:b w:val="0"/>
          <w:bCs w:val="0"/>
          <w:color w:val="1F2329"/>
        </w:rPr>
        <w:t>State Administration of Financial Regulation</w:t>
      </w:r>
    </w:p>
    <w:p w14:paraId="03AAD961" w14:textId="77777777" w:rsidR="00575034" w:rsidRDefault="00575034" w:rsidP="00575034">
      <w:pPr>
        <w:spacing w:line="360" w:lineRule="atLeast"/>
        <w:rPr>
          <w:rFonts w:ascii="Arial" w:hAnsi="Arial" w:cs="Arial"/>
          <w:color w:val="1F2329"/>
        </w:rPr>
      </w:pPr>
      <w:r>
        <w:rPr>
          <w:rStyle w:val="af8"/>
          <w:rFonts w:ascii="Arial" w:hAnsi="Arial" w:cs="Arial"/>
          <w:b w:val="0"/>
          <w:bCs w:val="0"/>
          <w:color w:val="1F2329"/>
        </w:rPr>
        <w:t>November 1, 2021</w:t>
      </w:r>
    </w:p>
    <w:p w14:paraId="18FD7EF2" w14:textId="749AA890" w:rsidR="00593D5D" w:rsidRPr="00575034" w:rsidRDefault="00593D5D" w:rsidP="00575034"/>
    <w:sectPr w:rsidR="00593D5D" w:rsidRPr="00575034" w:rsidSect="00C87E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015CB1"/>
    <w:multiLevelType w:val="multilevel"/>
    <w:tmpl w:val="8254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82FAC"/>
    <w:multiLevelType w:val="multilevel"/>
    <w:tmpl w:val="1092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E43D2"/>
    <w:multiLevelType w:val="multilevel"/>
    <w:tmpl w:val="2CFC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44EEA"/>
    <w:multiLevelType w:val="multilevel"/>
    <w:tmpl w:val="6496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0E52E9"/>
    <w:multiLevelType w:val="multilevel"/>
    <w:tmpl w:val="144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E2A6C"/>
    <w:multiLevelType w:val="multilevel"/>
    <w:tmpl w:val="4D86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0E5467"/>
    <w:multiLevelType w:val="multilevel"/>
    <w:tmpl w:val="897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C72C2"/>
    <w:multiLevelType w:val="multilevel"/>
    <w:tmpl w:val="97F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5"/>
  </w:num>
  <w:num w:numId="13">
    <w:abstractNumId w:val="16"/>
  </w:num>
  <w:num w:numId="14">
    <w:abstractNumId w:val="14"/>
  </w:num>
  <w:num w:numId="15">
    <w:abstractNumId w:val="9"/>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864"/>
    <w:rsid w:val="00575034"/>
    <w:rsid w:val="00593D5D"/>
    <w:rsid w:val="00AA1D8D"/>
    <w:rsid w:val="00B47730"/>
    <w:rsid w:val="00C87E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97999"/>
  <w14:defaultImageDpi w14:val="300"/>
  <w15:docId w15:val="{1C70F852-AB76-415F-93FD-B9D64B03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76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1973</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2026-06-12T02:53:00Z</dcterms:modified>
  <cp:category/>
</cp:coreProperties>
</file>