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ECD88" w14:textId="77777777" w:rsidR="00C42F80" w:rsidRDefault="00000000">
      <w:pPr>
        <w:pStyle w:val="1"/>
        <w:jc w:val="center"/>
        <w:rPr>
          <w:lang w:eastAsia="zh-CN"/>
        </w:rPr>
      </w:pPr>
      <w:r>
        <w:rPr>
          <w:lang w:eastAsia="zh-CN"/>
        </w:rPr>
        <w:t>方案摘要</w:t>
      </w:r>
    </w:p>
    <w:p w14:paraId="5BBFC4A7" w14:textId="34FAFB55" w:rsidR="00C42F80" w:rsidRDefault="00C42F80">
      <w:pPr>
        <w:spacing w:after="120" w:line="400" w:lineRule="exact"/>
      </w:pPr>
    </w:p>
    <w:tbl>
      <w:tblPr>
        <w:tblStyle w:val="aff1"/>
        <w:tblW w:w="0" w:type="auto"/>
        <w:tblLook w:val="04A0" w:firstRow="1" w:lastRow="0" w:firstColumn="1" w:lastColumn="0" w:noHBand="0" w:noVBand="1"/>
      </w:tblPr>
      <w:tblGrid>
        <w:gridCol w:w="1984"/>
        <w:gridCol w:w="6803"/>
      </w:tblGrid>
      <w:tr w:rsidR="00C42F80" w14:paraId="187F6905" w14:textId="77777777">
        <w:tc>
          <w:tcPr>
            <w:tcW w:w="1984" w:type="dxa"/>
            <w:shd w:val="clear" w:color="auto" w:fill="D9E2F3"/>
          </w:tcPr>
          <w:p w14:paraId="66E82A62" w14:textId="77777777" w:rsidR="00C42F80" w:rsidRDefault="00000000">
            <w:r>
              <w:rPr>
                <w:rFonts w:eastAsia="黑体"/>
                <w:b/>
                <w:sz w:val="22"/>
              </w:rPr>
              <w:t>题目</w:t>
            </w:r>
          </w:p>
        </w:tc>
        <w:tc>
          <w:tcPr>
            <w:tcW w:w="6803" w:type="dxa"/>
          </w:tcPr>
          <w:p w14:paraId="73AEEB22" w14:textId="77777777" w:rsidR="00C42F80" w:rsidRDefault="00000000">
            <w:pPr>
              <w:spacing w:before="40" w:after="40" w:line="400" w:lineRule="exact"/>
              <w:rPr>
                <w:lang w:eastAsia="zh-CN"/>
              </w:rPr>
            </w:pPr>
            <w:r>
              <w:rPr>
                <w:sz w:val="22"/>
                <w:lang w:eastAsia="zh-CN"/>
              </w:rPr>
              <w:t>益气养阴方联合常规治疗对非小细胞肺癌患者总生存期影响的回顾性队列研究</w:t>
            </w:r>
          </w:p>
        </w:tc>
      </w:tr>
      <w:tr w:rsidR="00C42F80" w14:paraId="068D23EE" w14:textId="77777777">
        <w:tc>
          <w:tcPr>
            <w:tcW w:w="1984" w:type="dxa"/>
            <w:shd w:val="clear" w:color="auto" w:fill="D9E2F3"/>
          </w:tcPr>
          <w:p w14:paraId="6AECAD6B" w14:textId="77777777" w:rsidR="00C42F80" w:rsidRDefault="00000000">
            <w:r>
              <w:rPr>
                <w:rFonts w:eastAsia="黑体"/>
                <w:b/>
                <w:sz w:val="22"/>
              </w:rPr>
              <w:t>研究中心</w:t>
            </w:r>
          </w:p>
        </w:tc>
        <w:tc>
          <w:tcPr>
            <w:tcW w:w="6803" w:type="dxa"/>
          </w:tcPr>
          <w:p w14:paraId="14C5E273" w14:textId="5965E47A" w:rsidR="00C42F80" w:rsidRDefault="00000000">
            <w:pPr>
              <w:spacing w:before="40" w:after="40" w:line="400" w:lineRule="exact"/>
              <w:rPr>
                <w:lang w:eastAsia="zh-CN"/>
              </w:rPr>
            </w:pPr>
            <w:r>
              <w:rPr>
                <w:sz w:val="22"/>
                <w:lang w:eastAsia="zh-CN"/>
              </w:rPr>
              <w:t>【</w:t>
            </w:r>
            <w:r w:rsidR="00C742D5">
              <w:rPr>
                <w:rFonts w:hint="eastAsia"/>
                <w:sz w:val="22"/>
                <w:lang w:eastAsia="zh-CN"/>
              </w:rPr>
              <w:t>龙华</w:t>
            </w:r>
            <w:r>
              <w:rPr>
                <w:sz w:val="22"/>
                <w:lang w:eastAsia="zh-CN"/>
              </w:rPr>
              <w:t>医院肿瘤科】（多中心研究需列出所有参与中心）</w:t>
            </w:r>
          </w:p>
        </w:tc>
      </w:tr>
      <w:tr w:rsidR="00C42F80" w14:paraId="68DBBA21" w14:textId="77777777">
        <w:tc>
          <w:tcPr>
            <w:tcW w:w="1984" w:type="dxa"/>
            <w:shd w:val="clear" w:color="auto" w:fill="D9E2F3"/>
          </w:tcPr>
          <w:p w14:paraId="6FA8263E" w14:textId="77777777" w:rsidR="00C42F80" w:rsidRDefault="00000000">
            <w:r>
              <w:rPr>
                <w:rFonts w:eastAsia="黑体"/>
                <w:b/>
                <w:sz w:val="22"/>
              </w:rPr>
              <w:t>研究目的</w:t>
            </w:r>
          </w:p>
        </w:tc>
        <w:tc>
          <w:tcPr>
            <w:tcW w:w="6803" w:type="dxa"/>
          </w:tcPr>
          <w:p w14:paraId="20D00EFD" w14:textId="77777777" w:rsidR="00C42F80" w:rsidRDefault="00000000">
            <w:pPr>
              <w:spacing w:before="40" w:after="40" w:line="400" w:lineRule="exact"/>
              <w:rPr>
                <w:lang w:eastAsia="zh-CN"/>
              </w:rPr>
            </w:pPr>
            <w:r>
              <w:rPr>
                <w:sz w:val="22"/>
                <w:lang w:eastAsia="zh-CN"/>
              </w:rPr>
              <w:t>主要目的：评价在经病理确诊的非小细胞肺癌（</w:t>
            </w:r>
            <w:r>
              <w:rPr>
                <w:sz w:val="22"/>
                <w:lang w:eastAsia="zh-CN"/>
              </w:rPr>
              <w:t>NSCLC</w:t>
            </w:r>
            <w:r>
              <w:rPr>
                <w:sz w:val="22"/>
                <w:lang w:eastAsia="zh-CN"/>
              </w:rPr>
              <w:t>）患者中，在常规抗肿瘤治疗（手术、化疗、放疗、靶向治疗或免疫治疗）基础上加用益气养阴方相较于单纯常规治疗与总生存期（</w:t>
            </w:r>
            <w:r>
              <w:rPr>
                <w:sz w:val="22"/>
                <w:lang w:eastAsia="zh-CN"/>
              </w:rPr>
              <w:t>OS</w:t>
            </w:r>
            <w:r>
              <w:rPr>
                <w:sz w:val="22"/>
                <w:lang w:eastAsia="zh-CN"/>
              </w:rPr>
              <w:t>）之间的关联；</w:t>
            </w:r>
            <w:r>
              <w:rPr>
                <w:sz w:val="22"/>
                <w:lang w:eastAsia="zh-CN"/>
              </w:rPr>
              <w:br/>
            </w:r>
            <w:r>
              <w:rPr>
                <w:sz w:val="22"/>
                <w:lang w:eastAsia="zh-CN"/>
              </w:rPr>
              <w:t>次要目的包括评价益气养阴方对无进展生存期（</w:t>
            </w:r>
            <w:r>
              <w:rPr>
                <w:sz w:val="22"/>
                <w:lang w:eastAsia="zh-CN"/>
              </w:rPr>
              <w:t>PFS</w:t>
            </w:r>
            <w:r>
              <w:rPr>
                <w:sz w:val="22"/>
                <w:lang w:eastAsia="zh-CN"/>
              </w:rPr>
              <w:t>）、生活质量评分（</w:t>
            </w:r>
            <w:r>
              <w:rPr>
                <w:sz w:val="22"/>
                <w:lang w:eastAsia="zh-CN"/>
              </w:rPr>
              <w:t>QLQ-C30</w:t>
            </w:r>
            <w:r>
              <w:rPr>
                <w:sz w:val="22"/>
                <w:lang w:eastAsia="zh-CN"/>
              </w:rPr>
              <w:t>）、中医证候积分改善、免疫相关指标（如</w:t>
            </w:r>
            <w:r>
              <w:rPr>
                <w:sz w:val="22"/>
                <w:lang w:eastAsia="zh-CN"/>
              </w:rPr>
              <w:t>CD4⁺/CD8⁺</w:t>
            </w:r>
            <w:r>
              <w:rPr>
                <w:sz w:val="22"/>
                <w:lang w:eastAsia="zh-CN"/>
              </w:rPr>
              <w:t>比值）的影响，以及安全性结局和预设亚组分析。</w:t>
            </w:r>
          </w:p>
        </w:tc>
      </w:tr>
      <w:tr w:rsidR="00C42F80" w14:paraId="2E0A46C9" w14:textId="77777777">
        <w:tc>
          <w:tcPr>
            <w:tcW w:w="1984" w:type="dxa"/>
            <w:shd w:val="clear" w:color="auto" w:fill="D9E2F3"/>
          </w:tcPr>
          <w:p w14:paraId="508062FF" w14:textId="77777777" w:rsidR="00C42F80" w:rsidRDefault="00000000">
            <w:r>
              <w:rPr>
                <w:rFonts w:eastAsia="黑体"/>
                <w:b/>
                <w:sz w:val="22"/>
              </w:rPr>
              <w:t>研究设计</w:t>
            </w:r>
          </w:p>
        </w:tc>
        <w:tc>
          <w:tcPr>
            <w:tcW w:w="6803" w:type="dxa"/>
          </w:tcPr>
          <w:p w14:paraId="6862B6C3" w14:textId="77777777" w:rsidR="00C42F80" w:rsidRDefault="00000000">
            <w:pPr>
              <w:spacing w:before="40" w:after="40" w:line="400" w:lineRule="exact"/>
              <w:rPr>
                <w:lang w:eastAsia="zh-CN"/>
              </w:rPr>
            </w:pPr>
            <w:r>
              <w:rPr>
                <w:sz w:val="22"/>
                <w:lang w:eastAsia="zh-CN"/>
              </w:rPr>
              <w:t>基于【医院电子病历</w:t>
            </w:r>
            <w:r>
              <w:rPr>
                <w:sz w:val="22"/>
                <w:lang w:eastAsia="zh-CN"/>
              </w:rPr>
              <w:t>/</w:t>
            </w:r>
            <w:r>
              <w:rPr>
                <w:sz w:val="22"/>
                <w:lang w:eastAsia="zh-CN"/>
              </w:rPr>
              <w:t>医保数据库】的回顾性队列研究，采用新使用者设计（</w:t>
            </w:r>
            <w:r>
              <w:rPr>
                <w:sz w:val="22"/>
                <w:lang w:eastAsia="zh-CN"/>
              </w:rPr>
              <w:t>new-user design</w:t>
            </w:r>
            <w:r>
              <w:rPr>
                <w:sz w:val="22"/>
                <w:lang w:eastAsia="zh-CN"/>
              </w:rPr>
              <w:t>），以常规抗肿瘤治疗为阳性对照，通过倾向性评分匹配（</w:t>
            </w:r>
            <w:r>
              <w:rPr>
                <w:sz w:val="22"/>
                <w:lang w:eastAsia="zh-CN"/>
              </w:rPr>
              <w:t>PSM</w:t>
            </w:r>
            <w:r>
              <w:rPr>
                <w:sz w:val="22"/>
                <w:lang w:eastAsia="zh-CN"/>
              </w:rPr>
              <w:t>）实施严格锚定与偏倚控制，并开展多种敏感性分析（如</w:t>
            </w:r>
            <w:r>
              <w:rPr>
                <w:sz w:val="22"/>
                <w:lang w:eastAsia="zh-CN"/>
              </w:rPr>
              <w:t>PSM</w:t>
            </w:r>
            <w:r>
              <w:rPr>
                <w:sz w:val="22"/>
                <w:lang w:eastAsia="zh-CN"/>
              </w:rPr>
              <w:t>、</w:t>
            </w:r>
            <w:r>
              <w:rPr>
                <w:sz w:val="22"/>
                <w:lang w:eastAsia="zh-CN"/>
              </w:rPr>
              <w:t>IPTW</w:t>
            </w:r>
            <w:r>
              <w:rPr>
                <w:sz w:val="22"/>
                <w:lang w:eastAsia="zh-CN"/>
              </w:rPr>
              <w:t>、逆概率加权等）以验证结果稳健性。</w:t>
            </w:r>
          </w:p>
        </w:tc>
      </w:tr>
      <w:tr w:rsidR="00C42F80" w14:paraId="46C28AD1" w14:textId="77777777">
        <w:tc>
          <w:tcPr>
            <w:tcW w:w="1984" w:type="dxa"/>
            <w:shd w:val="clear" w:color="auto" w:fill="D9E2F3"/>
          </w:tcPr>
          <w:p w14:paraId="5B4A4EBB" w14:textId="77777777" w:rsidR="00C42F80" w:rsidRDefault="00000000">
            <w:r>
              <w:rPr>
                <w:rFonts w:eastAsia="黑体"/>
                <w:b/>
                <w:sz w:val="22"/>
              </w:rPr>
              <w:t>研究人群</w:t>
            </w:r>
          </w:p>
        </w:tc>
        <w:tc>
          <w:tcPr>
            <w:tcW w:w="6803" w:type="dxa"/>
          </w:tcPr>
          <w:p w14:paraId="4CBB413C" w14:textId="77777777" w:rsidR="00C42F80" w:rsidRDefault="00000000">
            <w:pPr>
              <w:spacing w:before="40" w:after="40" w:line="400" w:lineRule="exact"/>
              <w:rPr>
                <w:lang w:eastAsia="zh-CN"/>
              </w:rPr>
            </w:pPr>
            <w:r>
              <w:rPr>
                <w:sz w:val="22"/>
                <w:lang w:eastAsia="zh-CN"/>
              </w:rPr>
              <w:t>满足经组织病理学或细胞学确诊为非小细胞肺癌、年龄</w:t>
            </w:r>
            <w:r>
              <w:rPr>
                <w:sz w:val="22"/>
                <w:lang w:eastAsia="zh-CN"/>
              </w:rPr>
              <w:t>≥18</w:t>
            </w:r>
            <w:r>
              <w:rPr>
                <w:sz w:val="22"/>
                <w:lang w:eastAsia="zh-CN"/>
              </w:rPr>
              <w:t>岁、首次接受抗肿瘤治疗、临床分期为</w:t>
            </w:r>
            <w:r>
              <w:rPr>
                <w:sz w:val="22"/>
                <w:lang w:eastAsia="zh-CN"/>
              </w:rPr>
              <w:t>Ⅱ—Ⅳ</w:t>
            </w:r>
            <w:r>
              <w:rPr>
                <w:sz w:val="22"/>
                <w:lang w:eastAsia="zh-CN"/>
              </w:rPr>
              <w:t>期、中医辨证属于气阴两虚证的住院或门诊患者。</w:t>
            </w:r>
          </w:p>
        </w:tc>
      </w:tr>
      <w:tr w:rsidR="00C42F80" w14:paraId="39AE96CE" w14:textId="77777777">
        <w:tc>
          <w:tcPr>
            <w:tcW w:w="1984" w:type="dxa"/>
            <w:shd w:val="clear" w:color="auto" w:fill="D9E2F3"/>
          </w:tcPr>
          <w:p w14:paraId="30543C9C" w14:textId="77777777" w:rsidR="00C42F80" w:rsidRDefault="00000000">
            <w:r>
              <w:rPr>
                <w:rFonts w:eastAsia="黑体"/>
                <w:b/>
                <w:sz w:val="22"/>
              </w:rPr>
              <w:t>暴露与对照</w:t>
            </w:r>
          </w:p>
        </w:tc>
        <w:tc>
          <w:tcPr>
            <w:tcW w:w="6803" w:type="dxa"/>
          </w:tcPr>
          <w:p w14:paraId="2AA5E77E" w14:textId="77777777" w:rsidR="00C42F80" w:rsidRDefault="00000000">
            <w:pPr>
              <w:spacing w:before="40" w:after="40" w:line="400" w:lineRule="exact"/>
              <w:rPr>
                <w:lang w:eastAsia="zh-CN"/>
              </w:rPr>
            </w:pPr>
            <w:r>
              <w:rPr>
                <w:sz w:val="22"/>
                <w:lang w:eastAsia="zh-CN"/>
              </w:rPr>
              <w:t>暴露组：常规抗肿瘤治疗（手术</w:t>
            </w:r>
            <w:r>
              <w:rPr>
                <w:sz w:val="22"/>
                <w:lang w:eastAsia="zh-CN"/>
              </w:rPr>
              <w:t>/</w:t>
            </w:r>
            <w:r>
              <w:rPr>
                <w:sz w:val="22"/>
                <w:lang w:eastAsia="zh-CN"/>
              </w:rPr>
              <w:t>化疗</w:t>
            </w:r>
            <w:r>
              <w:rPr>
                <w:sz w:val="22"/>
                <w:lang w:eastAsia="zh-CN"/>
              </w:rPr>
              <w:t>/</w:t>
            </w:r>
            <w:r>
              <w:rPr>
                <w:sz w:val="22"/>
                <w:lang w:eastAsia="zh-CN"/>
              </w:rPr>
              <w:t>放疗</w:t>
            </w:r>
            <w:r>
              <w:rPr>
                <w:sz w:val="22"/>
                <w:lang w:eastAsia="zh-CN"/>
              </w:rPr>
              <w:t>/</w:t>
            </w:r>
            <w:r>
              <w:rPr>
                <w:sz w:val="22"/>
                <w:lang w:eastAsia="zh-CN"/>
              </w:rPr>
              <w:t>靶向治疗</w:t>
            </w:r>
            <w:r>
              <w:rPr>
                <w:sz w:val="22"/>
                <w:lang w:eastAsia="zh-CN"/>
              </w:rPr>
              <w:t>/</w:t>
            </w:r>
            <w:r>
              <w:rPr>
                <w:sz w:val="22"/>
                <w:lang w:eastAsia="zh-CN"/>
              </w:rPr>
              <w:t>免疫治疗）基础上加用益气养阴方（以黄芪、沙参、麦冬、太子参、百合等为核心药物组成的中药汤剂或中成药）连续使用</w:t>
            </w:r>
            <w:r>
              <w:rPr>
                <w:sz w:val="22"/>
                <w:lang w:eastAsia="zh-CN"/>
              </w:rPr>
              <w:t>≥4</w:t>
            </w:r>
            <w:r>
              <w:rPr>
                <w:sz w:val="22"/>
                <w:lang w:eastAsia="zh-CN"/>
              </w:rPr>
              <w:t>周；</w:t>
            </w:r>
            <w:r>
              <w:rPr>
                <w:sz w:val="22"/>
                <w:lang w:eastAsia="zh-CN"/>
              </w:rPr>
              <w:br/>
            </w:r>
            <w:r>
              <w:rPr>
                <w:sz w:val="22"/>
                <w:lang w:eastAsia="zh-CN"/>
              </w:rPr>
              <w:t>对照组：仅接受常规抗肿瘤治疗，未使用益气养阴方或其他益气养阴类中药制剂。</w:t>
            </w:r>
          </w:p>
        </w:tc>
      </w:tr>
      <w:tr w:rsidR="00C42F80" w14:paraId="60420A08" w14:textId="77777777">
        <w:tc>
          <w:tcPr>
            <w:tcW w:w="1984" w:type="dxa"/>
            <w:shd w:val="clear" w:color="auto" w:fill="D9E2F3"/>
          </w:tcPr>
          <w:p w14:paraId="79DC21FE" w14:textId="77777777" w:rsidR="00C42F80" w:rsidRDefault="00000000">
            <w:r>
              <w:rPr>
                <w:rFonts w:eastAsia="黑体"/>
                <w:b/>
                <w:sz w:val="22"/>
              </w:rPr>
              <w:t>样本量</w:t>
            </w:r>
            <w:r>
              <w:rPr>
                <w:rFonts w:eastAsia="黑体"/>
                <w:b/>
                <w:sz w:val="22"/>
              </w:rPr>
              <w:t>/</w:t>
            </w:r>
            <w:r>
              <w:rPr>
                <w:rFonts w:eastAsia="黑体"/>
                <w:b/>
                <w:sz w:val="22"/>
              </w:rPr>
              <w:t>可行性</w:t>
            </w:r>
          </w:p>
        </w:tc>
        <w:tc>
          <w:tcPr>
            <w:tcW w:w="6803" w:type="dxa"/>
          </w:tcPr>
          <w:p w14:paraId="0D110038" w14:textId="77777777" w:rsidR="00C42F80" w:rsidRDefault="00000000">
            <w:pPr>
              <w:spacing w:before="40" w:after="40" w:line="400" w:lineRule="exact"/>
              <w:rPr>
                <w:lang w:eastAsia="zh-CN"/>
              </w:rPr>
            </w:pPr>
            <w:r>
              <w:rPr>
                <w:sz w:val="22"/>
                <w:lang w:eastAsia="zh-CN"/>
              </w:rPr>
              <w:t>基于医院电子病历数据库回顾性筛选</w:t>
            </w:r>
            <w:r>
              <w:rPr>
                <w:sz w:val="22"/>
                <w:lang w:eastAsia="zh-CN"/>
              </w:rPr>
              <w:t>2020</w:t>
            </w:r>
            <w:r>
              <w:rPr>
                <w:sz w:val="22"/>
                <w:lang w:eastAsia="zh-CN"/>
              </w:rPr>
              <w:t>年</w:t>
            </w:r>
            <w:r>
              <w:rPr>
                <w:sz w:val="22"/>
                <w:lang w:eastAsia="zh-CN"/>
              </w:rPr>
              <w:t>1</w:t>
            </w:r>
            <w:r>
              <w:rPr>
                <w:sz w:val="22"/>
                <w:lang w:eastAsia="zh-CN"/>
              </w:rPr>
              <w:t>月</w:t>
            </w:r>
            <w:r>
              <w:rPr>
                <w:sz w:val="22"/>
                <w:lang w:eastAsia="zh-CN"/>
              </w:rPr>
              <w:t>1</w:t>
            </w:r>
            <w:r>
              <w:rPr>
                <w:sz w:val="22"/>
                <w:lang w:eastAsia="zh-CN"/>
              </w:rPr>
              <w:t>日至</w:t>
            </w:r>
            <w:r>
              <w:rPr>
                <w:sz w:val="22"/>
                <w:lang w:eastAsia="zh-CN"/>
              </w:rPr>
              <w:t>2024</w:t>
            </w:r>
            <w:r>
              <w:rPr>
                <w:sz w:val="22"/>
                <w:lang w:eastAsia="zh-CN"/>
              </w:rPr>
              <w:t>年</w:t>
            </w:r>
            <w:r>
              <w:rPr>
                <w:sz w:val="22"/>
                <w:lang w:eastAsia="zh-CN"/>
              </w:rPr>
              <w:t>12</w:t>
            </w:r>
            <w:r>
              <w:rPr>
                <w:sz w:val="22"/>
                <w:lang w:eastAsia="zh-CN"/>
              </w:rPr>
              <w:t>月</w:t>
            </w:r>
            <w:r>
              <w:rPr>
                <w:sz w:val="22"/>
                <w:lang w:eastAsia="zh-CN"/>
              </w:rPr>
              <w:t>31</w:t>
            </w:r>
            <w:r>
              <w:rPr>
                <w:sz w:val="22"/>
                <w:lang w:eastAsia="zh-CN"/>
              </w:rPr>
              <w:t>日期间确诊并接受治疗的患者数据，进行可行性论证；预计暴露组约【</w:t>
            </w:r>
            <w:r>
              <w:rPr>
                <w:sz w:val="22"/>
                <w:lang w:eastAsia="zh-CN"/>
              </w:rPr>
              <w:t>300—500</w:t>
            </w:r>
            <w:r>
              <w:rPr>
                <w:sz w:val="22"/>
                <w:lang w:eastAsia="zh-CN"/>
              </w:rPr>
              <w:t>】例，对照组约【</w:t>
            </w:r>
            <w:r>
              <w:rPr>
                <w:sz w:val="22"/>
                <w:lang w:eastAsia="zh-CN"/>
              </w:rPr>
              <w:t>600—1000</w:t>
            </w:r>
            <w:r>
              <w:rPr>
                <w:sz w:val="22"/>
                <w:lang w:eastAsia="zh-CN"/>
              </w:rPr>
              <w:t>】例，随访至</w:t>
            </w:r>
            <w:r>
              <w:rPr>
                <w:sz w:val="22"/>
                <w:lang w:eastAsia="zh-CN"/>
              </w:rPr>
              <w:t>2025</w:t>
            </w:r>
            <w:r>
              <w:rPr>
                <w:sz w:val="22"/>
                <w:lang w:eastAsia="zh-CN"/>
              </w:rPr>
              <w:t>年</w:t>
            </w:r>
            <w:r>
              <w:rPr>
                <w:sz w:val="22"/>
                <w:lang w:eastAsia="zh-CN"/>
              </w:rPr>
              <w:t>12</w:t>
            </w:r>
            <w:r>
              <w:rPr>
                <w:sz w:val="22"/>
                <w:lang w:eastAsia="zh-CN"/>
              </w:rPr>
              <w:t>月</w:t>
            </w:r>
            <w:r>
              <w:rPr>
                <w:sz w:val="22"/>
                <w:lang w:eastAsia="zh-CN"/>
              </w:rPr>
              <w:t>31</w:t>
            </w:r>
            <w:r>
              <w:rPr>
                <w:sz w:val="22"/>
                <w:lang w:eastAsia="zh-CN"/>
              </w:rPr>
              <w:t>日。</w:t>
            </w:r>
          </w:p>
        </w:tc>
      </w:tr>
      <w:tr w:rsidR="00C42F80" w14:paraId="75501D64" w14:textId="77777777">
        <w:tc>
          <w:tcPr>
            <w:tcW w:w="1984" w:type="dxa"/>
            <w:shd w:val="clear" w:color="auto" w:fill="D9E2F3"/>
          </w:tcPr>
          <w:p w14:paraId="6087BCC1" w14:textId="77777777" w:rsidR="00C42F80" w:rsidRDefault="00000000">
            <w:r>
              <w:rPr>
                <w:rFonts w:eastAsia="黑体"/>
                <w:b/>
                <w:sz w:val="22"/>
              </w:rPr>
              <w:lastRenderedPageBreak/>
              <w:t>主要协变量</w:t>
            </w:r>
          </w:p>
        </w:tc>
        <w:tc>
          <w:tcPr>
            <w:tcW w:w="6803" w:type="dxa"/>
          </w:tcPr>
          <w:p w14:paraId="52612EE0" w14:textId="77777777" w:rsidR="00C42F80" w:rsidRDefault="00000000">
            <w:pPr>
              <w:spacing w:before="40" w:after="40" w:line="400" w:lineRule="exact"/>
              <w:rPr>
                <w:lang w:eastAsia="zh-CN"/>
              </w:rPr>
            </w:pPr>
            <w:r>
              <w:rPr>
                <w:sz w:val="22"/>
                <w:lang w:eastAsia="zh-CN"/>
              </w:rPr>
              <w:t>人口学：年龄、性别、种族</w:t>
            </w:r>
            <w:r>
              <w:rPr>
                <w:sz w:val="22"/>
                <w:lang w:eastAsia="zh-CN"/>
              </w:rPr>
              <w:t>/</w:t>
            </w:r>
            <w:r>
              <w:rPr>
                <w:sz w:val="22"/>
                <w:lang w:eastAsia="zh-CN"/>
              </w:rPr>
              <w:t>民族、婚姻状态、居住地区、医保类型（城镇职工</w:t>
            </w:r>
            <w:r>
              <w:rPr>
                <w:sz w:val="22"/>
                <w:lang w:eastAsia="zh-CN"/>
              </w:rPr>
              <w:t>/</w:t>
            </w:r>
            <w:r>
              <w:rPr>
                <w:sz w:val="22"/>
                <w:lang w:eastAsia="zh-CN"/>
              </w:rPr>
              <w:t>城乡居民）等；</w:t>
            </w:r>
            <w:r>
              <w:rPr>
                <w:sz w:val="22"/>
                <w:lang w:eastAsia="zh-CN"/>
              </w:rPr>
              <w:br/>
            </w:r>
            <w:r>
              <w:rPr>
                <w:sz w:val="22"/>
                <w:lang w:eastAsia="zh-CN"/>
              </w:rPr>
              <w:t>临床特征：病理类型（腺癌</w:t>
            </w:r>
            <w:r>
              <w:rPr>
                <w:sz w:val="22"/>
                <w:lang w:eastAsia="zh-CN"/>
              </w:rPr>
              <w:t>/</w:t>
            </w:r>
            <w:r>
              <w:rPr>
                <w:sz w:val="22"/>
                <w:lang w:eastAsia="zh-CN"/>
              </w:rPr>
              <w:t>鳞癌</w:t>
            </w:r>
            <w:r>
              <w:rPr>
                <w:sz w:val="22"/>
                <w:lang w:eastAsia="zh-CN"/>
              </w:rPr>
              <w:t>/</w:t>
            </w:r>
            <w:r>
              <w:rPr>
                <w:sz w:val="22"/>
                <w:lang w:eastAsia="zh-CN"/>
              </w:rPr>
              <w:t>其他）、临床分期（</w:t>
            </w:r>
            <w:r>
              <w:rPr>
                <w:sz w:val="22"/>
                <w:lang w:eastAsia="zh-CN"/>
              </w:rPr>
              <w:t>Ⅱ/Ⅲ/Ⅳ</w:t>
            </w:r>
            <w:r>
              <w:rPr>
                <w:sz w:val="22"/>
                <w:lang w:eastAsia="zh-CN"/>
              </w:rPr>
              <w:t>期）、</w:t>
            </w:r>
            <w:r>
              <w:rPr>
                <w:sz w:val="22"/>
                <w:lang w:eastAsia="zh-CN"/>
              </w:rPr>
              <w:t>ECOG</w:t>
            </w:r>
            <w:r>
              <w:rPr>
                <w:sz w:val="22"/>
                <w:lang w:eastAsia="zh-CN"/>
              </w:rPr>
              <w:t>体力状况评分、既往关键临床事件（如胸腔积液、脑转移）、实验室指标（白细胞计数、血红蛋白、白蛋白、肝肾功能）、生命体征等；</w:t>
            </w:r>
            <w:r>
              <w:rPr>
                <w:sz w:val="22"/>
                <w:lang w:eastAsia="zh-CN"/>
              </w:rPr>
              <w:br/>
            </w:r>
            <w:r>
              <w:rPr>
                <w:sz w:val="22"/>
                <w:lang w:eastAsia="zh-CN"/>
              </w:rPr>
              <w:t>合并症：高血压、糖尿病、慢性阻塞性肺疾病、冠心病等；</w:t>
            </w:r>
            <w:r>
              <w:rPr>
                <w:sz w:val="22"/>
                <w:lang w:eastAsia="zh-CN"/>
              </w:rPr>
              <w:br/>
            </w:r>
            <w:r>
              <w:rPr>
                <w:sz w:val="22"/>
                <w:lang w:eastAsia="zh-CN"/>
              </w:rPr>
              <w:t>合并治疗：合并用药（镇痛药、糖皮质激素等）、相关程序或治疗（介入治疗、最佳支持治疗等）。</w:t>
            </w:r>
          </w:p>
        </w:tc>
      </w:tr>
      <w:tr w:rsidR="00C42F80" w14:paraId="06D4BF35" w14:textId="77777777">
        <w:tc>
          <w:tcPr>
            <w:tcW w:w="1984" w:type="dxa"/>
            <w:shd w:val="clear" w:color="auto" w:fill="D9E2F3"/>
          </w:tcPr>
          <w:p w14:paraId="1D847340" w14:textId="77777777" w:rsidR="00C42F80" w:rsidRDefault="00000000">
            <w:r>
              <w:rPr>
                <w:rFonts w:eastAsia="黑体"/>
                <w:b/>
                <w:sz w:val="22"/>
              </w:rPr>
              <w:t>结局指标</w:t>
            </w:r>
          </w:p>
        </w:tc>
        <w:tc>
          <w:tcPr>
            <w:tcW w:w="6803" w:type="dxa"/>
          </w:tcPr>
          <w:p w14:paraId="7D4623B5" w14:textId="77777777" w:rsidR="00C42F80" w:rsidRDefault="00000000">
            <w:pPr>
              <w:spacing w:before="40" w:after="40" w:line="400" w:lineRule="exact"/>
              <w:rPr>
                <w:lang w:eastAsia="zh-CN"/>
              </w:rPr>
            </w:pPr>
            <w:r>
              <w:rPr>
                <w:sz w:val="22"/>
                <w:lang w:eastAsia="zh-CN"/>
              </w:rPr>
              <w:t>主要结局：总生存期（</w:t>
            </w:r>
            <w:r>
              <w:rPr>
                <w:sz w:val="22"/>
                <w:lang w:eastAsia="zh-CN"/>
              </w:rPr>
              <w:t>OS</w:t>
            </w:r>
            <w:r>
              <w:rPr>
                <w:sz w:val="22"/>
                <w:lang w:eastAsia="zh-CN"/>
              </w:rPr>
              <w:t>），定义为从首次治疗开始至因任何原因死亡的时间；</w:t>
            </w:r>
            <w:r>
              <w:rPr>
                <w:sz w:val="22"/>
                <w:lang w:eastAsia="zh-CN"/>
              </w:rPr>
              <w:br/>
            </w:r>
            <w:r>
              <w:rPr>
                <w:sz w:val="22"/>
                <w:lang w:eastAsia="zh-CN"/>
              </w:rPr>
              <w:t>次要结局：无进展生存期（</w:t>
            </w:r>
            <w:r>
              <w:rPr>
                <w:sz w:val="22"/>
                <w:lang w:eastAsia="zh-CN"/>
              </w:rPr>
              <w:t>PFS</w:t>
            </w:r>
            <w:r>
              <w:rPr>
                <w:sz w:val="22"/>
                <w:lang w:eastAsia="zh-CN"/>
              </w:rPr>
              <w:t>）、生活质量评分（</w:t>
            </w:r>
            <w:r>
              <w:rPr>
                <w:sz w:val="22"/>
                <w:lang w:eastAsia="zh-CN"/>
              </w:rPr>
              <w:t>EORTC QLQ-C30</w:t>
            </w:r>
            <w:r>
              <w:rPr>
                <w:sz w:val="22"/>
                <w:lang w:eastAsia="zh-CN"/>
              </w:rPr>
              <w:t>量表）、中医证候积分变化、免疫指标变化（</w:t>
            </w:r>
            <w:r>
              <w:rPr>
                <w:sz w:val="22"/>
                <w:lang w:eastAsia="zh-CN"/>
              </w:rPr>
              <w:t>CD4⁺/CD8⁺</w:t>
            </w:r>
            <w:r>
              <w:rPr>
                <w:sz w:val="22"/>
                <w:lang w:eastAsia="zh-CN"/>
              </w:rPr>
              <w:t>比值、</w:t>
            </w:r>
            <w:r>
              <w:rPr>
                <w:sz w:val="22"/>
                <w:lang w:eastAsia="zh-CN"/>
              </w:rPr>
              <w:t>NK</w:t>
            </w:r>
            <w:r>
              <w:rPr>
                <w:sz w:val="22"/>
                <w:lang w:eastAsia="zh-CN"/>
              </w:rPr>
              <w:t>细胞活性）；</w:t>
            </w:r>
            <w:r>
              <w:rPr>
                <w:sz w:val="22"/>
                <w:lang w:eastAsia="zh-CN"/>
              </w:rPr>
              <w:br/>
            </w:r>
            <w:r>
              <w:rPr>
                <w:sz w:val="22"/>
                <w:lang w:eastAsia="zh-CN"/>
              </w:rPr>
              <w:t>安全性结局：益气养阴方相关不良事件（肝功能异常、肾功能异常、胃肠道反应、过敏反应等）发生率。</w:t>
            </w:r>
          </w:p>
        </w:tc>
      </w:tr>
      <w:tr w:rsidR="00C42F80" w14:paraId="2F4159E4" w14:textId="77777777">
        <w:tc>
          <w:tcPr>
            <w:tcW w:w="1984" w:type="dxa"/>
            <w:shd w:val="clear" w:color="auto" w:fill="D9E2F3"/>
          </w:tcPr>
          <w:p w14:paraId="2AB80FD3" w14:textId="77777777" w:rsidR="00C42F80" w:rsidRDefault="00000000">
            <w:r>
              <w:rPr>
                <w:rFonts w:eastAsia="黑体"/>
                <w:b/>
                <w:sz w:val="22"/>
              </w:rPr>
              <w:t>预期研究进度</w:t>
            </w:r>
          </w:p>
        </w:tc>
        <w:tc>
          <w:tcPr>
            <w:tcW w:w="6803" w:type="dxa"/>
          </w:tcPr>
          <w:p w14:paraId="7243D4A3" w14:textId="77777777" w:rsidR="00C42F80" w:rsidRDefault="00000000">
            <w:pPr>
              <w:spacing w:before="40" w:after="40" w:line="400" w:lineRule="exact"/>
              <w:rPr>
                <w:lang w:eastAsia="zh-CN"/>
              </w:rPr>
            </w:pPr>
            <w:r>
              <w:rPr>
                <w:sz w:val="22"/>
                <w:lang w:eastAsia="zh-CN"/>
              </w:rPr>
              <w:t>数据时间范围：</w:t>
            </w:r>
            <w:r>
              <w:rPr>
                <w:sz w:val="22"/>
                <w:lang w:eastAsia="zh-CN"/>
              </w:rPr>
              <w:t>2020</w:t>
            </w:r>
            <w:r>
              <w:rPr>
                <w:sz w:val="22"/>
                <w:lang w:eastAsia="zh-CN"/>
              </w:rPr>
              <w:t>年</w:t>
            </w:r>
            <w:r>
              <w:rPr>
                <w:sz w:val="22"/>
                <w:lang w:eastAsia="zh-CN"/>
              </w:rPr>
              <w:t>1</w:t>
            </w:r>
            <w:r>
              <w:rPr>
                <w:sz w:val="22"/>
                <w:lang w:eastAsia="zh-CN"/>
              </w:rPr>
              <w:t>月</w:t>
            </w:r>
            <w:r>
              <w:rPr>
                <w:sz w:val="22"/>
                <w:lang w:eastAsia="zh-CN"/>
              </w:rPr>
              <w:t>1</w:t>
            </w:r>
            <w:r>
              <w:rPr>
                <w:sz w:val="22"/>
                <w:lang w:eastAsia="zh-CN"/>
              </w:rPr>
              <w:t>日至</w:t>
            </w:r>
            <w:r>
              <w:rPr>
                <w:sz w:val="22"/>
                <w:lang w:eastAsia="zh-CN"/>
              </w:rPr>
              <w:t>2025</w:t>
            </w:r>
            <w:r>
              <w:rPr>
                <w:sz w:val="22"/>
                <w:lang w:eastAsia="zh-CN"/>
              </w:rPr>
              <w:t>年</w:t>
            </w:r>
            <w:r>
              <w:rPr>
                <w:sz w:val="22"/>
                <w:lang w:eastAsia="zh-CN"/>
              </w:rPr>
              <w:t>12</w:t>
            </w:r>
            <w:r>
              <w:rPr>
                <w:sz w:val="22"/>
                <w:lang w:eastAsia="zh-CN"/>
              </w:rPr>
              <w:t>月</w:t>
            </w:r>
            <w:r>
              <w:rPr>
                <w:sz w:val="22"/>
                <w:lang w:eastAsia="zh-CN"/>
              </w:rPr>
              <w:t>31</w:t>
            </w:r>
            <w:r>
              <w:rPr>
                <w:sz w:val="22"/>
                <w:lang w:eastAsia="zh-CN"/>
              </w:rPr>
              <w:t>日（数据覆盖起止时间）；</w:t>
            </w:r>
            <w:r>
              <w:rPr>
                <w:sz w:val="22"/>
                <w:lang w:eastAsia="zh-CN"/>
              </w:rPr>
              <w:br/>
            </w:r>
            <w:r>
              <w:rPr>
                <w:sz w:val="22"/>
                <w:lang w:eastAsia="zh-CN"/>
              </w:rPr>
              <w:t>研究执行周期：</w:t>
            </w:r>
            <w:r>
              <w:rPr>
                <w:sz w:val="22"/>
                <w:lang w:eastAsia="zh-CN"/>
              </w:rPr>
              <w:t>2025</w:t>
            </w:r>
            <w:r>
              <w:rPr>
                <w:sz w:val="22"/>
                <w:lang w:eastAsia="zh-CN"/>
              </w:rPr>
              <w:t>年</w:t>
            </w:r>
            <w:r>
              <w:rPr>
                <w:sz w:val="22"/>
                <w:lang w:eastAsia="zh-CN"/>
              </w:rPr>
              <w:t>7</w:t>
            </w:r>
            <w:r>
              <w:rPr>
                <w:sz w:val="22"/>
                <w:lang w:eastAsia="zh-CN"/>
              </w:rPr>
              <w:t>月至</w:t>
            </w:r>
            <w:r>
              <w:rPr>
                <w:sz w:val="22"/>
                <w:lang w:eastAsia="zh-CN"/>
              </w:rPr>
              <w:t>2026</w:t>
            </w:r>
            <w:r>
              <w:rPr>
                <w:sz w:val="22"/>
                <w:lang w:eastAsia="zh-CN"/>
              </w:rPr>
              <w:t>年</w:t>
            </w:r>
            <w:r>
              <w:rPr>
                <w:sz w:val="22"/>
                <w:lang w:eastAsia="zh-CN"/>
              </w:rPr>
              <w:t>6</w:t>
            </w:r>
            <w:r>
              <w:rPr>
                <w:sz w:val="22"/>
                <w:lang w:eastAsia="zh-CN"/>
              </w:rPr>
              <w:t>月（研究起止时间）。</w:t>
            </w:r>
          </w:p>
        </w:tc>
      </w:tr>
    </w:tbl>
    <w:p w14:paraId="79225039" w14:textId="77777777" w:rsidR="00975832" w:rsidRDefault="00975832">
      <w:pPr>
        <w:rPr>
          <w:lang w:eastAsia="zh-CN"/>
        </w:rPr>
      </w:pPr>
    </w:p>
    <w:sectPr w:rsidR="00975832"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0577074">
    <w:abstractNumId w:val="8"/>
  </w:num>
  <w:num w:numId="2" w16cid:durableId="2067874145">
    <w:abstractNumId w:val="6"/>
  </w:num>
  <w:num w:numId="3" w16cid:durableId="2085954919">
    <w:abstractNumId w:val="5"/>
  </w:num>
  <w:num w:numId="4" w16cid:durableId="1630240254">
    <w:abstractNumId w:val="4"/>
  </w:num>
  <w:num w:numId="5" w16cid:durableId="927740013">
    <w:abstractNumId w:val="7"/>
  </w:num>
  <w:num w:numId="6" w16cid:durableId="1477381841">
    <w:abstractNumId w:val="3"/>
  </w:num>
  <w:num w:numId="7" w16cid:durableId="1129477521">
    <w:abstractNumId w:val="2"/>
  </w:num>
  <w:num w:numId="8" w16cid:durableId="2062828069">
    <w:abstractNumId w:val="1"/>
  </w:num>
  <w:num w:numId="9" w16cid:durableId="211307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303"/>
    <w:rsid w:val="0015074B"/>
    <w:rsid w:val="0029639D"/>
    <w:rsid w:val="00326F90"/>
    <w:rsid w:val="00975832"/>
    <w:rsid w:val="00AA1D8D"/>
    <w:rsid w:val="00B47730"/>
    <w:rsid w:val="00C42F80"/>
    <w:rsid w:val="00C742D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81A64"/>
  <w14:defaultImageDpi w14:val="300"/>
  <w15:docId w15:val="{0C9225EB-B248-4A40-AE9B-BA901DE14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178</Words>
  <Characters>1018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ming yang</cp:lastModifiedBy>
  <cp:revision>3</cp:revision>
  <dcterms:created xsi:type="dcterms:W3CDTF">2013-12-23T23:15:00Z</dcterms:created>
  <dcterms:modified xsi:type="dcterms:W3CDTF">2026-05-17T12:51:00Z</dcterms:modified>
  <cp:category/>
</cp:coreProperties>
</file>