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Noto Sans KR"/>
          <w:b/>
          <w:color w:val="A77218"/>
          <w:sz w:val="20"/>
        </w:rPr>
        <w:t>PRODUCT REQUIREMENTS &amp; IMPLEMENTATION REQUEST</w:t>
      </w:r>
    </w:p>
    <w:p>
      <w:pPr>
        <w:spacing w:after="120"/>
      </w:pPr>
      <w:r>
        <w:rPr>
          <w:rFonts w:ascii="Arial" w:hAnsi="Arial" w:eastAsia="Noto Sans KR"/>
          <w:b/>
          <w:color w:val="183B56"/>
          <w:sz w:val="58"/>
        </w:rPr>
        <w:t>Philippines B2B SMS Platform</w:t>
      </w:r>
    </w:p>
    <w:p>
      <w:pPr>
        <w:spacing w:after="440"/>
      </w:pPr>
      <w:r>
        <w:rPr>
          <w:rFonts w:ascii="Arial" w:hAnsi="Arial" w:eastAsia="Noto Sans KR"/>
          <w:color w:val="5D6B75"/>
          <w:sz w:val="27"/>
        </w:rPr>
        <w:t>Detailed scope for public website, customer portal, admin console, security, QA, and delivery</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3F5F7"/>
          </w:tcPr>
          <w:p>
            <w:pPr>
              <w:spacing w:after="80"/>
            </w:pPr>
            <w:r/>
            <w:r>
              <w:rPr>
                <w:rFonts w:ascii="Arial" w:hAnsi="Arial" w:eastAsia="Noto Sans KR"/>
                <w:b/>
                <w:color w:val="183B56"/>
                <w:sz w:val="19"/>
              </w:rPr>
              <w:t xml:space="preserve">Audience: </w:t>
            </w:r>
            <w:r>
              <w:rPr>
                <w:rFonts w:ascii="Arial" w:hAnsi="Arial" w:eastAsia="Noto Sans KR"/>
                <w:color w:val="1D2730"/>
                <w:sz w:val="19"/>
              </w:rPr>
              <w:t>Product, UX/UI, frontend, backend, QA, DevOps</w:t>
            </w:r>
          </w:p>
          <w:p>
            <w:pPr>
              <w:spacing w:after="80"/>
            </w:pPr>
            <w:r>
              <w:rPr>
                <w:rFonts w:ascii="Arial" w:hAnsi="Arial" w:eastAsia="Noto Sans KR"/>
                <w:b/>
                <w:color w:val="183B56"/>
                <w:sz w:val="19"/>
              </w:rPr>
              <w:t xml:space="preserve">Market: </w:t>
            </w:r>
            <w:r>
              <w:rPr>
                <w:rFonts w:ascii="Arial" w:hAnsi="Arial" w:eastAsia="Noto Sans KR"/>
                <w:color w:val="1D2730"/>
                <w:sz w:val="19"/>
              </w:rPr>
              <w:t>Philippines only</w:t>
            </w:r>
          </w:p>
        </w:tc>
        <w:tc>
          <w:tcPr>
            <w:tcW w:type="dxa" w:w="4680"/>
            <w:tcMar>
              <w:top w:w="80" w:type="dxa"/>
              <w:start w:w="120" w:type="dxa"/>
              <w:bottom w:w="80" w:type="dxa"/>
              <w:end w:w="120" w:type="dxa"/>
            </w:tcMar>
            <w:shd w:fill="F3F5F7"/>
          </w:tcPr>
          <w:p>
            <w:pPr>
              <w:spacing w:after="80"/>
            </w:pPr>
            <w:r/>
            <w:r>
              <w:rPr>
                <w:rFonts w:ascii="Arial" w:hAnsi="Arial" w:eastAsia="Noto Sans KR"/>
                <w:b/>
                <w:color w:val="183B56"/>
                <w:sz w:val="19"/>
              </w:rPr>
              <w:t xml:space="preserve">Version: </w:t>
            </w:r>
            <w:r>
              <w:rPr>
                <w:rFonts w:ascii="Arial" w:hAnsi="Arial" w:eastAsia="Noto Sans KR"/>
                <w:color w:val="1D2730"/>
                <w:sz w:val="19"/>
              </w:rPr>
              <w:t>1.0 — Draft for estimation</w:t>
            </w:r>
          </w:p>
          <w:p>
            <w:pPr>
              <w:spacing w:after="80"/>
            </w:pPr>
            <w:r>
              <w:rPr>
                <w:rFonts w:ascii="Arial" w:hAnsi="Arial" w:eastAsia="Noto Sans KR"/>
                <w:b/>
                <w:color w:val="183B56"/>
                <w:sz w:val="19"/>
              </w:rPr>
              <w:t xml:space="preserve">Date: </w:t>
            </w:r>
            <w:r>
              <w:rPr>
                <w:rFonts w:ascii="Arial" w:hAnsi="Arial" w:eastAsia="Noto Sans KR"/>
                <w:color w:val="1D2730"/>
                <w:sz w:val="19"/>
              </w:rPr>
              <w:t>8 September 2026</w:t>
            </w:r>
          </w:p>
        </w:tc>
      </w:tr>
    </w:tbl>
    <w:p>
      <w:pPr>
        <w:spacing w:after="16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3F8"/>
          </w:tcPr>
          <w:p>
            <w:pPr>
              <w:spacing w:after="0"/>
            </w:pPr>
            <w:r/>
            <w:r>
              <w:rPr>
                <w:rFonts w:ascii="Arial" w:hAnsi="Arial" w:eastAsia="Noto Sans KR"/>
                <w:b/>
                <w:color w:val="2878B5"/>
              </w:rPr>
              <w:t xml:space="preserve">Implementation boundary  </w:t>
            </w:r>
            <w:r>
              <w:rPr>
                <w:rFonts w:ascii="Arial" w:hAnsi="Arial" w:eastAsia="Noto Sans KR"/>
                <w:color w:val="1D2730"/>
              </w:rPr>
              <w:t>The partner SMS API will provide actual message transport. Do not design or rebuild carrier gateway internals. Build the platform-facing adapter, validation, orchestration, records, user experience, and operational controls described below.</w:t>
            </w:r>
          </w:p>
        </w:tc>
      </w:tr>
    </w:tbl>
    <w:p>
      <w:pPr>
        <w:spacing w:after="20"/>
      </w:pPr>
    </w:p>
    <w:p>
      <w:pPr>
        <w:pStyle w:val="Heading1"/>
      </w:pPr>
      <w:r>
        <w:t>Document purpose</w:t>
      </w:r>
    </w:p>
    <w:p>
      <w:r>
        <w:rPr>
          <w:rFonts w:ascii="Arial" w:hAnsi="Arial" w:eastAsia="Noto Sans KR"/>
          <w:i w:val="0"/>
          <w:color w:val="1D2730"/>
        </w:rPr>
        <w:t>This document is the basis for technical estimation, UX design, development, testing, and handover. Any assumption affecting price, schedule, data ownership, message charging, or compliance must be recorded and approved before implementation.</w:t>
      </w:r>
    </w:p>
    <w:p>
      <w:pPr>
        <w:pStyle w:val="Heading1"/>
      </w:pPr>
      <w:r>
        <w:t>Product summary</w:t>
      </w:r>
    </w:p>
    <w:p>
      <w:pPr>
        <w:numPr>
          <w:ilvl w:val="0"/>
          <w:numId w:val="10"/>
        </w:numPr>
      </w:pPr>
      <w:r>
        <w:rPr>
          <w:rFonts w:ascii="Arial" w:hAnsi="Arial" w:eastAsia="Noto Sans KR"/>
          <w:b/>
          <w:color w:val="183B56"/>
        </w:rPr>
        <w:t xml:space="preserve">Self-service SMS — </w:t>
      </w:r>
      <w:r>
        <w:rPr>
          <w:rFonts w:ascii="Arial" w:hAnsi="Arial" w:eastAsia="Noto Sans KR"/>
          <w:color w:val="1D2730"/>
        </w:rPr>
        <w:t>Verified business users can enter Philippine mobile numbers manually, paste multiple numbers, or upload a CSV file.</w:t>
      </w:r>
    </w:p>
    <w:p>
      <w:pPr>
        <w:numPr>
          <w:ilvl w:val="0"/>
          <w:numId w:val="10"/>
        </w:numPr>
      </w:pPr>
      <w:r>
        <w:rPr>
          <w:rFonts w:ascii="Arial" w:hAnsi="Arial" w:eastAsia="Noto Sans KR"/>
          <w:b/>
          <w:color w:val="183B56"/>
        </w:rPr>
        <w:t xml:space="preserve">Controlled sending — </w:t>
      </w:r>
      <w:r>
        <w:rPr>
          <w:rFonts w:ascii="Arial" w:hAnsi="Arial" w:eastAsia="Noto Sans KR"/>
          <w:color w:val="1D2730"/>
        </w:rPr>
        <w:t>Every send is checked for account status, number validity, suppression, balance, limits, and required confirmations.</w:t>
      </w:r>
    </w:p>
    <w:p>
      <w:pPr>
        <w:numPr>
          <w:ilvl w:val="0"/>
          <w:numId w:val="10"/>
        </w:numPr>
      </w:pPr>
      <w:r>
        <w:rPr>
          <w:rFonts w:ascii="Arial" w:hAnsi="Arial" w:eastAsia="Noto Sans KR"/>
          <w:b/>
          <w:color w:val="183B56"/>
        </w:rPr>
        <w:t xml:space="preserve">Bulk-sales route — </w:t>
      </w:r>
      <w:r>
        <w:rPr>
          <w:rFonts w:ascii="Arial" w:hAnsi="Arial" w:eastAsia="Noto Sans KR"/>
          <w:color w:val="1D2730"/>
        </w:rPr>
        <w:t>High-volume or promotional campaigns are routed to a separate inquiry and manual review process.</w:t>
      </w:r>
    </w:p>
    <w:p>
      <w:pPr>
        <w:numPr>
          <w:ilvl w:val="0"/>
          <w:numId w:val="10"/>
        </w:numPr>
      </w:pPr>
      <w:r>
        <w:rPr>
          <w:rFonts w:ascii="Arial" w:hAnsi="Arial" w:eastAsia="Noto Sans KR"/>
          <w:b/>
          <w:color w:val="183B56"/>
        </w:rPr>
        <w:t xml:space="preserve">Partner transport — </w:t>
      </w:r>
      <w:r>
        <w:rPr>
          <w:rFonts w:ascii="Arial" w:hAnsi="Arial" w:eastAsia="Noto Sans KR"/>
          <w:color w:val="1D2730"/>
        </w:rPr>
        <w:t>A dedicated adapter sends accepted jobs to the partner API and maps partner responses into platform statuses.</w:t>
      </w:r>
    </w:p>
    <w:p>
      <w:pPr>
        <w:pStyle w:val="Heading1"/>
      </w:pPr>
      <w:r>
        <w:t>Scope and non-goals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shd w:fill="EAF3F8"/>
            <w:vAlign w:val="center"/>
          </w:tcPr>
          <w:p>
            <w:pPr>
              <w:spacing w:after="0"/>
            </w:pPr>
            <w:r>
              <w:rPr>
                <w:rFonts w:ascii="Arial" w:hAnsi="Arial" w:eastAsia="Noto Sans KR"/>
                <w:b/>
                <w:color w:val="183B56"/>
                <w:sz w:val="18"/>
              </w:rPr>
              <w:t>In scope</w:t>
            </w:r>
          </w:p>
        </w:tc>
        <w:tc>
          <w:tcPr>
            <w:tcW w:type="dxa" w:w="4680"/>
            <w:tcMar>
              <w:top w:w="80" w:type="dxa"/>
              <w:start w:w="120" w:type="dxa"/>
              <w:bottom w:w="80" w:type="dxa"/>
              <w:end w:w="120" w:type="dxa"/>
            </w:tcMar>
            <w:shd w:fill="EAF3F8"/>
            <w:vAlign w:val="center"/>
          </w:tcPr>
          <w:p>
            <w:pPr>
              <w:spacing w:after="0"/>
            </w:pPr>
            <w:r>
              <w:rPr>
                <w:rFonts w:ascii="Arial" w:hAnsi="Arial" w:eastAsia="Noto Sans KR"/>
                <w:b/>
                <w:color w:val="183B56"/>
                <w:sz w:val="18"/>
              </w:rPr>
              <w:t>Out of scope</w:t>
            </w:r>
          </w:p>
        </w:tc>
      </w:tr>
      <w:tr>
        <w:trPr>
          <w:cantSplit/>
        </w:trPr>
        <w:tc>
          <w:tcPr>
            <w:tcW w:type="dxa" w:w="4680"/>
          </w:tcPr>
          <w:p>
            <w:pPr>
              <w:spacing w:after="0" w:line="252" w:lineRule="auto"/>
            </w:pPr>
            <w:r>
              <w:rPr>
                <w:rFonts w:ascii="Arial" w:hAnsi="Arial" w:eastAsia="Noto Sans KR"/>
                <w:color w:val="1D2730"/>
                <w:sz w:val="17"/>
              </w:rPr>
              <w:t>Public marketing website, customer portal, admin console</w:t>
            </w:r>
          </w:p>
        </w:tc>
        <w:tc>
          <w:tcPr>
            <w:tcW w:type="dxa" w:w="4680"/>
          </w:tcPr>
          <w:p>
            <w:pPr>
              <w:spacing w:after="0" w:line="252" w:lineRule="auto"/>
            </w:pPr>
            <w:r>
              <w:rPr>
                <w:rFonts w:ascii="Arial" w:hAnsi="Arial" w:eastAsia="Noto Sans KR"/>
                <w:color w:val="1D2730"/>
                <w:sz w:val="17"/>
              </w:rPr>
              <w:t>Carrier network or SMS gateway implementation</w:t>
            </w:r>
          </w:p>
        </w:tc>
      </w:tr>
      <w:tr>
        <w:trPr>
          <w:cantSplit/>
        </w:trPr>
        <w:tc>
          <w:tcPr>
            <w:tcW w:type="dxa" w:w="4680"/>
          </w:tcPr>
          <w:p>
            <w:pPr>
              <w:spacing w:after="0" w:line="252" w:lineRule="auto"/>
            </w:pPr>
            <w:r>
              <w:rPr>
                <w:rFonts w:ascii="Arial" w:hAnsi="Arial" w:eastAsia="Noto Sans KR"/>
                <w:color w:val="1D2730"/>
                <w:sz w:val="17"/>
              </w:rPr>
              <w:t>Business onboarding and manual verification</w:t>
            </w:r>
          </w:p>
        </w:tc>
        <w:tc>
          <w:tcPr>
            <w:tcW w:type="dxa" w:w="4680"/>
          </w:tcPr>
          <w:p>
            <w:pPr>
              <w:spacing w:after="0" w:line="252" w:lineRule="auto"/>
            </w:pPr>
            <w:r>
              <w:rPr>
                <w:rFonts w:ascii="Arial" w:hAnsi="Arial" w:eastAsia="Noto Sans KR"/>
                <w:color w:val="1D2730"/>
                <w:sz w:val="17"/>
              </w:rPr>
              <w:t>Sending to non-Philippine destinations</w:t>
            </w:r>
          </w:p>
        </w:tc>
      </w:tr>
      <w:tr>
        <w:trPr>
          <w:cantSplit/>
        </w:trPr>
        <w:tc>
          <w:tcPr>
            <w:tcW w:type="dxa" w:w="4680"/>
          </w:tcPr>
          <w:p>
            <w:pPr>
              <w:spacing w:after="0" w:line="252" w:lineRule="auto"/>
            </w:pPr>
            <w:r>
              <w:rPr>
                <w:rFonts w:ascii="Arial" w:hAnsi="Arial" w:eastAsia="Noto Sans KR"/>
                <w:color w:val="1D2730"/>
                <w:sz w:val="17"/>
              </w:rPr>
              <w:t>Manual entry, paste, CSV import and validation</w:t>
            </w:r>
          </w:p>
        </w:tc>
        <w:tc>
          <w:tcPr>
            <w:tcW w:type="dxa" w:w="4680"/>
          </w:tcPr>
          <w:p>
            <w:pPr>
              <w:spacing w:after="0" w:line="252" w:lineRule="auto"/>
            </w:pPr>
            <w:r>
              <w:rPr>
                <w:rFonts w:ascii="Arial" w:hAnsi="Arial" w:eastAsia="Noto Sans KR"/>
                <w:color w:val="1D2730"/>
                <w:sz w:val="17"/>
              </w:rPr>
              <w:t>WhatsApp, Viber, RCS, email, or voice channels</w:t>
            </w:r>
          </w:p>
        </w:tc>
      </w:tr>
      <w:tr>
        <w:trPr>
          <w:cantSplit/>
        </w:trPr>
        <w:tc>
          <w:tcPr>
            <w:tcW w:type="dxa" w:w="4680"/>
          </w:tcPr>
          <w:p>
            <w:pPr>
              <w:spacing w:after="0" w:line="252" w:lineRule="auto"/>
            </w:pPr>
            <w:r>
              <w:rPr>
                <w:rFonts w:ascii="Arial" w:hAnsi="Arial" w:eastAsia="Noto Sans KR"/>
                <w:color w:val="1D2730"/>
                <w:sz w:val="17"/>
              </w:rPr>
              <w:t>Composer, templates, test/immediate/scheduled send</w:t>
            </w:r>
          </w:p>
        </w:tc>
        <w:tc>
          <w:tcPr>
            <w:tcW w:type="dxa" w:w="4680"/>
          </w:tcPr>
          <w:p>
            <w:pPr>
              <w:spacing w:after="0" w:line="252" w:lineRule="auto"/>
            </w:pPr>
            <w:r>
              <w:rPr>
                <w:rFonts w:ascii="Arial" w:hAnsi="Arial" w:eastAsia="Noto Sans KR"/>
                <w:color w:val="1D2730"/>
                <w:sz w:val="17"/>
              </w:rPr>
              <w:t>Public customer API in MVP</w:t>
            </w:r>
          </w:p>
        </w:tc>
      </w:tr>
      <w:tr>
        <w:trPr>
          <w:cantSplit/>
        </w:trPr>
        <w:tc>
          <w:tcPr>
            <w:tcW w:type="dxa" w:w="4680"/>
          </w:tcPr>
          <w:p>
            <w:pPr>
              <w:spacing w:after="0" w:line="252" w:lineRule="auto"/>
            </w:pPr>
            <w:r>
              <w:rPr>
                <w:rFonts w:ascii="Arial" w:hAnsi="Arial" w:eastAsia="Noto Sans KR"/>
                <w:color w:val="1D2730"/>
                <w:sz w:val="17"/>
              </w:rPr>
              <w:t>Credits, billing records, reports, suppression list</w:t>
            </w:r>
          </w:p>
        </w:tc>
        <w:tc>
          <w:tcPr>
            <w:tcW w:type="dxa" w:w="4680"/>
          </w:tcPr>
          <w:p>
            <w:pPr>
              <w:spacing w:after="0" w:line="252" w:lineRule="auto"/>
            </w:pPr>
            <w:r>
              <w:rPr>
                <w:rFonts w:ascii="Arial" w:hAnsi="Arial" w:eastAsia="Noto Sans KR"/>
                <w:color w:val="1D2730"/>
                <w:sz w:val="17"/>
              </w:rPr>
              <w:t>Advanced CRM and marketing automation</w:t>
            </w:r>
          </w:p>
        </w:tc>
      </w:tr>
      <w:tr>
        <w:trPr>
          <w:cantSplit/>
        </w:trPr>
        <w:tc>
          <w:tcPr>
            <w:tcW w:type="dxa" w:w="4680"/>
          </w:tcPr>
          <w:p>
            <w:pPr>
              <w:spacing w:after="0" w:line="252" w:lineRule="auto"/>
            </w:pPr>
            <w:r>
              <w:rPr>
                <w:rFonts w:ascii="Arial" w:hAnsi="Arial" w:eastAsia="Noto Sans KR"/>
                <w:color w:val="1D2730"/>
                <w:sz w:val="17"/>
              </w:rPr>
              <w:t>Partner API adapter and webhook/status mapping</w:t>
            </w:r>
          </w:p>
        </w:tc>
        <w:tc>
          <w:tcPr>
            <w:tcW w:type="dxa" w:w="4680"/>
          </w:tcPr>
          <w:p>
            <w:pPr>
              <w:spacing w:after="0" w:line="252" w:lineRule="auto"/>
            </w:pPr>
            <w:r>
              <w:rPr>
                <w:rFonts w:ascii="Arial" w:hAnsi="Arial" w:eastAsia="Noto Sans KR"/>
                <w:color w:val="1D2730"/>
                <w:sz w:val="17"/>
              </w:rPr>
              <w:t>Partner API internal infrastructure</w:t>
            </w:r>
          </w:p>
        </w:tc>
      </w:tr>
    </w:tbl>
    <w:p>
      <w:pPr>
        <w:spacing w:after="20"/>
      </w:pPr>
    </w:p>
    <w:p>
      <w:pPr>
        <w:pStyle w:val="Heading1"/>
      </w:pPr>
      <w:r>
        <w:t>Assumptions requiring confirmation</w:t>
      </w:r>
    </w:p>
    <w:p>
      <w:pPr>
        <w:numPr>
          <w:ilvl w:val="0"/>
          <w:numId w:val="10"/>
        </w:numPr>
      </w:pPr>
      <w:r>
        <w:rPr>
          <w:rFonts w:ascii="Arial" w:hAnsi="Arial" w:eastAsia="Noto Sans KR"/>
          <w:color w:val="1D2730"/>
        </w:rPr>
        <w:t>Pricing is prepaid and deducted per SMS segment, not per campaign row.</w:t>
      </w:r>
    </w:p>
    <w:p>
      <w:pPr>
        <w:numPr>
          <w:ilvl w:val="0"/>
          <w:numId w:val="10"/>
        </w:numPr>
      </w:pPr>
      <w:r>
        <w:rPr>
          <w:rFonts w:ascii="Arial" w:hAnsi="Arial" w:eastAsia="Noto Sans KR"/>
          <w:color w:val="1D2730"/>
        </w:rPr>
        <w:t>Philippine mobile destinations are normalized to E.164 format (+63…).</w:t>
      </w:r>
    </w:p>
    <w:p>
      <w:pPr>
        <w:numPr>
          <w:ilvl w:val="0"/>
          <w:numId w:val="10"/>
        </w:numPr>
      </w:pPr>
      <w:r>
        <w:rPr>
          <w:rFonts w:ascii="Arial" w:hAnsi="Arial" w:eastAsia="Noto Sans KR"/>
          <w:color w:val="1D2730"/>
        </w:rPr>
        <w:t>Anonymous or unverified accounts cannot send.</w:t>
      </w:r>
    </w:p>
    <w:p>
      <w:pPr>
        <w:numPr>
          <w:ilvl w:val="0"/>
          <w:numId w:val="10"/>
        </w:numPr>
      </w:pPr>
      <w:r>
        <w:rPr>
          <w:rFonts w:ascii="Arial" w:hAnsi="Arial" w:eastAsia="Noto Sans KR"/>
          <w:color w:val="1D2730"/>
        </w:rPr>
        <w:t>The partner provides sandbox credentials, production credentials, error codes, delivery updates, rate limits, sender-ID rules, and support escalation contacts.</w:t>
      </w:r>
    </w:p>
    <w:p>
      <w:pPr>
        <w:numPr>
          <w:ilvl w:val="0"/>
          <w:numId w:val="10"/>
        </w:numPr>
      </w:pPr>
      <w:r>
        <w:rPr>
          <w:rFonts w:ascii="Arial" w:hAnsi="Arial" w:eastAsia="Noto Sans KR"/>
          <w:color w:val="1D2730"/>
        </w:rPr>
        <w:t>Exact self-service volume thresholds, credit packages, retention periods, payment gateway, and refund rules are configuration values.</w:t>
      </w:r>
    </w:p>
    <w:p>
      <w:pPr>
        <w:pStyle w:val="Heading1"/>
      </w:pPr>
      <w:r>
        <w:t>User roles and permissions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EAF3F8"/>
            <w:vAlign w:val="center"/>
          </w:tcPr>
          <w:p>
            <w:pPr>
              <w:spacing w:after="0"/>
            </w:pPr>
            <w:r>
              <w:rPr>
                <w:rFonts w:ascii="Arial" w:hAnsi="Arial" w:eastAsia="Noto Sans KR"/>
                <w:b/>
                <w:color w:val="183B56"/>
                <w:sz w:val="18"/>
              </w:rPr>
              <w:t>Role</w:t>
            </w:r>
          </w:p>
        </w:tc>
        <w:tc>
          <w:tcPr>
            <w:tcW w:type="dxa" w:w="7160"/>
            <w:tcMar>
              <w:top w:w="80" w:type="dxa"/>
              <w:start w:w="120" w:type="dxa"/>
              <w:bottom w:w="80" w:type="dxa"/>
              <w:end w:w="120" w:type="dxa"/>
            </w:tcMar>
            <w:shd w:fill="EAF3F8"/>
            <w:vAlign w:val="center"/>
          </w:tcPr>
          <w:p>
            <w:pPr>
              <w:spacing w:after="0"/>
            </w:pPr>
            <w:r>
              <w:rPr>
                <w:rFonts w:ascii="Arial" w:hAnsi="Arial" w:eastAsia="Noto Sans KR"/>
                <w:b/>
                <w:color w:val="183B56"/>
                <w:sz w:val="18"/>
              </w:rPr>
              <w:t>Primary permissions</w:t>
            </w:r>
          </w:p>
        </w:tc>
      </w:tr>
      <w:tr>
        <w:trPr>
          <w:cantSplit/>
        </w:trPr>
        <w:tc>
          <w:tcPr>
            <w:tcW w:type="dxa" w:w="2200"/>
          </w:tcPr>
          <w:p>
            <w:pPr>
              <w:spacing w:after="0" w:line="252" w:lineRule="auto"/>
            </w:pPr>
            <w:r>
              <w:rPr>
                <w:rFonts w:ascii="Arial" w:hAnsi="Arial" w:eastAsia="Noto Sans KR"/>
                <w:color w:val="1D2730"/>
                <w:sz w:val="17"/>
              </w:rPr>
              <w:t>Organization Owner</w:t>
            </w:r>
          </w:p>
        </w:tc>
        <w:tc>
          <w:tcPr>
            <w:tcW w:type="dxa" w:w="7160"/>
          </w:tcPr>
          <w:p>
            <w:pPr>
              <w:spacing w:after="0" w:line="252" w:lineRule="auto"/>
            </w:pPr>
            <w:r>
              <w:rPr>
                <w:rFonts w:ascii="Arial" w:hAnsi="Arial" w:eastAsia="Noto Sans KR"/>
                <w:color w:val="1D2730"/>
                <w:sz w:val="17"/>
              </w:rPr>
              <w:t>Billing, users, settings, all campaigns and reports</w:t>
            </w:r>
          </w:p>
        </w:tc>
      </w:tr>
      <w:tr>
        <w:trPr>
          <w:cantSplit/>
        </w:trPr>
        <w:tc>
          <w:tcPr>
            <w:tcW w:type="dxa" w:w="2200"/>
          </w:tcPr>
          <w:p>
            <w:pPr>
              <w:spacing w:after="0" w:line="252" w:lineRule="auto"/>
            </w:pPr>
            <w:r>
              <w:rPr>
                <w:rFonts w:ascii="Arial" w:hAnsi="Arial" w:eastAsia="Noto Sans KR"/>
                <w:color w:val="1D2730"/>
                <w:sz w:val="17"/>
              </w:rPr>
              <w:t>Organization Admin</w:t>
            </w:r>
          </w:p>
        </w:tc>
        <w:tc>
          <w:tcPr>
            <w:tcW w:type="dxa" w:w="7160"/>
          </w:tcPr>
          <w:p>
            <w:pPr>
              <w:spacing w:after="0" w:line="252" w:lineRule="auto"/>
            </w:pPr>
            <w:r>
              <w:rPr>
                <w:rFonts w:ascii="Arial" w:hAnsi="Arial" w:eastAsia="Noto Sans KR"/>
                <w:color w:val="1D2730"/>
                <w:sz w:val="17"/>
              </w:rPr>
              <w:t>Contacts, templates, sender IDs, campaign settings</w:t>
            </w:r>
          </w:p>
        </w:tc>
      </w:tr>
      <w:tr>
        <w:trPr>
          <w:cantSplit/>
        </w:trPr>
        <w:tc>
          <w:tcPr>
            <w:tcW w:type="dxa" w:w="2200"/>
          </w:tcPr>
          <w:p>
            <w:pPr>
              <w:spacing w:after="0" w:line="252" w:lineRule="auto"/>
            </w:pPr>
            <w:r>
              <w:rPr>
                <w:rFonts w:ascii="Arial" w:hAnsi="Arial" w:eastAsia="Noto Sans KR"/>
                <w:color w:val="1D2730"/>
                <w:sz w:val="17"/>
              </w:rPr>
              <w:t>Sender</w:t>
            </w:r>
          </w:p>
        </w:tc>
        <w:tc>
          <w:tcPr>
            <w:tcW w:type="dxa" w:w="7160"/>
          </w:tcPr>
          <w:p>
            <w:pPr>
              <w:spacing w:after="0" w:line="252" w:lineRule="auto"/>
            </w:pPr>
            <w:r>
              <w:rPr>
                <w:rFonts w:ascii="Arial" w:hAnsi="Arial" w:eastAsia="Noto Sans KR"/>
                <w:color w:val="1D2730"/>
                <w:sz w:val="17"/>
              </w:rPr>
              <w:t>Create drafts and send within assigned limits</w:t>
            </w:r>
          </w:p>
        </w:tc>
      </w:tr>
      <w:tr>
        <w:trPr>
          <w:cantSplit/>
        </w:trPr>
        <w:tc>
          <w:tcPr>
            <w:tcW w:type="dxa" w:w="2200"/>
          </w:tcPr>
          <w:p>
            <w:pPr>
              <w:spacing w:after="0" w:line="252" w:lineRule="auto"/>
            </w:pPr>
            <w:r>
              <w:rPr>
                <w:rFonts w:ascii="Arial" w:hAnsi="Arial" w:eastAsia="Noto Sans KR"/>
                <w:color w:val="1D2730"/>
                <w:sz w:val="17"/>
              </w:rPr>
              <w:t>Approver</w:t>
            </w:r>
          </w:p>
        </w:tc>
        <w:tc>
          <w:tcPr>
            <w:tcW w:type="dxa" w:w="7160"/>
          </w:tcPr>
          <w:p>
            <w:pPr>
              <w:spacing w:after="0" w:line="252" w:lineRule="auto"/>
            </w:pPr>
            <w:r>
              <w:rPr>
                <w:rFonts w:ascii="Arial" w:hAnsi="Arial" w:eastAsia="Noto Sans KR"/>
                <w:color w:val="1D2730"/>
                <w:sz w:val="17"/>
              </w:rPr>
              <w:t>Approve or reject drafts when approval workflow is enabled</w:t>
            </w:r>
          </w:p>
        </w:tc>
      </w:tr>
      <w:tr>
        <w:trPr>
          <w:cantSplit/>
        </w:trPr>
        <w:tc>
          <w:tcPr>
            <w:tcW w:type="dxa" w:w="2200"/>
          </w:tcPr>
          <w:p>
            <w:pPr>
              <w:spacing w:after="0" w:line="252" w:lineRule="auto"/>
            </w:pPr>
            <w:r>
              <w:rPr>
                <w:rFonts w:ascii="Arial" w:hAnsi="Arial" w:eastAsia="Noto Sans KR"/>
                <w:color w:val="1D2730"/>
                <w:sz w:val="17"/>
              </w:rPr>
              <w:t>Viewer</w:t>
            </w:r>
          </w:p>
        </w:tc>
        <w:tc>
          <w:tcPr>
            <w:tcW w:type="dxa" w:w="7160"/>
          </w:tcPr>
          <w:p>
            <w:pPr>
              <w:spacing w:after="0" w:line="252" w:lineRule="auto"/>
            </w:pPr>
            <w:r>
              <w:rPr>
                <w:rFonts w:ascii="Arial" w:hAnsi="Arial" w:eastAsia="Noto Sans KR"/>
                <w:color w:val="1D2730"/>
                <w:sz w:val="17"/>
              </w:rPr>
              <w:t>Read-only access to reports and history</w:t>
            </w:r>
          </w:p>
        </w:tc>
      </w:tr>
      <w:tr>
        <w:trPr>
          <w:cantSplit/>
        </w:trPr>
        <w:tc>
          <w:tcPr>
            <w:tcW w:type="dxa" w:w="2200"/>
          </w:tcPr>
          <w:p>
            <w:pPr>
              <w:spacing w:after="0" w:line="252" w:lineRule="auto"/>
            </w:pPr>
            <w:r>
              <w:rPr>
                <w:rFonts w:ascii="Arial" w:hAnsi="Arial" w:eastAsia="Noto Sans KR"/>
                <w:color w:val="1D2730"/>
                <w:sz w:val="17"/>
              </w:rPr>
              <w:t>Platform Admin</w:t>
            </w:r>
          </w:p>
        </w:tc>
        <w:tc>
          <w:tcPr>
            <w:tcW w:type="dxa" w:w="7160"/>
          </w:tcPr>
          <w:p>
            <w:pPr>
              <w:spacing w:after="0" w:line="252" w:lineRule="auto"/>
            </w:pPr>
            <w:r>
              <w:rPr>
                <w:rFonts w:ascii="Arial" w:hAnsi="Arial" w:eastAsia="Noto Sans KR"/>
                <w:color w:val="1D2730"/>
                <w:sz w:val="17"/>
              </w:rPr>
              <w:t>Customer verification, pricing, limits, credits, abuse and system operations</w:t>
            </w:r>
          </w:p>
        </w:tc>
      </w:tr>
    </w:tbl>
    <w:p>
      <w:pPr>
        <w:spacing w:after="20"/>
      </w:pPr>
    </w:p>
    <w:p>
      <w:pPr>
        <w:pStyle w:val="Heading1"/>
      </w:pPr>
      <w:r>
        <w:t>Information architecture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shd w:fill="EAF3F8"/>
            <w:vAlign w:val="center"/>
          </w:tcPr>
          <w:p>
            <w:pPr>
              <w:spacing w:after="0"/>
            </w:pPr>
            <w:r>
              <w:rPr>
                <w:rFonts w:ascii="Arial" w:hAnsi="Arial" w:eastAsia="Noto Sans KR"/>
                <w:b/>
                <w:color w:val="183B56"/>
                <w:sz w:val="18"/>
              </w:rPr>
              <w:t>Surface</w:t>
            </w:r>
          </w:p>
        </w:tc>
        <w:tc>
          <w:tcPr>
            <w:tcW w:type="dxa" w:w="7460"/>
            <w:tcMar>
              <w:top w:w="80" w:type="dxa"/>
              <w:start w:w="120" w:type="dxa"/>
              <w:bottom w:w="80" w:type="dxa"/>
              <w:end w:w="120" w:type="dxa"/>
            </w:tcMar>
            <w:shd w:fill="EAF3F8"/>
            <w:vAlign w:val="center"/>
          </w:tcPr>
          <w:p>
            <w:pPr>
              <w:spacing w:after="0"/>
            </w:pPr>
            <w:r>
              <w:rPr>
                <w:rFonts w:ascii="Arial" w:hAnsi="Arial" w:eastAsia="Noto Sans KR"/>
                <w:b/>
                <w:color w:val="183B56"/>
                <w:sz w:val="18"/>
              </w:rPr>
              <w:t>Required pages</w:t>
            </w:r>
          </w:p>
        </w:tc>
      </w:tr>
      <w:tr>
        <w:trPr>
          <w:cantSplit/>
        </w:trPr>
        <w:tc>
          <w:tcPr>
            <w:tcW w:type="dxa" w:w="1900"/>
          </w:tcPr>
          <w:p>
            <w:pPr>
              <w:spacing w:after="0" w:line="252" w:lineRule="auto"/>
            </w:pPr>
            <w:r>
              <w:rPr>
                <w:rFonts w:ascii="Arial" w:hAnsi="Arial" w:eastAsia="Noto Sans KR"/>
                <w:color w:val="1D2730"/>
                <w:sz w:val="17"/>
              </w:rPr>
              <w:t>Public website</w:t>
            </w:r>
          </w:p>
        </w:tc>
        <w:tc>
          <w:tcPr>
            <w:tcW w:type="dxa" w:w="7460"/>
          </w:tcPr>
          <w:p>
            <w:pPr>
              <w:spacing w:after="0" w:line="252" w:lineRule="auto"/>
            </w:pPr>
            <w:r>
              <w:rPr>
                <w:rFonts w:ascii="Arial" w:hAnsi="Arial" w:eastAsia="Noto Sans KR"/>
                <w:color w:val="1D2730"/>
                <w:sz w:val="17"/>
              </w:rPr>
              <w:t>Home; Features; How It Works; Pricing; Bulk SMS; Help Center; Contact; Login; Sign Up; legal pages</w:t>
            </w:r>
          </w:p>
        </w:tc>
      </w:tr>
      <w:tr>
        <w:trPr>
          <w:cantSplit/>
        </w:trPr>
        <w:tc>
          <w:tcPr>
            <w:tcW w:type="dxa" w:w="1900"/>
          </w:tcPr>
          <w:p>
            <w:pPr>
              <w:spacing w:after="0" w:line="252" w:lineRule="auto"/>
            </w:pPr>
            <w:r>
              <w:rPr>
                <w:rFonts w:ascii="Arial" w:hAnsi="Arial" w:eastAsia="Noto Sans KR"/>
                <w:color w:val="1D2730"/>
                <w:sz w:val="17"/>
              </w:rPr>
              <w:t>Customer portal</w:t>
            </w:r>
          </w:p>
        </w:tc>
        <w:tc>
          <w:tcPr>
            <w:tcW w:type="dxa" w:w="7460"/>
          </w:tcPr>
          <w:p>
            <w:pPr>
              <w:spacing w:after="0" w:line="252" w:lineRule="auto"/>
            </w:pPr>
            <w:r>
              <w:rPr>
                <w:rFonts w:ascii="Arial" w:hAnsi="Arial" w:eastAsia="Noto Sans KR"/>
                <w:color w:val="1D2730"/>
                <w:sz w:val="17"/>
              </w:rPr>
              <w:t>Dashboard; Send SMS; Campaigns; Contacts; Templates; Scheduled; Reports; Credits &amp; Billing; Sender IDs; Team; Settings; Support</w:t>
            </w:r>
          </w:p>
        </w:tc>
      </w:tr>
      <w:tr>
        <w:trPr>
          <w:cantSplit/>
        </w:trPr>
        <w:tc>
          <w:tcPr>
            <w:tcW w:type="dxa" w:w="1900"/>
          </w:tcPr>
          <w:p>
            <w:pPr>
              <w:spacing w:after="0" w:line="252" w:lineRule="auto"/>
            </w:pPr>
            <w:r>
              <w:rPr>
                <w:rFonts w:ascii="Arial" w:hAnsi="Arial" w:eastAsia="Noto Sans KR"/>
                <w:color w:val="1D2730"/>
                <w:sz w:val="17"/>
              </w:rPr>
              <w:t>Admin console</w:t>
            </w:r>
          </w:p>
        </w:tc>
        <w:tc>
          <w:tcPr>
            <w:tcW w:type="dxa" w:w="7460"/>
          </w:tcPr>
          <w:p>
            <w:pPr>
              <w:spacing w:after="0" w:line="252" w:lineRule="auto"/>
            </w:pPr>
            <w:r>
              <w:rPr>
                <w:rFonts w:ascii="Arial" w:hAnsi="Arial" w:eastAsia="Noto Sans KR"/>
                <w:color w:val="1D2730"/>
                <w:sz w:val="17"/>
              </w:rPr>
              <w:t>Overview; Customers; Verification; SMS Activity; Bulk Inquiries; Sender IDs; Payments &amp; Credits; Pricing; Suppression; Abuse; Audit Logs; Settings</w:t>
            </w:r>
          </w:p>
        </w:tc>
      </w:tr>
    </w:tbl>
    <w:p>
      <w:pPr>
        <w:spacing w:after="20"/>
      </w:pPr>
    </w:p>
    <w:p>
      <w:pPr>
        <w:pStyle w:val="Heading1"/>
      </w:pPr>
      <w:r>
        <w:t>Functional requirements</w:t>
      </w:r>
    </w:p>
    <w:p>
      <w:pPr>
        <w:pStyle w:val="Heading2"/>
      </w:pPr>
      <w:r>
        <w:t>Authentication and organization onboarding</w:t>
      </w:r>
    </w:p>
    <w:tbl>
      <w:tblPr>
        <w:tblStyle w:val="TableGrid"/>
        <w:tblW w:type="dxa" w:w="9360"/>
        <w:jc w:val="left"/>
        <w:tblLayout w:type="fixed"/>
        <w:tblLook w:firstColumn="1" w:firstRow="1" w:lastColumn="0" w:lastRow="0" w:noHBand="0" w:noVBand="1" w:val="04A0"/>
        <w:tblInd w:w="120" w:type="dxa"/>
      </w:tblPr>
      <w:tblGrid>
        <w:gridCol w:w="1050"/>
        <w:gridCol w:w="4980"/>
        <w:gridCol w:w="3330"/>
      </w:tblGrid>
      <w:tr>
        <w:trPr>
          <w:tblHeader w:val="true"/>
        </w:trPr>
        <w:tc>
          <w:tcPr>
            <w:tcW w:type="dxa" w:w="1050"/>
            <w:tcMar>
              <w:top w:w="80" w:type="dxa"/>
              <w:start w:w="120" w:type="dxa"/>
              <w:bottom w:w="80" w:type="dxa"/>
              <w:end w:w="120" w:type="dxa"/>
            </w:tcMar>
            <w:shd w:fill="EAF3F8"/>
            <w:vAlign w:val="center"/>
          </w:tcPr>
          <w:p>
            <w:pPr>
              <w:spacing w:after="0"/>
            </w:pPr>
            <w:r>
              <w:rPr>
                <w:rFonts w:ascii="Arial" w:hAnsi="Arial" w:eastAsia="Noto Sans KR"/>
                <w:b/>
                <w:color w:val="183B56"/>
                <w:sz w:val="18"/>
              </w:rPr>
              <w:t>ID</w:t>
            </w:r>
          </w:p>
        </w:tc>
        <w:tc>
          <w:tcPr>
            <w:tcW w:type="dxa" w:w="4980"/>
            <w:tcMar>
              <w:top w:w="80" w:type="dxa"/>
              <w:start w:w="120" w:type="dxa"/>
              <w:bottom w:w="80" w:type="dxa"/>
              <w:end w:w="120" w:type="dxa"/>
            </w:tcMar>
            <w:shd w:fill="EAF3F8"/>
            <w:vAlign w:val="center"/>
          </w:tcPr>
          <w:p>
            <w:pPr>
              <w:spacing w:after="0"/>
            </w:pPr>
            <w:r>
              <w:rPr>
                <w:rFonts w:ascii="Arial" w:hAnsi="Arial" w:eastAsia="Noto Sans KR"/>
                <w:b/>
                <w:color w:val="183B56"/>
                <w:sz w:val="18"/>
              </w:rPr>
              <w:t>Requirement</w:t>
            </w:r>
          </w:p>
        </w:tc>
        <w:tc>
          <w:tcPr>
            <w:tcW w:type="dxa" w:w="3330"/>
            <w:tcMar>
              <w:top w:w="80" w:type="dxa"/>
              <w:start w:w="120" w:type="dxa"/>
              <w:bottom w:w="80" w:type="dxa"/>
              <w:end w:w="120" w:type="dxa"/>
            </w:tcMar>
            <w:shd w:fill="EAF3F8"/>
            <w:vAlign w:val="center"/>
          </w:tcPr>
          <w:p>
            <w:pPr>
              <w:spacing w:after="0"/>
            </w:pPr>
            <w:r>
              <w:rPr>
                <w:rFonts w:ascii="Arial" w:hAnsi="Arial" w:eastAsia="Noto Sans KR"/>
                <w:b/>
                <w:color w:val="183B56"/>
                <w:sz w:val="18"/>
              </w:rPr>
              <w:t>Acceptance summary</w:t>
            </w:r>
          </w:p>
        </w:tc>
      </w:tr>
      <w:tr>
        <w:trPr>
          <w:cantSplit/>
        </w:trPr>
        <w:tc>
          <w:tcPr>
            <w:tcW w:type="dxa" w:w="1050"/>
          </w:tcPr>
          <w:p>
            <w:pPr>
              <w:spacing w:after="0" w:line="252" w:lineRule="auto"/>
            </w:pPr>
            <w:r>
              <w:rPr>
                <w:rFonts w:ascii="Arial" w:hAnsi="Arial" w:eastAsia="Noto Sans KR"/>
                <w:color w:val="1D2730"/>
                <w:sz w:val="16"/>
              </w:rPr>
              <w:t>AUTH-01</w:t>
            </w:r>
          </w:p>
        </w:tc>
        <w:tc>
          <w:tcPr>
            <w:tcW w:type="dxa" w:w="4980"/>
          </w:tcPr>
          <w:p>
            <w:pPr>
              <w:spacing w:after="0" w:line="252" w:lineRule="auto"/>
            </w:pPr>
            <w:r>
              <w:rPr>
                <w:rFonts w:ascii="Arial" w:hAnsi="Arial" w:eastAsia="Noto Sans KR"/>
                <w:color w:val="1D2730"/>
                <w:sz w:val="17"/>
              </w:rPr>
              <w:t>Email/password registration with email verification.</w:t>
            </w:r>
          </w:p>
        </w:tc>
        <w:tc>
          <w:tcPr>
            <w:tcW w:type="dxa" w:w="3330"/>
          </w:tcPr>
          <w:p>
            <w:pPr>
              <w:spacing w:after="0" w:line="252" w:lineRule="auto"/>
            </w:pPr>
            <w:r>
              <w:rPr>
                <w:rFonts w:ascii="Arial" w:hAnsi="Arial" w:eastAsia="Noto Sans KR"/>
                <w:color w:val="1D2730"/>
                <w:sz w:val="16"/>
              </w:rPr>
              <w:t>Unverified email cannot enter the send flow.</w:t>
            </w:r>
          </w:p>
        </w:tc>
      </w:tr>
      <w:tr>
        <w:trPr>
          <w:cantSplit/>
        </w:trPr>
        <w:tc>
          <w:tcPr>
            <w:tcW w:type="dxa" w:w="1050"/>
          </w:tcPr>
          <w:p>
            <w:pPr>
              <w:spacing w:after="0" w:line="252" w:lineRule="auto"/>
            </w:pPr>
            <w:r>
              <w:rPr>
                <w:rFonts w:ascii="Arial" w:hAnsi="Arial" w:eastAsia="Noto Sans KR"/>
                <w:color w:val="1D2730"/>
                <w:sz w:val="16"/>
              </w:rPr>
              <w:t>AUTH-02</w:t>
            </w:r>
          </w:p>
        </w:tc>
        <w:tc>
          <w:tcPr>
            <w:tcW w:type="dxa" w:w="4980"/>
          </w:tcPr>
          <w:p>
            <w:pPr>
              <w:spacing w:after="0" w:line="252" w:lineRule="auto"/>
            </w:pPr>
            <w:r>
              <w:rPr>
                <w:rFonts w:ascii="Arial" w:hAnsi="Arial" w:eastAsia="Noto Sans KR"/>
                <w:color w:val="1D2730"/>
                <w:sz w:val="17"/>
              </w:rPr>
              <w:t>Optional mobile verification and MFA-ready architecture.</w:t>
            </w:r>
          </w:p>
        </w:tc>
        <w:tc>
          <w:tcPr>
            <w:tcW w:type="dxa" w:w="3330"/>
          </w:tcPr>
          <w:p>
            <w:pPr>
              <w:spacing w:after="0" w:line="252" w:lineRule="auto"/>
            </w:pPr>
            <w:r>
              <w:rPr>
                <w:rFonts w:ascii="Arial" w:hAnsi="Arial" w:eastAsia="Noto Sans KR"/>
                <w:color w:val="1D2730"/>
                <w:sz w:val="16"/>
              </w:rPr>
              <w:t>Admin MFA is mandatory before production.</w:t>
            </w:r>
          </w:p>
        </w:tc>
      </w:tr>
      <w:tr>
        <w:trPr>
          <w:cantSplit/>
        </w:trPr>
        <w:tc>
          <w:tcPr>
            <w:tcW w:type="dxa" w:w="1050"/>
          </w:tcPr>
          <w:p>
            <w:pPr>
              <w:spacing w:after="0" w:line="252" w:lineRule="auto"/>
            </w:pPr>
            <w:r>
              <w:rPr>
                <w:rFonts w:ascii="Arial" w:hAnsi="Arial" w:eastAsia="Noto Sans KR"/>
                <w:color w:val="1D2730"/>
                <w:sz w:val="16"/>
              </w:rPr>
              <w:t>AUTH-03</w:t>
            </w:r>
          </w:p>
        </w:tc>
        <w:tc>
          <w:tcPr>
            <w:tcW w:type="dxa" w:w="4980"/>
          </w:tcPr>
          <w:p>
            <w:pPr>
              <w:spacing w:after="0" w:line="252" w:lineRule="auto"/>
            </w:pPr>
            <w:r>
              <w:rPr>
                <w:rFonts w:ascii="Arial" w:hAnsi="Arial" w:eastAsia="Noto Sans KR"/>
                <w:color w:val="1D2730"/>
                <w:sz w:val="17"/>
              </w:rPr>
              <w:t>Collect company name, SEC/DTI identifier, address, industry, website/social URL, purpose and expected volume.</w:t>
            </w:r>
          </w:p>
        </w:tc>
        <w:tc>
          <w:tcPr>
            <w:tcW w:type="dxa" w:w="3330"/>
          </w:tcPr>
          <w:p>
            <w:pPr>
              <w:spacing w:after="0" w:line="252" w:lineRule="auto"/>
            </w:pPr>
            <w:r>
              <w:rPr>
                <w:rFonts w:ascii="Arial" w:hAnsi="Arial" w:eastAsia="Noto Sans KR"/>
                <w:color w:val="1D2730"/>
                <w:sz w:val="16"/>
              </w:rPr>
              <w:t>Submission creates Pending Review status.</w:t>
            </w:r>
          </w:p>
        </w:tc>
      </w:tr>
      <w:tr>
        <w:trPr>
          <w:cantSplit/>
        </w:trPr>
        <w:tc>
          <w:tcPr>
            <w:tcW w:type="dxa" w:w="1050"/>
          </w:tcPr>
          <w:p>
            <w:pPr>
              <w:spacing w:after="0" w:line="252" w:lineRule="auto"/>
            </w:pPr>
            <w:r>
              <w:rPr>
                <w:rFonts w:ascii="Arial" w:hAnsi="Arial" w:eastAsia="Noto Sans KR"/>
                <w:color w:val="1D2730"/>
                <w:sz w:val="16"/>
              </w:rPr>
              <w:t>AUTH-04</w:t>
            </w:r>
          </w:p>
        </w:tc>
        <w:tc>
          <w:tcPr>
            <w:tcW w:type="dxa" w:w="4980"/>
          </w:tcPr>
          <w:p>
            <w:pPr>
              <w:spacing w:after="0" w:line="252" w:lineRule="auto"/>
            </w:pPr>
            <w:r>
              <w:rPr>
                <w:rFonts w:ascii="Arial" w:hAnsi="Arial" w:eastAsia="Noto Sans KR"/>
                <w:color w:val="1D2730"/>
                <w:sz w:val="17"/>
              </w:rPr>
              <w:t>Admin can approve, request information, suspend, reject, and reactivate.</w:t>
            </w:r>
          </w:p>
        </w:tc>
        <w:tc>
          <w:tcPr>
            <w:tcW w:type="dxa" w:w="3330"/>
          </w:tcPr>
          <w:p>
            <w:pPr>
              <w:spacing w:after="0" w:line="252" w:lineRule="auto"/>
            </w:pPr>
            <w:r>
              <w:rPr>
                <w:rFonts w:ascii="Arial" w:hAnsi="Arial" w:eastAsia="Noto Sans KR"/>
                <w:color w:val="1D2730"/>
                <w:sz w:val="16"/>
              </w:rPr>
              <w:t>All decisions are written to the audit log.</w:t>
            </w:r>
          </w:p>
        </w:tc>
      </w:tr>
      <w:tr>
        <w:trPr>
          <w:cantSplit/>
        </w:trPr>
        <w:tc>
          <w:tcPr>
            <w:tcW w:type="dxa" w:w="1050"/>
          </w:tcPr>
          <w:p>
            <w:pPr>
              <w:spacing w:after="0" w:line="252" w:lineRule="auto"/>
            </w:pPr>
            <w:r>
              <w:rPr>
                <w:rFonts w:ascii="Arial" w:hAnsi="Arial" w:eastAsia="Noto Sans KR"/>
                <w:color w:val="1D2730"/>
                <w:sz w:val="16"/>
              </w:rPr>
              <w:t>AUTH-05</w:t>
            </w:r>
          </w:p>
        </w:tc>
        <w:tc>
          <w:tcPr>
            <w:tcW w:type="dxa" w:w="4980"/>
          </w:tcPr>
          <w:p>
            <w:pPr>
              <w:spacing w:after="0" w:line="252" w:lineRule="auto"/>
            </w:pPr>
            <w:r>
              <w:rPr>
                <w:rFonts w:ascii="Arial" w:hAnsi="Arial" w:eastAsia="Noto Sans KR"/>
                <w:color w:val="1D2730"/>
                <w:sz w:val="17"/>
              </w:rPr>
              <w:t>Support organization membership and role-based access.</w:t>
            </w:r>
          </w:p>
        </w:tc>
        <w:tc>
          <w:tcPr>
            <w:tcW w:type="dxa" w:w="3330"/>
          </w:tcPr>
          <w:p>
            <w:pPr>
              <w:spacing w:after="0" w:line="252" w:lineRule="auto"/>
            </w:pPr>
            <w:r>
              <w:rPr>
                <w:rFonts w:ascii="Arial" w:hAnsi="Arial" w:eastAsia="Noto Sans KR"/>
                <w:color w:val="1D2730"/>
                <w:sz w:val="16"/>
              </w:rPr>
              <w:t>Cross-organization access is denied and tested.</w:t>
            </w:r>
          </w:p>
        </w:tc>
      </w:tr>
    </w:tbl>
    <w:p>
      <w:pPr>
        <w:spacing w:after="20"/>
      </w:pPr>
    </w:p>
    <w:p>
      <w:pPr>
        <w:pStyle w:val="Heading2"/>
      </w:pPr>
      <w:r>
        <w:t>Recipient input and validation</w:t>
      </w:r>
    </w:p>
    <w:tbl>
      <w:tblPr>
        <w:tblStyle w:val="TableGrid"/>
        <w:tblW w:type="dxa" w:w="9360"/>
        <w:jc w:val="left"/>
        <w:tblLayout w:type="fixed"/>
        <w:tblLook w:firstColumn="1" w:firstRow="1" w:lastColumn="0" w:lastRow="0" w:noHBand="0" w:noVBand="1" w:val="04A0"/>
        <w:tblInd w:w="120" w:type="dxa"/>
      </w:tblPr>
      <w:tblGrid>
        <w:gridCol w:w="1050"/>
        <w:gridCol w:w="4980"/>
        <w:gridCol w:w="3330"/>
      </w:tblGrid>
      <w:tr>
        <w:trPr>
          <w:tblHeader w:val="true"/>
        </w:trPr>
        <w:tc>
          <w:tcPr>
            <w:tcW w:type="dxa" w:w="1050"/>
            <w:tcMar>
              <w:top w:w="80" w:type="dxa"/>
              <w:start w:w="120" w:type="dxa"/>
              <w:bottom w:w="80" w:type="dxa"/>
              <w:end w:w="120" w:type="dxa"/>
            </w:tcMar>
            <w:shd w:fill="EAF3F8"/>
            <w:vAlign w:val="center"/>
          </w:tcPr>
          <w:p>
            <w:pPr>
              <w:spacing w:after="0"/>
            </w:pPr>
            <w:r>
              <w:rPr>
                <w:rFonts w:ascii="Arial" w:hAnsi="Arial" w:eastAsia="Noto Sans KR"/>
                <w:b/>
                <w:color w:val="183B56"/>
                <w:sz w:val="18"/>
              </w:rPr>
              <w:t>ID</w:t>
            </w:r>
          </w:p>
        </w:tc>
        <w:tc>
          <w:tcPr>
            <w:tcW w:type="dxa" w:w="4980"/>
            <w:tcMar>
              <w:top w:w="80" w:type="dxa"/>
              <w:start w:w="120" w:type="dxa"/>
              <w:bottom w:w="80" w:type="dxa"/>
              <w:end w:w="120" w:type="dxa"/>
            </w:tcMar>
            <w:shd w:fill="EAF3F8"/>
            <w:vAlign w:val="center"/>
          </w:tcPr>
          <w:p>
            <w:pPr>
              <w:spacing w:after="0"/>
            </w:pPr>
            <w:r>
              <w:rPr>
                <w:rFonts w:ascii="Arial" w:hAnsi="Arial" w:eastAsia="Noto Sans KR"/>
                <w:b/>
                <w:color w:val="183B56"/>
                <w:sz w:val="18"/>
              </w:rPr>
              <w:t>Requirement</w:t>
            </w:r>
          </w:p>
        </w:tc>
        <w:tc>
          <w:tcPr>
            <w:tcW w:type="dxa" w:w="3330"/>
            <w:tcMar>
              <w:top w:w="80" w:type="dxa"/>
              <w:start w:w="120" w:type="dxa"/>
              <w:bottom w:w="80" w:type="dxa"/>
              <w:end w:w="120" w:type="dxa"/>
            </w:tcMar>
            <w:shd w:fill="EAF3F8"/>
            <w:vAlign w:val="center"/>
          </w:tcPr>
          <w:p>
            <w:pPr>
              <w:spacing w:after="0"/>
            </w:pPr>
            <w:r>
              <w:rPr>
                <w:rFonts w:ascii="Arial" w:hAnsi="Arial" w:eastAsia="Noto Sans KR"/>
                <w:b/>
                <w:color w:val="183B56"/>
                <w:sz w:val="18"/>
              </w:rPr>
              <w:t>Acceptance summary</w:t>
            </w:r>
          </w:p>
        </w:tc>
      </w:tr>
      <w:tr>
        <w:trPr>
          <w:cantSplit/>
        </w:trPr>
        <w:tc>
          <w:tcPr>
            <w:tcW w:type="dxa" w:w="1050"/>
          </w:tcPr>
          <w:p>
            <w:pPr>
              <w:spacing w:after="0" w:line="252" w:lineRule="auto"/>
            </w:pPr>
            <w:r>
              <w:rPr>
                <w:rFonts w:ascii="Arial" w:hAnsi="Arial" w:eastAsia="Noto Sans KR"/>
                <w:color w:val="1D2730"/>
                <w:sz w:val="16"/>
              </w:rPr>
              <w:t>REC-01</w:t>
            </w:r>
          </w:p>
        </w:tc>
        <w:tc>
          <w:tcPr>
            <w:tcW w:type="dxa" w:w="4980"/>
          </w:tcPr>
          <w:p>
            <w:pPr>
              <w:spacing w:after="0" w:line="252" w:lineRule="auto"/>
            </w:pPr>
            <w:r>
              <w:rPr>
                <w:rFonts w:ascii="Arial" w:hAnsi="Arial" w:eastAsia="Noto Sans KR"/>
                <w:color w:val="1D2730"/>
                <w:sz w:val="17"/>
              </w:rPr>
              <w:t>Accept one number, line-separated paste, or comma-separated paste.</w:t>
            </w:r>
          </w:p>
        </w:tc>
        <w:tc>
          <w:tcPr>
            <w:tcW w:type="dxa" w:w="3330"/>
          </w:tcPr>
          <w:p>
            <w:pPr>
              <w:spacing w:after="0" w:line="252" w:lineRule="auto"/>
            </w:pPr>
            <w:r>
              <w:rPr>
                <w:rFonts w:ascii="Arial" w:hAnsi="Arial" w:eastAsia="Noto Sans KR"/>
                <w:color w:val="1D2730"/>
                <w:sz w:val="16"/>
              </w:rPr>
              <w:t>User receives valid, invalid, duplicate, suppressed and review counts.</w:t>
            </w:r>
          </w:p>
        </w:tc>
      </w:tr>
      <w:tr>
        <w:trPr>
          <w:cantSplit/>
        </w:trPr>
        <w:tc>
          <w:tcPr>
            <w:tcW w:type="dxa" w:w="1050"/>
          </w:tcPr>
          <w:p>
            <w:pPr>
              <w:spacing w:after="0" w:line="252" w:lineRule="auto"/>
            </w:pPr>
            <w:r>
              <w:rPr>
                <w:rFonts w:ascii="Arial" w:hAnsi="Arial" w:eastAsia="Noto Sans KR"/>
                <w:color w:val="1D2730"/>
                <w:sz w:val="16"/>
              </w:rPr>
              <w:t>REC-02</w:t>
            </w:r>
          </w:p>
        </w:tc>
        <w:tc>
          <w:tcPr>
            <w:tcW w:type="dxa" w:w="4980"/>
          </w:tcPr>
          <w:p>
            <w:pPr>
              <w:spacing w:after="0" w:line="252" w:lineRule="auto"/>
            </w:pPr>
            <w:r>
              <w:rPr>
                <w:rFonts w:ascii="Arial" w:hAnsi="Arial" w:eastAsia="Noto Sans KR"/>
                <w:color w:val="1D2730"/>
                <w:sz w:val="17"/>
              </w:rPr>
              <w:t>Accept CSV with phone_number required and optional personalization/consent fields.</w:t>
            </w:r>
          </w:p>
        </w:tc>
        <w:tc>
          <w:tcPr>
            <w:tcW w:type="dxa" w:w="3330"/>
          </w:tcPr>
          <w:p>
            <w:pPr>
              <w:spacing w:after="0" w:line="252" w:lineRule="auto"/>
            </w:pPr>
            <w:r>
              <w:rPr>
                <w:rFonts w:ascii="Arial" w:hAnsi="Arial" w:eastAsia="Noto Sans KR"/>
                <w:color w:val="1D2730"/>
                <w:sz w:val="16"/>
              </w:rPr>
              <w:t>Column mapping preview is shown before import.</w:t>
            </w:r>
          </w:p>
        </w:tc>
      </w:tr>
      <w:tr>
        <w:trPr>
          <w:cantSplit/>
        </w:trPr>
        <w:tc>
          <w:tcPr>
            <w:tcW w:type="dxa" w:w="1050"/>
          </w:tcPr>
          <w:p>
            <w:pPr>
              <w:spacing w:after="0" w:line="252" w:lineRule="auto"/>
            </w:pPr>
            <w:r>
              <w:rPr>
                <w:rFonts w:ascii="Arial" w:hAnsi="Arial" w:eastAsia="Noto Sans KR"/>
                <w:color w:val="1D2730"/>
                <w:sz w:val="16"/>
              </w:rPr>
              <w:t>REC-03</w:t>
            </w:r>
          </w:p>
        </w:tc>
        <w:tc>
          <w:tcPr>
            <w:tcW w:type="dxa" w:w="4980"/>
          </w:tcPr>
          <w:p>
            <w:pPr>
              <w:spacing w:after="0" w:line="252" w:lineRule="auto"/>
            </w:pPr>
            <w:r>
              <w:rPr>
                <w:rFonts w:ascii="Arial" w:hAnsi="Arial" w:eastAsia="Noto Sans KR"/>
                <w:color w:val="1D2730"/>
                <w:sz w:val="17"/>
              </w:rPr>
              <w:t>Normalize 09XXXXXXXXX, 9XXXXXXXXX, 639XXXXXXXXX and +639XXXXXXXXX to E.164.</w:t>
            </w:r>
          </w:p>
        </w:tc>
        <w:tc>
          <w:tcPr>
            <w:tcW w:type="dxa" w:w="3330"/>
          </w:tcPr>
          <w:p>
            <w:pPr>
              <w:spacing w:after="0" w:line="252" w:lineRule="auto"/>
            </w:pPr>
            <w:r>
              <w:rPr>
                <w:rFonts w:ascii="Arial" w:hAnsi="Arial" w:eastAsia="Noto Sans KR"/>
                <w:color w:val="1D2730"/>
                <w:sz w:val="16"/>
              </w:rPr>
              <w:t>No destination outside configured Philippine mobile rules is accepted.</w:t>
            </w:r>
          </w:p>
        </w:tc>
      </w:tr>
      <w:tr>
        <w:trPr>
          <w:cantSplit/>
        </w:trPr>
        <w:tc>
          <w:tcPr>
            <w:tcW w:type="dxa" w:w="1050"/>
          </w:tcPr>
          <w:p>
            <w:pPr>
              <w:spacing w:after="0" w:line="252" w:lineRule="auto"/>
            </w:pPr>
            <w:r>
              <w:rPr>
                <w:rFonts w:ascii="Arial" w:hAnsi="Arial" w:eastAsia="Noto Sans KR"/>
                <w:color w:val="1D2730"/>
                <w:sz w:val="16"/>
              </w:rPr>
              <w:t>REC-04</w:t>
            </w:r>
          </w:p>
        </w:tc>
        <w:tc>
          <w:tcPr>
            <w:tcW w:type="dxa" w:w="4980"/>
          </w:tcPr>
          <w:p>
            <w:pPr>
              <w:spacing w:after="0" w:line="252" w:lineRule="auto"/>
            </w:pPr>
            <w:r>
              <w:rPr>
                <w:rFonts w:ascii="Arial" w:hAnsi="Arial" w:eastAsia="Noto Sans KR"/>
                <w:color w:val="1D2730"/>
                <w:sz w:val="17"/>
              </w:rPr>
              <w:t>Deduplicate within the upload and against the selected campaign.</w:t>
            </w:r>
          </w:p>
        </w:tc>
        <w:tc>
          <w:tcPr>
            <w:tcW w:type="dxa" w:w="3330"/>
          </w:tcPr>
          <w:p>
            <w:pPr>
              <w:spacing w:after="0" w:line="252" w:lineRule="auto"/>
            </w:pPr>
            <w:r>
              <w:rPr>
                <w:rFonts w:ascii="Arial" w:hAnsi="Arial" w:eastAsia="Noto Sans KR"/>
                <w:color w:val="1D2730"/>
                <w:sz w:val="16"/>
              </w:rPr>
              <w:t>Only one send per normalized number unless explicitly allowed by policy.</w:t>
            </w:r>
          </w:p>
        </w:tc>
      </w:tr>
      <w:tr>
        <w:trPr>
          <w:cantSplit/>
        </w:trPr>
        <w:tc>
          <w:tcPr>
            <w:tcW w:type="dxa" w:w="1050"/>
          </w:tcPr>
          <w:p>
            <w:pPr>
              <w:spacing w:after="0" w:line="252" w:lineRule="auto"/>
            </w:pPr>
            <w:r>
              <w:rPr>
                <w:rFonts w:ascii="Arial" w:hAnsi="Arial" w:eastAsia="Noto Sans KR"/>
                <w:color w:val="1D2730"/>
                <w:sz w:val="16"/>
              </w:rPr>
              <w:t>REC-05</w:t>
            </w:r>
          </w:p>
        </w:tc>
        <w:tc>
          <w:tcPr>
            <w:tcW w:type="dxa" w:w="4980"/>
          </w:tcPr>
          <w:p>
            <w:pPr>
              <w:spacing w:after="0" w:line="252" w:lineRule="auto"/>
            </w:pPr>
            <w:r>
              <w:rPr>
                <w:rFonts w:ascii="Arial" w:hAnsi="Arial" w:eastAsia="Noto Sans KR"/>
                <w:color w:val="1D2730"/>
                <w:sz w:val="17"/>
              </w:rPr>
              <w:t>Check the global and organization suppression lists before preview and again before dispatch.</w:t>
            </w:r>
          </w:p>
        </w:tc>
        <w:tc>
          <w:tcPr>
            <w:tcW w:type="dxa" w:w="3330"/>
          </w:tcPr>
          <w:p>
            <w:pPr>
              <w:spacing w:after="0" w:line="252" w:lineRule="auto"/>
            </w:pPr>
            <w:r>
              <w:rPr>
                <w:rFonts w:ascii="Arial" w:hAnsi="Arial" w:eastAsia="Noto Sans KR"/>
                <w:color w:val="1D2730"/>
                <w:sz w:val="16"/>
              </w:rPr>
              <w:t>Suppressed numbers are never queued.</w:t>
            </w:r>
          </w:p>
        </w:tc>
      </w:tr>
      <w:tr>
        <w:trPr>
          <w:cantSplit/>
        </w:trPr>
        <w:tc>
          <w:tcPr>
            <w:tcW w:type="dxa" w:w="1050"/>
          </w:tcPr>
          <w:p>
            <w:pPr>
              <w:spacing w:after="0" w:line="252" w:lineRule="auto"/>
            </w:pPr>
            <w:r>
              <w:rPr>
                <w:rFonts w:ascii="Arial" w:hAnsi="Arial" w:eastAsia="Noto Sans KR"/>
                <w:color w:val="1D2730"/>
                <w:sz w:val="16"/>
              </w:rPr>
              <w:t>REC-06</w:t>
            </w:r>
          </w:p>
        </w:tc>
        <w:tc>
          <w:tcPr>
            <w:tcW w:type="dxa" w:w="4980"/>
          </w:tcPr>
          <w:p>
            <w:pPr>
              <w:spacing w:after="0" w:line="252" w:lineRule="auto"/>
            </w:pPr>
            <w:r>
              <w:rPr>
                <w:rFonts w:ascii="Arial" w:hAnsi="Arial" w:eastAsia="Noto Sans KR"/>
                <w:color w:val="1D2730"/>
                <w:sz w:val="17"/>
              </w:rPr>
              <w:t>Provide downloadable error rows without exposing unrelated records.</w:t>
            </w:r>
          </w:p>
        </w:tc>
        <w:tc>
          <w:tcPr>
            <w:tcW w:type="dxa" w:w="3330"/>
          </w:tcPr>
          <w:p>
            <w:pPr>
              <w:spacing w:after="0" w:line="252" w:lineRule="auto"/>
            </w:pPr>
            <w:r>
              <w:rPr>
                <w:rFonts w:ascii="Arial" w:hAnsi="Arial" w:eastAsia="Noto Sans KR"/>
                <w:color w:val="1D2730"/>
                <w:sz w:val="16"/>
              </w:rPr>
              <w:t>Error export contains row number, masked number and reason.</w:t>
            </w:r>
          </w:p>
        </w:tc>
      </w:tr>
    </w:tbl>
    <w:p>
      <w:pPr>
        <w:spacing w:after="20"/>
      </w:pPr>
    </w:p>
    <w:p>
      <w:pPr>
        <w:pStyle w:val="Heading2"/>
      </w:pPr>
      <w:r>
        <w:t>CSV specification</w:t>
      </w:r>
    </w:p>
    <w:tbl>
      <w:tblPr>
        <w:tblStyle w:val="TableGrid"/>
        <w:tblW w:type="dxa" w:w="9360"/>
        <w:jc w:val="left"/>
        <w:tblLayout w:type="fixed"/>
        <w:tblLook w:firstColumn="1" w:firstRow="1" w:lastColumn="0" w:lastRow="0" w:noHBand="0" w:noVBand="1" w:val="04A0"/>
        <w:tblInd w:w="120" w:type="dxa"/>
      </w:tblPr>
      <w:tblGrid>
        <w:gridCol w:w="2400"/>
        <w:gridCol w:w="2100"/>
        <w:gridCol w:w="4860"/>
      </w:tblGrid>
      <w:tr>
        <w:trPr>
          <w:tblHeader w:val="true"/>
        </w:trPr>
        <w:tc>
          <w:tcPr>
            <w:tcW w:type="dxa" w:w="2400"/>
            <w:tcMar>
              <w:top w:w="80" w:type="dxa"/>
              <w:start w:w="120" w:type="dxa"/>
              <w:bottom w:w="80" w:type="dxa"/>
              <w:end w:w="120" w:type="dxa"/>
            </w:tcMar>
            <w:shd w:fill="EAF3F8"/>
            <w:vAlign w:val="center"/>
          </w:tcPr>
          <w:p>
            <w:pPr>
              <w:spacing w:after="0"/>
            </w:pPr>
            <w:r>
              <w:rPr>
                <w:rFonts w:ascii="Arial" w:hAnsi="Arial" w:eastAsia="Noto Sans KR"/>
                <w:b/>
                <w:color w:val="183B56"/>
                <w:sz w:val="18"/>
              </w:rPr>
              <w:t>Column</w:t>
            </w:r>
          </w:p>
        </w:tc>
        <w:tc>
          <w:tcPr>
            <w:tcW w:type="dxa" w:w="2100"/>
            <w:tcMar>
              <w:top w:w="80" w:type="dxa"/>
              <w:start w:w="120" w:type="dxa"/>
              <w:bottom w:w="80" w:type="dxa"/>
              <w:end w:w="120" w:type="dxa"/>
            </w:tcMar>
            <w:shd w:fill="EAF3F8"/>
            <w:vAlign w:val="center"/>
          </w:tcPr>
          <w:p>
            <w:pPr>
              <w:spacing w:after="0"/>
            </w:pPr>
            <w:r>
              <w:rPr>
                <w:rFonts w:ascii="Arial" w:hAnsi="Arial" w:eastAsia="Noto Sans KR"/>
                <w:b/>
                <w:color w:val="183B56"/>
                <w:sz w:val="18"/>
              </w:rPr>
              <w:t>Required</w:t>
            </w:r>
          </w:p>
        </w:tc>
        <w:tc>
          <w:tcPr>
            <w:tcW w:type="dxa" w:w="4860"/>
            <w:tcMar>
              <w:top w:w="80" w:type="dxa"/>
              <w:start w:w="120" w:type="dxa"/>
              <w:bottom w:w="80" w:type="dxa"/>
              <w:end w:w="120" w:type="dxa"/>
            </w:tcMar>
            <w:shd w:fill="EAF3F8"/>
            <w:vAlign w:val="center"/>
          </w:tcPr>
          <w:p>
            <w:pPr>
              <w:spacing w:after="0"/>
            </w:pPr>
            <w:r>
              <w:rPr>
                <w:rFonts w:ascii="Arial" w:hAnsi="Arial" w:eastAsia="Noto Sans KR"/>
                <w:b/>
                <w:color w:val="183B56"/>
                <w:sz w:val="18"/>
              </w:rPr>
              <w:t>Rules</w:t>
            </w:r>
          </w:p>
        </w:tc>
      </w:tr>
      <w:tr>
        <w:trPr>
          <w:cantSplit/>
        </w:trPr>
        <w:tc>
          <w:tcPr>
            <w:tcW w:type="dxa" w:w="2400"/>
          </w:tcPr>
          <w:p>
            <w:pPr>
              <w:spacing w:after="0" w:line="252" w:lineRule="auto"/>
            </w:pPr>
            <w:r>
              <w:rPr>
                <w:rFonts w:ascii="Arial" w:hAnsi="Arial" w:eastAsia="Noto Sans KR"/>
                <w:color w:val="1D2730"/>
                <w:sz w:val="17"/>
              </w:rPr>
              <w:t>phone_number</w:t>
            </w:r>
          </w:p>
        </w:tc>
        <w:tc>
          <w:tcPr>
            <w:tcW w:type="dxa" w:w="2100"/>
          </w:tcPr>
          <w:p>
            <w:pPr>
              <w:spacing w:after="0" w:line="252" w:lineRule="auto"/>
            </w:pPr>
            <w:r>
              <w:rPr>
                <w:rFonts w:ascii="Arial" w:hAnsi="Arial" w:eastAsia="Noto Sans KR"/>
                <w:color w:val="1D2730"/>
                <w:sz w:val="17"/>
              </w:rPr>
              <w:t>Yes</w:t>
            </w:r>
          </w:p>
        </w:tc>
        <w:tc>
          <w:tcPr>
            <w:tcW w:type="dxa" w:w="4860"/>
          </w:tcPr>
          <w:p>
            <w:pPr>
              <w:spacing w:after="0" w:line="252" w:lineRule="auto"/>
            </w:pPr>
            <w:r>
              <w:rPr>
                <w:rFonts w:ascii="Arial" w:hAnsi="Arial" w:eastAsia="Noto Sans KR"/>
                <w:color w:val="1D2730"/>
                <w:sz w:val="17"/>
              </w:rPr>
              <w:t>Text value; Philippine mobile only; normalized to E.164</w:t>
            </w:r>
          </w:p>
        </w:tc>
      </w:tr>
      <w:tr>
        <w:trPr>
          <w:cantSplit/>
        </w:trPr>
        <w:tc>
          <w:tcPr>
            <w:tcW w:type="dxa" w:w="2400"/>
          </w:tcPr>
          <w:p>
            <w:pPr>
              <w:spacing w:after="0" w:line="252" w:lineRule="auto"/>
            </w:pPr>
            <w:r>
              <w:rPr>
                <w:rFonts w:ascii="Arial" w:hAnsi="Arial" w:eastAsia="Noto Sans KR"/>
                <w:color w:val="1D2730"/>
                <w:sz w:val="17"/>
              </w:rPr>
              <w:t>first_name</w:t>
            </w:r>
          </w:p>
        </w:tc>
        <w:tc>
          <w:tcPr>
            <w:tcW w:type="dxa" w:w="2100"/>
          </w:tcPr>
          <w:p>
            <w:pPr>
              <w:spacing w:after="0" w:line="252" w:lineRule="auto"/>
            </w:pPr>
            <w:r>
              <w:rPr>
                <w:rFonts w:ascii="Arial" w:hAnsi="Arial" w:eastAsia="Noto Sans KR"/>
                <w:color w:val="1D2730"/>
                <w:sz w:val="17"/>
              </w:rPr>
              <w:t>No</w:t>
            </w:r>
          </w:p>
        </w:tc>
        <w:tc>
          <w:tcPr>
            <w:tcW w:type="dxa" w:w="4860"/>
          </w:tcPr>
          <w:p>
            <w:pPr>
              <w:spacing w:after="0" w:line="252" w:lineRule="auto"/>
            </w:pPr>
            <w:r>
              <w:rPr>
                <w:rFonts w:ascii="Arial" w:hAnsi="Arial" w:eastAsia="Noto Sans KR"/>
                <w:color w:val="1D2730"/>
                <w:sz w:val="17"/>
              </w:rPr>
              <w:t>Plain text; maximum 100 characters</w:t>
            </w:r>
          </w:p>
        </w:tc>
      </w:tr>
      <w:tr>
        <w:trPr>
          <w:cantSplit/>
        </w:trPr>
        <w:tc>
          <w:tcPr>
            <w:tcW w:type="dxa" w:w="2400"/>
          </w:tcPr>
          <w:p>
            <w:pPr>
              <w:spacing w:after="0" w:line="252" w:lineRule="auto"/>
            </w:pPr>
            <w:r>
              <w:rPr>
                <w:rFonts w:ascii="Arial" w:hAnsi="Arial" w:eastAsia="Noto Sans KR"/>
                <w:color w:val="1D2730"/>
                <w:sz w:val="17"/>
              </w:rPr>
              <w:t>last_name</w:t>
            </w:r>
          </w:p>
        </w:tc>
        <w:tc>
          <w:tcPr>
            <w:tcW w:type="dxa" w:w="2100"/>
          </w:tcPr>
          <w:p>
            <w:pPr>
              <w:spacing w:after="0" w:line="252" w:lineRule="auto"/>
            </w:pPr>
            <w:r>
              <w:rPr>
                <w:rFonts w:ascii="Arial" w:hAnsi="Arial" w:eastAsia="Noto Sans KR"/>
                <w:color w:val="1D2730"/>
                <w:sz w:val="17"/>
              </w:rPr>
              <w:t>No</w:t>
            </w:r>
          </w:p>
        </w:tc>
        <w:tc>
          <w:tcPr>
            <w:tcW w:type="dxa" w:w="4860"/>
          </w:tcPr>
          <w:p>
            <w:pPr>
              <w:spacing w:after="0" w:line="252" w:lineRule="auto"/>
            </w:pPr>
            <w:r>
              <w:rPr>
                <w:rFonts w:ascii="Arial" w:hAnsi="Arial" w:eastAsia="Noto Sans KR"/>
                <w:color w:val="1D2730"/>
                <w:sz w:val="17"/>
              </w:rPr>
              <w:t>Plain text; maximum 100 characters</w:t>
            </w:r>
          </w:p>
        </w:tc>
      </w:tr>
      <w:tr>
        <w:trPr>
          <w:cantSplit/>
        </w:trPr>
        <w:tc>
          <w:tcPr>
            <w:tcW w:type="dxa" w:w="2400"/>
          </w:tcPr>
          <w:p>
            <w:pPr>
              <w:spacing w:after="0" w:line="252" w:lineRule="auto"/>
            </w:pPr>
            <w:r>
              <w:rPr>
                <w:rFonts w:ascii="Arial" w:hAnsi="Arial" w:eastAsia="Noto Sans KR"/>
                <w:color w:val="1D2730"/>
                <w:sz w:val="17"/>
              </w:rPr>
              <w:t>custom_1 … custom_5</w:t>
            </w:r>
          </w:p>
        </w:tc>
        <w:tc>
          <w:tcPr>
            <w:tcW w:type="dxa" w:w="2100"/>
          </w:tcPr>
          <w:p>
            <w:pPr>
              <w:spacing w:after="0" w:line="252" w:lineRule="auto"/>
            </w:pPr>
            <w:r>
              <w:rPr>
                <w:rFonts w:ascii="Arial" w:hAnsi="Arial" w:eastAsia="Noto Sans KR"/>
                <w:color w:val="1D2730"/>
                <w:sz w:val="17"/>
              </w:rPr>
              <w:t>No</w:t>
            </w:r>
          </w:p>
        </w:tc>
        <w:tc>
          <w:tcPr>
            <w:tcW w:type="dxa" w:w="4860"/>
          </w:tcPr>
          <w:p>
            <w:pPr>
              <w:spacing w:after="0" w:line="252" w:lineRule="auto"/>
            </w:pPr>
            <w:r>
              <w:rPr>
                <w:rFonts w:ascii="Arial" w:hAnsi="Arial" w:eastAsia="Noto Sans KR"/>
                <w:color w:val="1D2730"/>
                <w:sz w:val="17"/>
              </w:rPr>
              <w:t>Plain text; per-field limit configured</w:t>
            </w:r>
          </w:p>
        </w:tc>
      </w:tr>
      <w:tr>
        <w:trPr>
          <w:cantSplit/>
        </w:trPr>
        <w:tc>
          <w:tcPr>
            <w:tcW w:type="dxa" w:w="2400"/>
          </w:tcPr>
          <w:p>
            <w:pPr>
              <w:spacing w:after="0" w:line="252" w:lineRule="auto"/>
            </w:pPr>
            <w:r>
              <w:rPr>
                <w:rFonts w:ascii="Arial" w:hAnsi="Arial" w:eastAsia="Noto Sans KR"/>
                <w:color w:val="1D2730"/>
                <w:sz w:val="17"/>
              </w:rPr>
              <w:t>consent_source</w:t>
            </w:r>
          </w:p>
        </w:tc>
        <w:tc>
          <w:tcPr>
            <w:tcW w:type="dxa" w:w="2100"/>
          </w:tcPr>
          <w:p>
            <w:pPr>
              <w:spacing w:after="0" w:line="252" w:lineRule="auto"/>
            </w:pPr>
            <w:r>
              <w:rPr>
                <w:rFonts w:ascii="Arial" w:hAnsi="Arial" w:eastAsia="Noto Sans KR"/>
                <w:color w:val="1D2730"/>
                <w:sz w:val="17"/>
              </w:rPr>
              <w:t>No in file; required operationally for promotional use</w:t>
            </w:r>
          </w:p>
        </w:tc>
        <w:tc>
          <w:tcPr>
            <w:tcW w:type="dxa" w:w="4860"/>
          </w:tcPr>
          <w:p>
            <w:pPr>
              <w:spacing w:after="0" w:line="252" w:lineRule="auto"/>
            </w:pPr>
            <w:r>
              <w:rPr>
                <w:rFonts w:ascii="Arial" w:hAnsi="Arial" w:eastAsia="Noto Sans KR"/>
                <w:color w:val="1D2730"/>
                <w:sz w:val="17"/>
              </w:rPr>
              <w:t>Examples: website signup, contract, event registration</w:t>
            </w:r>
          </w:p>
        </w:tc>
      </w:tr>
      <w:tr>
        <w:trPr>
          <w:cantSplit/>
        </w:trPr>
        <w:tc>
          <w:tcPr>
            <w:tcW w:type="dxa" w:w="2400"/>
          </w:tcPr>
          <w:p>
            <w:pPr>
              <w:spacing w:after="0" w:line="252" w:lineRule="auto"/>
            </w:pPr>
            <w:r>
              <w:rPr>
                <w:rFonts w:ascii="Arial" w:hAnsi="Arial" w:eastAsia="Noto Sans KR"/>
                <w:color w:val="1D2730"/>
                <w:sz w:val="17"/>
              </w:rPr>
              <w:t>consent_date</w:t>
            </w:r>
          </w:p>
        </w:tc>
        <w:tc>
          <w:tcPr>
            <w:tcW w:type="dxa" w:w="2100"/>
          </w:tcPr>
          <w:p>
            <w:pPr>
              <w:spacing w:after="0" w:line="252" w:lineRule="auto"/>
            </w:pPr>
            <w:r>
              <w:rPr>
                <w:rFonts w:ascii="Arial" w:hAnsi="Arial" w:eastAsia="Noto Sans KR"/>
                <w:color w:val="1D2730"/>
                <w:sz w:val="17"/>
              </w:rPr>
              <w:t>No</w:t>
            </w:r>
          </w:p>
        </w:tc>
        <w:tc>
          <w:tcPr>
            <w:tcW w:type="dxa" w:w="4860"/>
          </w:tcPr>
          <w:p>
            <w:pPr>
              <w:spacing w:after="0" w:line="252" w:lineRule="auto"/>
            </w:pPr>
            <w:r>
              <w:rPr>
                <w:rFonts w:ascii="Arial" w:hAnsi="Arial" w:eastAsia="Noto Sans KR"/>
                <w:color w:val="1D2730"/>
                <w:sz w:val="17"/>
              </w:rPr>
              <w:t>ISO date preferred: YYYY-MM-DD</w:t>
            </w:r>
          </w:p>
        </w:tc>
      </w:tr>
    </w:tbl>
    <w:p>
      <w:pPr>
        <w:spacing w:after="20"/>
      </w:pPr>
    </w:p>
    <w:p>
      <w:pPr>
        <w:numPr>
          <w:ilvl w:val="0"/>
          <w:numId w:val="10"/>
        </w:numPr>
      </w:pPr>
      <w:r>
        <w:rPr>
          <w:rFonts w:ascii="Arial" w:hAnsi="Arial" w:eastAsia="Noto Sans KR"/>
          <w:color w:val="1D2730"/>
        </w:rPr>
        <w:t>CSV only for MVP; UTF-8 supported; reject password-protected, executable, macro-enabled, malformed, or oversized files.</w:t>
      </w:r>
    </w:p>
    <w:p>
      <w:pPr>
        <w:numPr>
          <w:ilvl w:val="0"/>
          <w:numId w:val="10"/>
        </w:numPr>
      </w:pPr>
      <w:r>
        <w:rPr>
          <w:rFonts w:ascii="Arial" w:hAnsi="Arial" w:eastAsia="Noto Sans KR"/>
          <w:color w:val="1D2730"/>
        </w:rPr>
        <w:t>All cell values must be handled as data. Spreadsheet formulas and formula injection prefixes must be neutralized in exports.</w:t>
      </w:r>
    </w:p>
    <w:p>
      <w:pPr>
        <w:numPr>
          <w:ilvl w:val="0"/>
          <w:numId w:val="10"/>
        </w:numPr>
      </w:pPr>
      <w:r>
        <w:rPr>
          <w:rFonts w:ascii="Arial" w:hAnsi="Arial" w:eastAsia="Noto Sans KR"/>
          <w:color w:val="1D2730"/>
        </w:rPr>
        <w:t>Provide a downloadable CSV template and a preview of the first valid rows.</w:t>
      </w:r>
    </w:p>
    <w:p>
      <w:pPr>
        <w:numPr>
          <w:ilvl w:val="0"/>
          <w:numId w:val="10"/>
        </w:numPr>
      </w:pPr>
      <w:r>
        <w:rPr>
          <w:rFonts w:ascii="Arial" w:hAnsi="Arial" w:eastAsia="Noto Sans KR"/>
          <w:color w:val="1D2730"/>
        </w:rPr>
        <w:t>Original upload objects must use encrypted storage and configurable automatic deletion.</w:t>
      </w:r>
    </w:p>
    <w:p>
      <w:pPr>
        <w:pStyle w:val="Heading2"/>
      </w:pPr>
      <w:r>
        <w:t>Message composer and sending</w:t>
      </w:r>
    </w:p>
    <w:tbl>
      <w:tblPr>
        <w:tblStyle w:val="TableGrid"/>
        <w:tblW w:type="dxa" w:w="9360"/>
        <w:jc w:val="left"/>
        <w:tblLayout w:type="fixed"/>
        <w:tblLook w:firstColumn="1" w:firstRow="1" w:lastColumn="0" w:lastRow="0" w:noHBand="0" w:noVBand="1" w:val="04A0"/>
        <w:tblInd w:w="120" w:type="dxa"/>
      </w:tblPr>
      <w:tblGrid>
        <w:gridCol w:w="1050"/>
        <w:gridCol w:w="4980"/>
        <w:gridCol w:w="3330"/>
      </w:tblGrid>
      <w:tr>
        <w:trPr>
          <w:tblHeader w:val="true"/>
        </w:trPr>
        <w:tc>
          <w:tcPr>
            <w:tcW w:type="dxa" w:w="1050"/>
            <w:tcMar>
              <w:top w:w="80" w:type="dxa"/>
              <w:start w:w="120" w:type="dxa"/>
              <w:bottom w:w="80" w:type="dxa"/>
              <w:end w:w="120" w:type="dxa"/>
            </w:tcMar>
            <w:shd w:fill="EAF3F8"/>
            <w:vAlign w:val="center"/>
          </w:tcPr>
          <w:p>
            <w:pPr>
              <w:spacing w:after="0"/>
            </w:pPr>
            <w:r>
              <w:rPr>
                <w:rFonts w:ascii="Arial" w:hAnsi="Arial" w:eastAsia="Noto Sans KR"/>
                <w:b/>
                <w:color w:val="183B56"/>
                <w:sz w:val="18"/>
              </w:rPr>
              <w:t>ID</w:t>
            </w:r>
          </w:p>
        </w:tc>
        <w:tc>
          <w:tcPr>
            <w:tcW w:type="dxa" w:w="4980"/>
            <w:tcMar>
              <w:top w:w="80" w:type="dxa"/>
              <w:start w:w="120" w:type="dxa"/>
              <w:bottom w:w="80" w:type="dxa"/>
              <w:end w:w="120" w:type="dxa"/>
            </w:tcMar>
            <w:shd w:fill="EAF3F8"/>
            <w:vAlign w:val="center"/>
          </w:tcPr>
          <w:p>
            <w:pPr>
              <w:spacing w:after="0"/>
            </w:pPr>
            <w:r>
              <w:rPr>
                <w:rFonts w:ascii="Arial" w:hAnsi="Arial" w:eastAsia="Noto Sans KR"/>
                <w:b/>
                <w:color w:val="183B56"/>
                <w:sz w:val="18"/>
              </w:rPr>
              <w:t>Requirement</w:t>
            </w:r>
          </w:p>
        </w:tc>
        <w:tc>
          <w:tcPr>
            <w:tcW w:type="dxa" w:w="3330"/>
            <w:tcMar>
              <w:top w:w="80" w:type="dxa"/>
              <w:start w:w="120" w:type="dxa"/>
              <w:bottom w:w="80" w:type="dxa"/>
              <w:end w:w="120" w:type="dxa"/>
            </w:tcMar>
            <w:shd w:fill="EAF3F8"/>
            <w:vAlign w:val="center"/>
          </w:tcPr>
          <w:p>
            <w:pPr>
              <w:spacing w:after="0"/>
            </w:pPr>
            <w:r>
              <w:rPr>
                <w:rFonts w:ascii="Arial" w:hAnsi="Arial" w:eastAsia="Noto Sans KR"/>
                <w:b/>
                <w:color w:val="183B56"/>
                <w:sz w:val="18"/>
              </w:rPr>
              <w:t>Acceptance summary</w:t>
            </w:r>
          </w:p>
        </w:tc>
      </w:tr>
      <w:tr>
        <w:trPr>
          <w:cantSplit/>
        </w:trPr>
        <w:tc>
          <w:tcPr>
            <w:tcW w:type="dxa" w:w="1050"/>
          </w:tcPr>
          <w:p>
            <w:pPr>
              <w:spacing w:after="0" w:line="252" w:lineRule="auto"/>
            </w:pPr>
            <w:r>
              <w:rPr>
                <w:rFonts w:ascii="Arial" w:hAnsi="Arial" w:eastAsia="Noto Sans KR"/>
                <w:color w:val="1D2730"/>
                <w:sz w:val="16"/>
              </w:rPr>
              <w:t>MSG-01</w:t>
            </w:r>
          </w:p>
        </w:tc>
        <w:tc>
          <w:tcPr>
            <w:tcW w:type="dxa" w:w="4980"/>
          </w:tcPr>
          <w:p>
            <w:pPr>
              <w:spacing w:after="0" w:line="252" w:lineRule="auto"/>
            </w:pPr>
            <w:r>
              <w:rPr>
                <w:rFonts w:ascii="Arial" w:hAnsi="Arial" w:eastAsia="Noto Sans KR"/>
                <w:color w:val="1D2730"/>
                <w:sz w:val="17"/>
              </w:rPr>
              <w:t>Select only approved sender IDs available to the organization.</w:t>
            </w:r>
          </w:p>
        </w:tc>
        <w:tc>
          <w:tcPr>
            <w:tcW w:type="dxa" w:w="3330"/>
          </w:tcPr>
          <w:p>
            <w:pPr>
              <w:spacing w:after="0" w:line="252" w:lineRule="auto"/>
            </w:pPr>
            <w:r>
              <w:rPr>
                <w:rFonts w:ascii="Arial" w:hAnsi="Arial" w:eastAsia="Noto Sans KR"/>
                <w:color w:val="1D2730"/>
                <w:sz w:val="16"/>
              </w:rPr>
              <w:t>Unapproved sender IDs cannot be submitted.</w:t>
            </w:r>
          </w:p>
        </w:tc>
      </w:tr>
      <w:tr>
        <w:trPr>
          <w:cantSplit/>
        </w:trPr>
        <w:tc>
          <w:tcPr>
            <w:tcW w:type="dxa" w:w="1050"/>
          </w:tcPr>
          <w:p>
            <w:pPr>
              <w:spacing w:after="0" w:line="252" w:lineRule="auto"/>
            </w:pPr>
            <w:r>
              <w:rPr>
                <w:rFonts w:ascii="Arial" w:hAnsi="Arial" w:eastAsia="Noto Sans KR"/>
                <w:color w:val="1D2730"/>
                <w:sz w:val="16"/>
              </w:rPr>
              <w:t>MSG-02</w:t>
            </w:r>
          </w:p>
        </w:tc>
        <w:tc>
          <w:tcPr>
            <w:tcW w:type="dxa" w:w="4980"/>
          </w:tcPr>
          <w:p>
            <w:pPr>
              <w:spacing w:after="0" w:line="252" w:lineRule="auto"/>
            </w:pPr>
            <w:r>
              <w:rPr>
                <w:rFonts w:ascii="Arial" w:hAnsi="Arial" w:eastAsia="Noto Sans KR"/>
                <w:color w:val="1D2730"/>
                <w:sz w:val="17"/>
              </w:rPr>
              <w:t>Composer shows characters, encoding, segments, final recipient count and estimated credit cost in real time.</w:t>
            </w:r>
          </w:p>
        </w:tc>
        <w:tc>
          <w:tcPr>
            <w:tcW w:type="dxa" w:w="3330"/>
          </w:tcPr>
          <w:p>
            <w:pPr>
              <w:spacing w:after="0" w:line="252" w:lineRule="auto"/>
            </w:pPr>
            <w:r>
              <w:rPr>
                <w:rFonts w:ascii="Arial" w:hAnsi="Arial" w:eastAsia="Noto Sans KR"/>
                <w:color w:val="1D2730"/>
                <w:sz w:val="16"/>
              </w:rPr>
              <w:t>Estimate matches server-side calculation.</w:t>
            </w:r>
          </w:p>
        </w:tc>
      </w:tr>
      <w:tr>
        <w:trPr>
          <w:cantSplit/>
        </w:trPr>
        <w:tc>
          <w:tcPr>
            <w:tcW w:type="dxa" w:w="1050"/>
          </w:tcPr>
          <w:p>
            <w:pPr>
              <w:spacing w:after="0" w:line="252" w:lineRule="auto"/>
            </w:pPr>
            <w:r>
              <w:rPr>
                <w:rFonts w:ascii="Arial" w:hAnsi="Arial" w:eastAsia="Noto Sans KR"/>
                <w:color w:val="1D2730"/>
                <w:sz w:val="16"/>
              </w:rPr>
              <w:t>MSG-03</w:t>
            </w:r>
          </w:p>
        </w:tc>
        <w:tc>
          <w:tcPr>
            <w:tcW w:type="dxa" w:w="4980"/>
          </w:tcPr>
          <w:p>
            <w:pPr>
              <w:spacing w:after="0" w:line="252" w:lineRule="auto"/>
            </w:pPr>
            <w:r>
              <w:rPr>
                <w:rFonts w:ascii="Arial" w:hAnsi="Arial" w:eastAsia="Noto Sans KR"/>
                <w:color w:val="1D2730"/>
                <w:sz w:val="17"/>
              </w:rPr>
              <w:t>Support saved templates and variables such as {{first_name}} and {{custom_1}}.</w:t>
            </w:r>
          </w:p>
        </w:tc>
        <w:tc>
          <w:tcPr>
            <w:tcW w:type="dxa" w:w="3330"/>
          </w:tcPr>
          <w:p>
            <w:pPr>
              <w:spacing w:after="0" w:line="252" w:lineRule="auto"/>
            </w:pPr>
            <w:r>
              <w:rPr>
                <w:rFonts w:ascii="Arial" w:hAnsi="Arial" w:eastAsia="Noto Sans KR"/>
                <w:color w:val="1D2730"/>
                <w:sz w:val="16"/>
              </w:rPr>
              <w:t>Preview includes sample and longest-row results.</w:t>
            </w:r>
          </w:p>
        </w:tc>
      </w:tr>
      <w:tr>
        <w:trPr>
          <w:cantSplit/>
        </w:trPr>
        <w:tc>
          <w:tcPr>
            <w:tcW w:type="dxa" w:w="1050"/>
          </w:tcPr>
          <w:p>
            <w:pPr>
              <w:spacing w:after="0" w:line="252" w:lineRule="auto"/>
            </w:pPr>
            <w:r>
              <w:rPr>
                <w:rFonts w:ascii="Arial" w:hAnsi="Arial" w:eastAsia="Noto Sans KR"/>
                <w:color w:val="1D2730"/>
                <w:sz w:val="16"/>
              </w:rPr>
              <w:t>MSG-04</w:t>
            </w:r>
          </w:p>
        </w:tc>
        <w:tc>
          <w:tcPr>
            <w:tcW w:type="dxa" w:w="4980"/>
          </w:tcPr>
          <w:p>
            <w:pPr>
              <w:spacing w:after="0" w:line="252" w:lineRule="auto"/>
            </w:pPr>
            <w:r>
              <w:rPr>
                <w:rFonts w:ascii="Arial" w:hAnsi="Arial" w:eastAsia="Noto Sans KR"/>
                <w:color w:val="1D2730"/>
                <w:sz w:val="17"/>
              </w:rPr>
              <w:t>Support test send, immediate send, and Asia/Manila scheduled send.</w:t>
            </w:r>
          </w:p>
        </w:tc>
        <w:tc>
          <w:tcPr>
            <w:tcW w:type="dxa" w:w="3330"/>
          </w:tcPr>
          <w:p>
            <w:pPr>
              <w:spacing w:after="0" w:line="252" w:lineRule="auto"/>
            </w:pPr>
            <w:r>
              <w:rPr>
                <w:rFonts w:ascii="Arial" w:hAnsi="Arial" w:eastAsia="Noto Sans KR"/>
                <w:color w:val="1D2730"/>
                <w:sz w:val="16"/>
              </w:rPr>
              <w:t>Confirmation always displays the absolute Philippine date/time.</w:t>
            </w:r>
          </w:p>
        </w:tc>
      </w:tr>
      <w:tr>
        <w:trPr>
          <w:cantSplit/>
        </w:trPr>
        <w:tc>
          <w:tcPr>
            <w:tcW w:type="dxa" w:w="1050"/>
          </w:tcPr>
          <w:p>
            <w:pPr>
              <w:spacing w:after="0" w:line="252" w:lineRule="auto"/>
            </w:pPr>
            <w:r>
              <w:rPr>
                <w:rFonts w:ascii="Arial" w:hAnsi="Arial" w:eastAsia="Noto Sans KR"/>
                <w:color w:val="1D2730"/>
                <w:sz w:val="16"/>
              </w:rPr>
              <w:t>MSG-05</w:t>
            </w:r>
          </w:p>
        </w:tc>
        <w:tc>
          <w:tcPr>
            <w:tcW w:type="dxa" w:w="4980"/>
          </w:tcPr>
          <w:p>
            <w:pPr>
              <w:spacing w:after="0" w:line="252" w:lineRule="auto"/>
            </w:pPr>
            <w:r>
              <w:rPr>
                <w:rFonts w:ascii="Arial" w:hAnsi="Arial" w:eastAsia="Noto Sans KR"/>
                <w:color w:val="1D2730"/>
                <w:sz w:val="17"/>
              </w:rPr>
              <w:t>Run content/risk checks for blocked patterns, links, abusive use and policy configuration.</w:t>
            </w:r>
          </w:p>
        </w:tc>
        <w:tc>
          <w:tcPr>
            <w:tcW w:type="dxa" w:w="3330"/>
          </w:tcPr>
          <w:p>
            <w:pPr>
              <w:spacing w:after="0" w:line="252" w:lineRule="auto"/>
            </w:pPr>
            <w:r>
              <w:rPr>
                <w:rFonts w:ascii="Arial" w:hAnsi="Arial" w:eastAsia="Noto Sans KR"/>
                <w:color w:val="1D2730"/>
                <w:sz w:val="16"/>
              </w:rPr>
              <w:t>Flagged jobs cannot bypass required admin review.</w:t>
            </w:r>
          </w:p>
        </w:tc>
      </w:tr>
      <w:tr>
        <w:trPr>
          <w:cantSplit/>
        </w:trPr>
        <w:tc>
          <w:tcPr>
            <w:tcW w:type="dxa" w:w="1050"/>
          </w:tcPr>
          <w:p>
            <w:pPr>
              <w:spacing w:after="0" w:line="252" w:lineRule="auto"/>
            </w:pPr>
            <w:r>
              <w:rPr>
                <w:rFonts w:ascii="Arial" w:hAnsi="Arial" w:eastAsia="Noto Sans KR"/>
                <w:color w:val="1D2730"/>
                <w:sz w:val="16"/>
              </w:rPr>
              <w:t>MSG-06</w:t>
            </w:r>
          </w:p>
        </w:tc>
        <w:tc>
          <w:tcPr>
            <w:tcW w:type="dxa" w:w="4980"/>
          </w:tcPr>
          <w:p>
            <w:pPr>
              <w:spacing w:after="0" w:line="252" w:lineRule="auto"/>
            </w:pPr>
            <w:r>
              <w:rPr>
                <w:rFonts w:ascii="Arial" w:hAnsi="Arial" w:eastAsia="Noto Sans KR"/>
                <w:color w:val="1D2730"/>
                <w:sz w:val="17"/>
              </w:rPr>
              <w:t>Final confirmation displays sender, sample message, recipients, exclusions, segments, cost, schedule and lawful-basis checkbox.</w:t>
            </w:r>
          </w:p>
        </w:tc>
        <w:tc>
          <w:tcPr>
            <w:tcW w:type="dxa" w:w="3330"/>
          </w:tcPr>
          <w:p>
            <w:pPr>
              <w:spacing w:after="0" w:line="252" w:lineRule="auto"/>
            </w:pPr>
            <w:r>
              <w:rPr>
                <w:rFonts w:ascii="Arial" w:hAnsi="Arial" w:eastAsia="Noto Sans KR"/>
                <w:color w:val="1D2730"/>
                <w:sz w:val="16"/>
              </w:rPr>
              <w:t>No job is created without confirmation.</w:t>
            </w:r>
          </w:p>
        </w:tc>
      </w:tr>
      <w:tr>
        <w:trPr>
          <w:cantSplit/>
        </w:trPr>
        <w:tc>
          <w:tcPr>
            <w:tcW w:type="dxa" w:w="1050"/>
          </w:tcPr>
          <w:p>
            <w:pPr>
              <w:spacing w:after="0" w:line="252" w:lineRule="auto"/>
            </w:pPr>
            <w:r>
              <w:rPr>
                <w:rFonts w:ascii="Arial" w:hAnsi="Arial" w:eastAsia="Noto Sans KR"/>
                <w:color w:val="1D2730"/>
                <w:sz w:val="16"/>
              </w:rPr>
              <w:t>MSG-07</w:t>
            </w:r>
          </w:p>
        </w:tc>
        <w:tc>
          <w:tcPr>
            <w:tcW w:type="dxa" w:w="4980"/>
          </w:tcPr>
          <w:p>
            <w:pPr>
              <w:spacing w:after="0" w:line="252" w:lineRule="auto"/>
            </w:pPr>
            <w:r>
              <w:rPr>
                <w:rFonts w:ascii="Arial" w:hAnsi="Arial" w:eastAsia="Noto Sans KR"/>
                <w:color w:val="1D2730"/>
                <w:sz w:val="17"/>
              </w:rPr>
              <w:t>Dispatch is idempotent. Repeated clicks or worker retries do not create duplicate sends.</w:t>
            </w:r>
          </w:p>
        </w:tc>
        <w:tc>
          <w:tcPr>
            <w:tcW w:type="dxa" w:w="3330"/>
          </w:tcPr>
          <w:p>
            <w:pPr>
              <w:spacing w:after="0" w:line="252" w:lineRule="auto"/>
            </w:pPr>
            <w:r>
              <w:rPr>
                <w:rFonts w:ascii="Arial" w:hAnsi="Arial" w:eastAsia="Noto Sans KR"/>
                <w:color w:val="1D2730"/>
                <w:sz w:val="16"/>
              </w:rPr>
              <w:t>Duplicate-request test produces one billable dispatch.</w:t>
            </w:r>
          </w:p>
        </w:tc>
      </w:tr>
    </w:tbl>
    <w:p>
      <w:pPr>
        <w:spacing w:after="20"/>
      </w:pPr>
    </w:p>
    <w:p>
      <w:pPr>
        <w:pStyle w:val="Heading3"/>
      </w:pPr>
      <w:r>
        <w:t>Segmentation and cost calculation</w:t>
      </w:r>
    </w:p>
    <w:p>
      <w:r>
        <w:rPr>
          <w:rFonts w:ascii="Arial" w:hAnsi="Arial" w:eastAsia="Noto Sans KR"/>
          <w:i w:val="0"/>
          <w:color w:val="1D2730"/>
        </w:rPr>
        <w:t>The client may display estimates, but the server is authoritative. Determine encoding and segment length according to the partner contract. Personalization must be rendered per recipient before final segment calculation. If actual cost can differ from the estimate, reserve the maximum approved amount and reconcile using an immutable credit ledger.</w:t>
      </w:r>
    </w:p>
    <w:p>
      <w:pPr>
        <w:pStyle w:val="Heading2"/>
      </w:pPr>
      <w:r>
        <w:t>Campaign lifecycle and reporting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EAF3F8"/>
            <w:vAlign w:val="center"/>
          </w:tcPr>
          <w:p>
            <w:pPr>
              <w:spacing w:after="0"/>
            </w:pPr>
            <w:r>
              <w:rPr>
                <w:rFonts w:ascii="Arial" w:hAnsi="Arial" w:eastAsia="Noto Sans KR"/>
                <w:b/>
                <w:color w:val="183B56"/>
                <w:sz w:val="18"/>
              </w:rPr>
              <w:t>Platform status</w:t>
            </w:r>
          </w:p>
        </w:tc>
        <w:tc>
          <w:tcPr>
            <w:tcW w:type="dxa" w:w="6860"/>
            <w:tcMar>
              <w:top w:w="80" w:type="dxa"/>
              <w:start w:w="120" w:type="dxa"/>
              <w:bottom w:w="80" w:type="dxa"/>
              <w:end w:w="120" w:type="dxa"/>
            </w:tcMar>
            <w:shd w:fill="EAF3F8"/>
            <w:vAlign w:val="center"/>
          </w:tcPr>
          <w:p>
            <w:pPr>
              <w:spacing w:after="0"/>
            </w:pPr>
            <w:r>
              <w:rPr>
                <w:rFonts w:ascii="Arial" w:hAnsi="Arial" w:eastAsia="Noto Sans KR"/>
                <w:b/>
                <w:color w:val="183B56"/>
                <w:sz w:val="18"/>
              </w:rPr>
              <w:t>Meaning</w:t>
            </w:r>
          </w:p>
        </w:tc>
      </w:tr>
      <w:tr>
        <w:trPr>
          <w:cantSplit/>
        </w:trPr>
        <w:tc>
          <w:tcPr>
            <w:tcW w:type="dxa" w:w="2500"/>
          </w:tcPr>
          <w:p>
            <w:pPr>
              <w:spacing w:after="0" w:line="252" w:lineRule="auto"/>
            </w:pPr>
            <w:r>
              <w:rPr>
                <w:rFonts w:ascii="Arial" w:hAnsi="Arial" w:eastAsia="Noto Sans KR"/>
                <w:color w:val="1D2730"/>
                <w:sz w:val="17"/>
              </w:rPr>
              <w:t>DRAFT</w:t>
            </w:r>
          </w:p>
        </w:tc>
        <w:tc>
          <w:tcPr>
            <w:tcW w:type="dxa" w:w="6860"/>
          </w:tcPr>
          <w:p>
            <w:pPr>
              <w:spacing w:after="0" w:line="252" w:lineRule="auto"/>
            </w:pPr>
            <w:r>
              <w:rPr>
                <w:rFonts w:ascii="Arial" w:hAnsi="Arial" w:eastAsia="Noto Sans KR"/>
                <w:color w:val="1D2730"/>
                <w:sz w:val="17"/>
              </w:rPr>
              <w:t>Editable and not submitted</w:t>
            </w:r>
          </w:p>
        </w:tc>
      </w:tr>
      <w:tr>
        <w:trPr>
          <w:cantSplit/>
        </w:trPr>
        <w:tc>
          <w:tcPr>
            <w:tcW w:type="dxa" w:w="2500"/>
          </w:tcPr>
          <w:p>
            <w:pPr>
              <w:spacing w:after="0" w:line="252" w:lineRule="auto"/>
            </w:pPr>
            <w:r>
              <w:rPr>
                <w:rFonts w:ascii="Arial" w:hAnsi="Arial" w:eastAsia="Noto Sans KR"/>
                <w:color w:val="1D2730"/>
                <w:sz w:val="17"/>
              </w:rPr>
              <w:t>PENDING_APPROVAL</w:t>
            </w:r>
          </w:p>
        </w:tc>
        <w:tc>
          <w:tcPr>
            <w:tcW w:type="dxa" w:w="6860"/>
          </w:tcPr>
          <w:p>
            <w:pPr>
              <w:spacing w:after="0" w:line="252" w:lineRule="auto"/>
            </w:pPr>
            <w:r>
              <w:rPr>
                <w:rFonts w:ascii="Arial" w:hAnsi="Arial" w:eastAsia="Noto Sans KR"/>
                <w:color w:val="1D2730"/>
                <w:sz w:val="17"/>
              </w:rPr>
              <w:t>Waiting for customer or platform approval</w:t>
            </w:r>
          </w:p>
        </w:tc>
      </w:tr>
      <w:tr>
        <w:trPr>
          <w:cantSplit/>
        </w:trPr>
        <w:tc>
          <w:tcPr>
            <w:tcW w:type="dxa" w:w="2500"/>
          </w:tcPr>
          <w:p>
            <w:pPr>
              <w:spacing w:after="0" w:line="252" w:lineRule="auto"/>
            </w:pPr>
            <w:r>
              <w:rPr>
                <w:rFonts w:ascii="Arial" w:hAnsi="Arial" w:eastAsia="Noto Sans KR"/>
                <w:color w:val="1D2730"/>
                <w:sz w:val="17"/>
              </w:rPr>
              <w:t>SCHEDULED</w:t>
            </w:r>
          </w:p>
        </w:tc>
        <w:tc>
          <w:tcPr>
            <w:tcW w:type="dxa" w:w="6860"/>
          </w:tcPr>
          <w:p>
            <w:pPr>
              <w:spacing w:after="0" w:line="252" w:lineRule="auto"/>
            </w:pPr>
            <w:r>
              <w:rPr>
                <w:rFonts w:ascii="Arial" w:hAnsi="Arial" w:eastAsia="Noto Sans KR"/>
                <w:color w:val="1D2730"/>
                <w:sz w:val="17"/>
              </w:rPr>
              <w:t>Validated and awaiting scheduled time</w:t>
            </w:r>
          </w:p>
        </w:tc>
      </w:tr>
      <w:tr>
        <w:trPr>
          <w:cantSplit/>
        </w:trPr>
        <w:tc>
          <w:tcPr>
            <w:tcW w:type="dxa" w:w="2500"/>
          </w:tcPr>
          <w:p>
            <w:pPr>
              <w:spacing w:after="0" w:line="252" w:lineRule="auto"/>
            </w:pPr>
            <w:r>
              <w:rPr>
                <w:rFonts w:ascii="Arial" w:hAnsi="Arial" w:eastAsia="Noto Sans KR"/>
                <w:color w:val="1D2730"/>
                <w:sz w:val="17"/>
              </w:rPr>
              <w:t>QUEUED</w:t>
            </w:r>
          </w:p>
        </w:tc>
        <w:tc>
          <w:tcPr>
            <w:tcW w:type="dxa" w:w="6860"/>
          </w:tcPr>
          <w:p>
            <w:pPr>
              <w:spacing w:after="0" w:line="252" w:lineRule="auto"/>
            </w:pPr>
            <w:r>
              <w:rPr>
                <w:rFonts w:ascii="Arial" w:hAnsi="Arial" w:eastAsia="Noto Sans KR"/>
                <w:color w:val="1D2730"/>
                <w:sz w:val="17"/>
              </w:rPr>
              <w:t>Accepted for dispatch</w:t>
            </w:r>
          </w:p>
        </w:tc>
      </w:tr>
      <w:tr>
        <w:trPr>
          <w:cantSplit/>
        </w:trPr>
        <w:tc>
          <w:tcPr>
            <w:tcW w:type="dxa" w:w="2500"/>
          </w:tcPr>
          <w:p>
            <w:pPr>
              <w:spacing w:after="0" w:line="252" w:lineRule="auto"/>
            </w:pPr>
            <w:r>
              <w:rPr>
                <w:rFonts w:ascii="Arial" w:hAnsi="Arial" w:eastAsia="Noto Sans KR"/>
                <w:color w:val="1D2730"/>
                <w:sz w:val="17"/>
              </w:rPr>
              <w:t>PROCESSING</w:t>
            </w:r>
          </w:p>
        </w:tc>
        <w:tc>
          <w:tcPr>
            <w:tcW w:type="dxa" w:w="6860"/>
          </w:tcPr>
          <w:p>
            <w:pPr>
              <w:spacing w:after="0" w:line="252" w:lineRule="auto"/>
            </w:pPr>
            <w:r>
              <w:rPr>
                <w:rFonts w:ascii="Arial" w:hAnsi="Arial" w:eastAsia="Noto Sans KR"/>
                <w:color w:val="1D2730"/>
                <w:sz w:val="17"/>
              </w:rPr>
              <w:t>Dispatch in progress</w:t>
            </w:r>
          </w:p>
        </w:tc>
      </w:tr>
      <w:tr>
        <w:trPr>
          <w:cantSplit/>
        </w:trPr>
        <w:tc>
          <w:tcPr>
            <w:tcW w:type="dxa" w:w="2500"/>
          </w:tcPr>
          <w:p>
            <w:pPr>
              <w:spacing w:after="0" w:line="252" w:lineRule="auto"/>
            </w:pPr>
            <w:r>
              <w:rPr>
                <w:rFonts w:ascii="Arial" w:hAnsi="Arial" w:eastAsia="Noto Sans KR"/>
                <w:color w:val="1D2730"/>
                <w:sz w:val="17"/>
              </w:rPr>
              <w:t>SENT</w:t>
            </w:r>
          </w:p>
        </w:tc>
        <w:tc>
          <w:tcPr>
            <w:tcW w:type="dxa" w:w="6860"/>
          </w:tcPr>
          <w:p>
            <w:pPr>
              <w:spacing w:after="0" w:line="252" w:lineRule="auto"/>
            </w:pPr>
            <w:r>
              <w:rPr>
                <w:rFonts w:ascii="Arial" w:hAnsi="Arial" w:eastAsia="Noto Sans KR"/>
                <w:color w:val="1D2730"/>
                <w:sz w:val="17"/>
              </w:rPr>
              <w:t>Accepted by partner</w:t>
            </w:r>
          </w:p>
        </w:tc>
      </w:tr>
      <w:tr>
        <w:trPr>
          <w:cantSplit/>
        </w:trPr>
        <w:tc>
          <w:tcPr>
            <w:tcW w:type="dxa" w:w="2500"/>
          </w:tcPr>
          <w:p>
            <w:pPr>
              <w:spacing w:after="0" w:line="252" w:lineRule="auto"/>
            </w:pPr>
            <w:r>
              <w:rPr>
                <w:rFonts w:ascii="Arial" w:hAnsi="Arial" w:eastAsia="Noto Sans KR"/>
                <w:color w:val="1D2730"/>
                <w:sz w:val="17"/>
              </w:rPr>
              <w:t>DELIVERED</w:t>
            </w:r>
          </w:p>
        </w:tc>
        <w:tc>
          <w:tcPr>
            <w:tcW w:type="dxa" w:w="6860"/>
          </w:tcPr>
          <w:p>
            <w:pPr>
              <w:spacing w:after="0" w:line="252" w:lineRule="auto"/>
            </w:pPr>
            <w:r>
              <w:rPr>
                <w:rFonts w:ascii="Arial" w:hAnsi="Arial" w:eastAsia="Noto Sans KR"/>
                <w:color w:val="1D2730"/>
                <w:sz w:val="17"/>
              </w:rPr>
              <w:t>Partner confirmed delivery</w:t>
            </w:r>
          </w:p>
        </w:tc>
      </w:tr>
      <w:tr>
        <w:trPr>
          <w:cantSplit/>
        </w:trPr>
        <w:tc>
          <w:tcPr>
            <w:tcW w:type="dxa" w:w="2500"/>
          </w:tcPr>
          <w:p>
            <w:pPr>
              <w:spacing w:after="0" w:line="252" w:lineRule="auto"/>
            </w:pPr>
            <w:r>
              <w:rPr>
                <w:rFonts w:ascii="Arial" w:hAnsi="Arial" w:eastAsia="Noto Sans KR"/>
                <w:color w:val="1D2730"/>
                <w:sz w:val="17"/>
              </w:rPr>
              <w:t>PARTIAL</w:t>
            </w:r>
          </w:p>
        </w:tc>
        <w:tc>
          <w:tcPr>
            <w:tcW w:type="dxa" w:w="6860"/>
          </w:tcPr>
          <w:p>
            <w:pPr>
              <w:spacing w:after="0" w:line="252" w:lineRule="auto"/>
            </w:pPr>
            <w:r>
              <w:rPr>
                <w:rFonts w:ascii="Arial" w:hAnsi="Arial" w:eastAsia="Noto Sans KR"/>
                <w:color w:val="1D2730"/>
                <w:sz w:val="17"/>
              </w:rPr>
              <w:t>Mixed final or non-final results</w:t>
            </w:r>
          </w:p>
        </w:tc>
      </w:tr>
      <w:tr>
        <w:trPr>
          <w:cantSplit/>
        </w:trPr>
        <w:tc>
          <w:tcPr>
            <w:tcW w:type="dxa" w:w="2500"/>
          </w:tcPr>
          <w:p>
            <w:pPr>
              <w:spacing w:after="0" w:line="252" w:lineRule="auto"/>
            </w:pPr>
            <w:r>
              <w:rPr>
                <w:rFonts w:ascii="Arial" w:hAnsi="Arial" w:eastAsia="Noto Sans KR"/>
                <w:color w:val="1D2730"/>
                <w:sz w:val="17"/>
              </w:rPr>
              <w:t>FAILED</w:t>
            </w:r>
          </w:p>
        </w:tc>
        <w:tc>
          <w:tcPr>
            <w:tcW w:type="dxa" w:w="6860"/>
          </w:tcPr>
          <w:p>
            <w:pPr>
              <w:spacing w:after="0" w:line="252" w:lineRule="auto"/>
            </w:pPr>
            <w:r>
              <w:rPr>
                <w:rFonts w:ascii="Arial" w:hAnsi="Arial" w:eastAsia="Noto Sans KR"/>
                <w:color w:val="1D2730"/>
                <w:sz w:val="17"/>
              </w:rPr>
              <w:t>Dispatch or partner failure</w:t>
            </w:r>
          </w:p>
        </w:tc>
      </w:tr>
      <w:tr>
        <w:trPr>
          <w:cantSplit/>
        </w:trPr>
        <w:tc>
          <w:tcPr>
            <w:tcW w:type="dxa" w:w="2500"/>
          </w:tcPr>
          <w:p>
            <w:pPr>
              <w:spacing w:after="0" w:line="252" w:lineRule="auto"/>
            </w:pPr>
            <w:r>
              <w:rPr>
                <w:rFonts w:ascii="Arial" w:hAnsi="Arial" w:eastAsia="Noto Sans KR"/>
                <w:color w:val="1D2730"/>
                <w:sz w:val="17"/>
              </w:rPr>
              <w:t>REJECTED</w:t>
            </w:r>
          </w:p>
        </w:tc>
        <w:tc>
          <w:tcPr>
            <w:tcW w:type="dxa" w:w="6860"/>
          </w:tcPr>
          <w:p>
            <w:pPr>
              <w:spacing w:after="0" w:line="252" w:lineRule="auto"/>
            </w:pPr>
            <w:r>
              <w:rPr>
                <w:rFonts w:ascii="Arial" w:hAnsi="Arial" w:eastAsia="Noto Sans KR"/>
                <w:color w:val="1D2730"/>
                <w:sz w:val="17"/>
              </w:rPr>
              <w:t>Policy, validation or partner rejection</w:t>
            </w:r>
          </w:p>
        </w:tc>
      </w:tr>
      <w:tr>
        <w:trPr>
          <w:cantSplit/>
        </w:trPr>
        <w:tc>
          <w:tcPr>
            <w:tcW w:type="dxa" w:w="2500"/>
          </w:tcPr>
          <w:p>
            <w:pPr>
              <w:spacing w:after="0" w:line="252" w:lineRule="auto"/>
            </w:pPr>
            <w:r>
              <w:rPr>
                <w:rFonts w:ascii="Arial" w:hAnsi="Arial" w:eastAsia="Noto Sans KR"/>
                <w:color w:val="1D2730"/>
                <w:sz w:val="17"/>
              </w:rPr>
              <w:t>CANCELLED</w:t>
            </w:r>
          </w:p>
        </w:tc>
        <w:tc>
          <w:tcPr>
            <w:tcW w:type="dxa" w:w="6860"/>
          </w:tcPr>
          <w:p>
            <w:pPr>
              <w:spacing w:after="0" w:line="252" w:lineRule="auto"/>
            </w:pPr>
            <w:r>
              <w:rPr>
                <w:rFonts w:ascii="Arial" w:hAnsi="Arial" w:eastAsia="Noto Sans KR"/>
                <w:color w:val="1D2730"/>
                <w:sz w:val="17"/>
              </w:rPr>
              <w:t>Cancelled before irreversible dispatch</w:t>
            </w:r>
          </w:p>
        </w:tc>
      </w:tr>
    </w:tbl>
    <w:p>
      <w:pPr>
        <w:spacing w:after="20"/>
      </w:pPr>
    </w:p>
    <w:p>
      <w:pPr>
        <w:numPr>
          <w:ilvl w:val="0"/>
          <w:numId w:val="10"/>
        </w:numPr>
      </w:pPr>
      <w:r>
        <w:rPr>
          <w:rFonts w:ascii="Arial" w:hAnsi="Arial" w:eastAsia="Noto Sans KR"/>
          <w:color w:val="1D2730"/>
        </w:rPr>
        <w:t>Summary: requested, excluded, queued, sent, delivered, failed, credits reserved, charged and refunded.</w:t>
      </w:r>
    </w:p>
    <w:p>
      <w:pPr>
        <w:numPr>
          <w:ilvl w:val="0"/>
          <w:numId w:val="10"/>
        </w:numPr>
      </w:pPr>
      <w:r>
        <w:rPr>
          <w:rFonts w:ascii="Arial" w:hAnsi="Arial" w:eastAsia="Noto Sans KR"/>
          <w:color w:val="1D2730"/>
        </w:rPr>
        <w:t>Recipient-level records are masked by default and permission-controlled.</w:t>
      </w:r>
    </w:p>
    <w:p>
      <w:pPr>
        <w:numPr>
          <w:ilvl w:val="0"/>
          <w:numId w:val="10"/>
        </w:numPr>
      </w:pPr>
      <w:r>
        <w:rPr>
          <w:rFonts w:ascii="Arial" w:hAnsi="Arial" w:eastAsia="Noto Sans KR"/>
          <w:color w:val="1D2730"/>
        </w:rPr>
        <w:t>Export includes campaign metadata and permitted delivery data; every export is logged.</w:t>
      </w:r>
    </w:p>
    <w:p>
      <w:pPr>
        <w:numPr>
          <w:ilvl w:val="0"/>
          <w:numId w:val="10"/>
        </w:numPr>
      </w:pPr>
      <w:r>
        <w:rPr>
          <w:rFonts w:ascii="Arial" w:hAnsi="Arial" w:eastAsia="Noto Sans KR"/>
          <w:color w:val="1D2730"/>
        </w:rPr>
        <w:t>Failure reasons must use a platform taxonomy while retaining the raw partner code in restricted logs.</w:t>
      </w:r>
    </w:p>
    <w:p>
      <w:pPr>
        <w:pStyle w:val="Heading2"/>
      </w:pPr>
      <w:r>
        <w:t>Credits, billing and refunds</w:t>
      </w:r>
    </w:p>
    <w:tbl>
      <w:tblPr>
        <w:tblStyle w:val="TableGrid"/>
        <w:tblW w:type="dxa" w:w="9360"/>
        <w:jc w:val="left"/>
        <w:tblLayout w:type="fixed"/>
        <w:tblLook w:firstColumn="1" w:firstRow="1" w:lastColumn="0" w:lastRow="0" w:noHBand="0" w:noVBand="1" w:val="04A0"/>
        <w:tblInd w:w="120" w:type="dxa"/>
      </w:tblPr>
      <w:tblGrid>
        <w:gridCol w:w="1400"/>
        <w:gridCol w:w="7960"/>
      </w:tblGrid>
      <w:tr>
        <w:trPr>
          <w:tblHeader w:val="true"/>
        </w:trPr>
        <w:tc>
          <w:tcPr>
            <w:tcW w:type="dxa" w:w="1400"/>
            <w:tcMar>
              <w:top w:w="80" w:type="dxa"/>
              <w:start w:w="120" w:type="dxa"/>
              <w:bottom w:w="80" w:type="dxa"/>
              <w:end w:w="120" w:type="dxa"/>
            </w:tcMar>
            <w:shd w:fill="EAF3F8"/>
            <w:vAlign w:val="center"/>
          </w:tcPr>
          <w:p>
            <w:pPr>
              <w:spacing w:after="0"/>
            </w:pPr>
            <w:r>
              <w:rPr>
                <w:rFonts w:ascii="Arial" w:hAnsi="Arial" w:eastAsia="Noto Sans KR"/>
                <w:b/>
                <w:color w:val="183B56"/>
                <w:sz w:val="18"/>
              </w:rPr>
              <w:t>ID</w:t>
            </w:r>
          </w:p>
        </w:tc>
        <w:tc>
          <w:tcPr>
            <w:tcW w:type="dxa" w:w="7960"/>
            <w:tcMar>
              <w:top w:w="80" w:type="dxa"/>
              <w:start w:w="120" w:type="dxa"/>
              <w:bottom w:w="80" w:type="dxa"/>
              <w:end w:w="120" w:type="dxa"/>
            </w:tcMar>
            <w:shd w:fill="EAF3F8"/>
            <w:vAlign w:val="center"/>
          </w:tcPr>
          <w:p>
            <w:pPr>
              <w:spacing w:after="0"/>
            </w:pPr>
            <w:r>
              <w:rPr>
                <w:rFonts w:ascii="Arial" w:hAnsi="Arial" w:eastAsia="Noto Sans KR"/>
                <w:b/>
                <w:color w:val="183B56"/>
                <w:sz w:val="18"/>
              </w:rPr>
              <w:t>Requirement</w:t>
            </w:r>
          </w:p>
        </w:tc>
      </w:tr>
      <w:tr>
        <w:trPr>
          <w:cantSplit/>
        </w:trPr>
        <w:tc>
          <w:tcPr>
            <w:tcW w:type="dxa" w:w="1400"/>
          </w:tcPr>
          <w:p>
            <w:pPr>
              <w:spacing w:after="0" w:line="252" w:lineRule="auto"/>
            </w:pPr>
            <w:r>
              <w:rPr>
                <w:rFonts w:ascii="Arial" w:hAnsi="Arial" w:eastAsia="Noto Sans KR"/>
                <w:color w:val="1D2730"/>
                <w:sz w:val="17"/>
              </w:rPr>
              <w:t>BILL-01</w:t>
            </w:r>
          </w:p>
        </w:tc>
        <w:tc>
          <w:tcPr>
            <w:tcW w:type="dxa" w:w="7960"/>
          </w:tcPr>
          <w:p>
            <w:pPr>
              <w:spacing w:after="0" w:line="252" w:lineRule="auto"/>
            </w:pPr>
            <w:r>
              <w:rPr>
                <w:rFonts w:ascii="Arial" w:hAnsi="Arial" w:eastAsia="Noto Sans KR"/>
                <w:color w:val="1D2730"/>
                <w:sz w:val="17"/>
              </w:rPr>
              <w:t>Maintain an immutable credit ledger: purchase, promotion, reservation, charge, release, refund, admin adjustment, expiry.</w:t>
            </w:r>
          </w:p>
        </w:tc>
      </w:tr>
      <w:tr>
        <w:trPr>
          <w:cantSplit/>
        </w:trPr>
        <w:tc>
          <w:tcPr>
            <w:tcW w:type="dxa" w:w="1400"/>
          </w:tcPr>
          <w:p>
            <w:pPr>
              <w:spacing w:after="0" w:line="252" w:lineRule="auto"/>
            </w:pPr>
            <w:r>
              <w:rPr>
                <w:rFonts w:ascii="Arial" w:hAnsi="Arial" w:eastAsia="Noto Sans KR"/>
                <w:color w:val="1D2730"/>
                <w:sz w:val="17"/>
              </w:rPr>
              <w:t>BILL-02</w:t>
            </w:r>
          </w:p>
        </w:tc>
        <w:tc>
          <w:tcPr>
            <w:tcW w:type="dxa" w:w="7960"/>
          </w:tcPr>
          <w:p>
            <w:pPr>
              <w:spacing w:after="0" w:line="252" w:lineRule="auto"/>
            </w:pPr>
            <w:r>
              <w:rPr>
                <w:rFonts w:ascii="Arial" w:hAnsi="Arial" w:eastAsia="Noto Sans KR"/>
                <w:color w:val="1D2730"/>
                <w:sz w:val="17"/>
              </w:rPr>
              <w:t>Never update balance without a corresponding ledger entry and idempotency key.</w:t>
            </w:r>
          </w:p>
        </w:tc>
      </w:tr>
      <w:tr>
        <w:trPr>
          <w:cantSplit/>
        </w:trPr>
        <w:tc>
          <w:tcPr>
            <w:tcW w:type="dxa" w:w="1400"/>
          </w:tcPr>
          <w:p>
            <w:pPr>
              <w:spacing w:after="0" w:line="252" w:lineRule="auto"/>
            </w:pPr>
            <w:r>
              <w:rPr>
                <w:rFonts w:ascii="Arial" w:hAnsi="Arial" w:eastAsia="Noto Sans KR"/>
                <w:color w:val="1D2730"/>
                <w:sz w:val="17"/>
              </w:rPr>
              <w:t>BILL-03</w:t>
            </w:r>
          </w:p>
        </w:tc>
        <w:tc>
          <w:tcPr>
            <w:tcW w:type="dxa" w:w="7960"/>
          </w:tcPr>
          <w:p>
            <w:pPr>
              <w:spacing w:after="0" w:line="252" w:lineRule="auto"/>
            </w:pPr>
            <w:r>
              <w:rPr>
                <w:rFonts w:ascii="Arial" w:hAnsi="Arial" w:eastAsia="Noto Sans KR"/>
                <w:color w:val="1D2730"/>
                <w:sz w:val="17"/>
              </w:rPr>
              <w:t>Reject scheduling or sending when available balance is insufficient for the calculated reservation.</w:t>
            </w:r>
          </w:p>
        </w:tc>
      </w:tr>
      <w:tr>
        <w:trPr>
          <w:cantSplit/>
        </w:trPr>
        <w:tc>
          <w:tcPr>
            <w:tcW w:type="dxa" w:w="1400"/>
          </w:tcPr>
          <w:p>
            <w:pPr>
              <w:spacing w:after="0" w:line="252" w:lineRule="auto"/>
            </w:pPr>
            <w:r>
              <w:rPr>
                <w:rFonts w:ascii="Arial" w:hAnsi="Arial" w:eastAsia="Noto Sans KR"/>
                <w:color w:val="1D2730"/>
                <w:sz w:val="17"/>
              </w:rPr>
              <w:t>BILL-04</w:t>
            </w:r>
          </w:p>
        </w:tc>
        <w:tc>
          <w:tcPr>
            <w:tcW w:type="dxa" w:w="7960"/>
          </w:tcPr>
          <w:p>
            <w:pPr>
              <w:spacing w:after="0" w:line="252" w:lineRule="auto"/>
            </w:pPr>
            <w:r>
              <w:rPr>
                <w:rFonts w:ascii="Arial" w:hAnsi="Arial" w:eastAsia="Noto Sans KR"/>
                <w:color w:val="1D2730"/>
                <w:sz w:val="17"/>
              </w:rPr>
              <w:t>Admin adjustments require reason, operator identity and timestamp.</w:t>
            </w:r>
          </w:p>
        </w:tc>
      </w:tr>
      <w:tr>
        <w:trPr>
          <w:cantSplit/>
        </w:trPr>
        <w:tc>
          <w:tcPr>
            <w:tcW w:type="dxa" w:w="1400"/>
          </w:tcPr>
          <w:p>
            <w:pPr>
              <w:spacing w:after="0" w:line="252" w:lineRule="auto"/>
            </w:pPr>
            <w:r>
              <w:rPr>
                <w:rFonts w:ascii="Arial" w:hAnsi="Arial" w:eastAsia="Noto Sans KR"/>
                <w:color w:val="1D2730"/>
                <w:sz w:val="17"/>
              </w:rPr>
              <w:t>BILL-05</w:t>
            </w:r>
          </w:p>
        </w:tc>
        <w:tc>
          <w:tcPr>
            <w:tcW w:type="dxa" w:w="7960"/>
          </w:tcPr>
          <w:p>
            <w:pPr>
              <w:spacing w:after="0" w:line="252" w:lineRule="auto"/>
            </w:pPr>
            <w:r>
              <w:rPr>
                <w:rFonts w:ascii="Arial" w:hAnsi="Arial" w:eastAsia="Noto Sans KR"/>
                <w:color w:val="1D2730"/>
                <w:sz w:val="17"/>
              </w:rPr>
              <w:t>Payment integration must be abstracted; exact provider is a configuration/deployment decision.</w:t>
            </w:r>
          </w:p>
        </w:tc>
      </w:tr>
    </w:tbl>
    <w:p>
      <w:pPr>
        <w:spacing w:after="20"/>
      </w:pPr>
    </w:p>
    <w:p>
      <w:pPr>
        <w:pStyle w:val="Heading2"/>
      </w:pPr>
      <w:r>
        <w:t>Bulk campaign inquiry</w:t>
      </w:r>
    </w:p>
    <w:p>
      <w:pPr>
        <w:numPr>
          <w:ilvl w:val="0"/>
          <w:numId w:val="10"/>
        </w:numPr>
      </w:pPr>
      <w:r>
        <w:rPr>
          <w:rFonts w:ascii="Arial" w:hAnsi="Arial" w:eastAsia="Noto Sans KR"/>
          <w:color w:val="1D2730"/>
        </w:rPr>
        <w:t>Collect company, contact, estimated volume, frequency, purpose, audience type, preferred date, sample message, sender-ID need, consent source and monthly forecast.</w:t>
      </w:r>
    </w:p>
    <w:p>
      <w:pPr>
        <w:numPr>
          <w:ilvl w:val="0"/>
          <w:numId w:val="10"/>
        </w:numPr>
      </w:pPr>
      <w:r>
        <w:rPr>
          <w:rFonts w:ascii="Arial" w:hAnsi="Arial" w:eastAsia="Noto Sans KR"/>
          <w:color w:val="1D2730"/>
        </w:rPr>
        <w:t>Do not request or accept the full recipient list during inquiry.</w:t>
      </w:r>
    </w:p>
    <w:p>
      <w:pPr>
        <w:numPr>
          <w:ilvl w:val="0"/>
          <w:numId w:val="10"/>
        </w:numPr>
      </w:pPr>
      <w:r>
        <w:rPr>
          <w:rFonts w:ascii="Arial" w:hAnsi="Arial" w:eastAsia="Noto Sans KR"/>
          <w:color w:val="1D2730"/>
        </w:rPr>
        <w:t>Admin pipeline: New → Contacted → Reviewing → Quotation Sent → Contracted → Completed or Rejected.</w:t>
      </w:r>
    </w:p>
    <w:p>
      <w:pPr>
        <w:numPr>
          <w:ilvl w:val="0"/>
          <w:numId w:val="10"/>
        </w:numPr>
      </w:pPr>
      <w:r>
        <w:rPr>
          <w:rFonts w:ascii="Arial" w:hAnsi="Arial" w:eastAsia="Noto Sans KR"/>
          <w:color w:val="1D2730"/>
        </w:rPr>
        <w:t>Thresholds and categories that trigger the inquiry route must be editable in admin configuration.</w:t>
      </w:r>
    </w:p>
    <w:p>
      <w:pPr>
        <w:numPr>
          <w:ilvl w:val="0"/>
          <w:numId w:val="10"/>
        </w:numPr>
      </w:pPr>
      <w:r>
        <w:rPr>
          <w:rFonts w:ascii="Arial" w:hAnsi="Arial" w:eastAsia="Noto Sans KR"/>
          <w:color w:val="1D2730"/>
        </w:rPr>
        <w:t>Notify the customer and assigned operator of status changes; email notification templates must be editable.</w:t>
      </w:r>
    </w:p>
    <w:p>
      <w:pPr>
        <w:pStyle w:val="Heading2"/>
      </w:pPr>
      <w:r>
        <w:t>Contacts, consent and suppression</w:t>
      </w:r>
    </w:p>
    <w:p>
      <w:pPr>
        <w:numPr>
          <w:ilvl w:val="0"/>
          <w:numId w:val="10"/>
        </w:numPr>
      </w:pPr>
      <w:r>
        <w:rPr>
          <w:rFonts w:ascii="Arial" w:hAnsi="Arial" w:eastAsia="Noto Sans KR"/>
          <w:color w:val="1D2730"/>
        </w:rPr>
        <w:t>Store normalized number, display mask, optional name/custom fields, source, consent metadata, tags and group membership.</w:t>
      </w:r>
    </w:p>
    <w:p>
      <w:pPr>
        <w:numPr>
          <w:ilvl w:val="0"/>
          <w:numId w:val="10"/>
        </w:numPr>
      </w:pPr>
      <w:r>
        <w:rPr>
          <w:rFonts w:ascii="Arial" w:hAnsi="Arial" w:eastAsia="Noto Sans KR"/>
          <w:color w:val="1D2730"/>
        </w:rPr>
        <w:t>Maintain global and organization-level suppression records separately from active contacts.</w:t>
      </w:r>
    </w:p>
    <w:p>
      <w:pPr>
        <w:numPr>
          <w:ilvl w:val="0"/>
          <w:numId w:val="10"/>
        </w:numPr>
      </w:pPr>
      <w:r>
        <w:rPr>
          <w:rFonts w:ascii="Arial" w:hAnsi="Arial" w:eastAsia="Noto Sans KR"/>
          <w:color w:val="1D2730"/>
        </w:rPr>
        <w:t>Deleting a contact must not automatically remove its suppression record.</w:t>
      </w:r>
    </w:p>
    <w:p>
      <w:pPr>
        <w:numPr>
          <w:ilvl w:val="0"/>
          <w:numId w:val="10"/>
        </w:numPr>
      </w:pPr>
      <w:r>
        <w:rPr>
          <w:rFonts w:ascii="Arial" w:hAnsi="Arial" w:eastAsia="Noto Sans KR"/>
          <w:color w:val="1D2730"/>
        </w:rPr>
        <w:t>Provide access, correction, export and deletion workflows subject to legal retention obligations.</w:t>
      </w:r>
    </w:p>
    <w:p>
      <w:pPr>
        <w:numPr>
          <w:ilvl w:val="0"/>
          <w:numId w:val="10"/>
        </w:numPr>
      </w:pPr>
      <w:r>
        <w:rPr>
          <w:rFonts w:ascii="Arial" w:hAnsi="Arial" w:eastAsia="Noto Sans KR"/>
          <w:color w:val="1D2730"/>
        </w:rPr>
        <w:t>Promotional send requires a configured lawful-basis/consent declaration and opt-out treatment approved by the product owner/DPO.</w:t>
      </w:r>
    </w:p>
    <w:p>
      <w:pPr>
        <w:pStyle w:val="Heading2"/>
      </w:pPr>
      <w:r>
        <w:t>Administration and abuse controls</w:t>
      </w:r>
    </w:p>
    <w:p>
      <w:pPr>
        <w:numPr>
          <w:ilvl w:val="0"/>
          <w:numId w:val="10"/>
        </w:numPr>
      </w:pPr>
      <w:r>
        <w:rPr>
          <w:rFonts w:ascii="Arial" w:hAnsi="Arial" w:eastAsia="Noto Sans KR"/>
          <w:color w:val="1D2730"/>
        </w:rPr>
        <w:t>Customer verification queue and evidence review</w:t>
      </w:r>
    </w:p>
    <w:p>
      <w:pPr>
        <w:numPr>
          <w:ilvl w:val="0"/>
          <w:numId w:val="10"/>
        </w:numPr>
      </w:pPr>
      <w:r>
        <w:rPr>
          <w:rFonts w:ascii="Arial" w:hAnsi="Arial" w:eastAsia="Noto Sans KR"/>
          <w:color w:val="1D2730"/>
        </w:rPr>
        <w:t>Per-organization daily/monthly recipient and credit limits</w:t>
      </w:r>
    </w:p>
    <w:p>
      <w:pPr>
        <w:numPr>
          <w:ilvl w:val="0"/>
          <w:numId w:val="10"/>
        </w:numPr>
      </w:pPr>
      <w:r>
        <w:rPr>
          <w:rFonts w:ascii="Arial" w:hAnsi="Arial" w:eastAsia="Noto Sans KR"/>
          <w:color w:val="1D2730"/>
        </w:rPr>
        <w:t>Sender-ID status and supporting documents</w:t>
      </w:r>
    </w:p>
    <w:p>
      <w:pPr>
        <w:numPr>
          <w:ilvl w:val="0"/>
          <w:numId w:val="10"/>
        </w:numPr>
      </w:pPr>
      <w:r>
        <w:rPr>
          <w:rFonts w:ascii="Arial" w:hAnsi="Arial" w:eastAsia="Noto Sans KR"/>
          <w:color w:val="1D2730"/>
        </w:rPr>
        <w:t>Pricing, packages, thresholds and refund rules</w:t>
      </w:r>
    </w:p>
    <w:p>
      <w:pPr>
        <w:numPr>
          <w:ilvl w:val="0"/>
          <w:numId w:val="10"/>
        </w:numPr>
      </w:pPr>
      <w:r>
        <w:rPr>
          <w:rFonts w:ascii="Arial" w:hAnsi="Arial" w:eastAsia="Noto Sans KR"/>
          <w:color w:val="1D2730"/>
        </w:rPr>
        <w:t>Live campaign view, safe stop where technically reversible, and incident annotations</w:t>
      </w:r>
    </w:p>
    <w:p>
      <w:pPr>
        <w:numPr>
          <w:ilvl w:val="0"/>
          <w:numId w:val="10"/>
        </w:numPr>
      </w:pPr>
      <w:r>
        <w:rPr>
          <w:rFonts w:ascii="Arial" w:hAnsi="Arial" w:eastAsia="Noto Sans KR"/>
          <w:color w:val="1D2730"/>
        </w:rPr>
        <w:t>Blocked content configuration, URL/domain flags, velocity rules and failure-rate alerts</w:t>
      </w:r>
    </w:p>
    <w:p>
      <w:pPr>
        <w:numPr>
          <w:ilvl w:val="0"/>
          <w:numId w:val="10"/>
        </w:numPr>
      </w:pPr>
      <w:r>
        <w:rPr>
          <w:rFonts w:ascii="Arial" w:hAnsi="Arial" w:eastAsia="Noto Sans KR"/>
          <w:color w:val="1D2730"/>
        </w:rPr>
        <w:t>Global suppression and abuse complaint processing</w:t>
      </w:r>
    </w:p>
    <w:p>
      <w:pPr>
        <w:numPr>
          <w:ilvl w:val="0"/>
          <w:numId w:val="10"/>
        </w:numPr>
      </w:pPr>
      <w:r>
        <w:rPr>
          <w:rFonts w:ascii="Arial" w:hAnsi="Arial" w:eastAsia="Noto Sans KR"/>
          <w:color w:val="1D2730"/>
        </w:rPr>
        <w:t>Audit-log search and controlled export</w:t>
      </w:r>
    </w:p>
    <w:p>
      <w:pPr>
        <w:numPr>
          <w:ilvl w:val="0"/>
          <w:numId w:val="10"/>
        </w:numPr>
      </w:pPr>
      <w:r>
        <w:rPr>
          <w:rFonts w:ascii="Arial" w:hAnsi="Arial" w:eastAsia="Noto Sans KR"/>
          <w:color w:val="1D2730"/>
        </w:rPr>
        <w:t>System health, partner connectivity status and webhook backlog</w:t>
      </w:r>
    </w:p>
    <w:p>
      <w:pPr>
        <w:pStyle w:val="Heading1"/>
      </w:pPr>
      <w:r>
        <w:t>Partner API integration boundary</w:t>
      </w:r>
    </w:p>
    <w:p>
      <w:r>
        <w:rPr>
          <w:rFonts w:ascii="Arial" w:hAnsi="Arial" w:eastAsia="Noto Sans KR"/>
          <w:i w:val="0"/>
          <w:color w:val="1D2730"/>
        </w:rPr>
        <w:t>The developer must create a provider adapter so the business logic does not depend directly on one partner payload. The adapter is in scope; the partner gateway implementation is not.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EAF3F8"/>
            <w:vAlign w:val="center"/>
          </w:tcPr>
          <w:p>
            <w:pPr>
              <w:spacing w:after="0"/>
            </w:pPr>
            <w:r>
              <w:rPr>
                <w:rFonts w:ascii="Arial" w:hAnsi="Arial" w:eastAsia="Noto Sans KR"/>
                <w:b/>
                <w:color w:val="183B56"/>
                <w:sz w:val="18"/>
              </w:rPr>
              <w:t>Adapter capability</w:t>
            </w:r>
          </w:p>
        </w:tc>
        <w:tc>
          <w:tcPr>
            <w:tcW w:type="dxa" w:w="6760"/>
            <w:tcMar>
              <w:top w:w="80" w:type="dxa"/>
              <w:start w:w="120" w:type="dxa"/>
              <w:bottom w:w="80" w:type="dxa"/>
              <w:end w:w="120" w:type="dxa"/>
            </w:tcMar>
            <w:shd w:fill="EAF3F8"/>
            <w:vAlign w:val="center"/>
          </w:tcPr>
          <w:p>
            <w:pPr>
              <w:spacing w:after="0"/>
            </w:pPr>
            <w:r>
              <w:rPr>
                <w:rFonts w:ascii="Arial" w:hAnsi="Arial" w:eastAsia="Noto Sans KR"/>
                <w:b/>
                <w:color w:val="183B56"/>
                <w:sz w:val="18"/>
              </w:rPr>
              <w:t>Required behavior</w:t>
            </w:r>
          </w:p>
        </w:tc>
      </w:tr>
      <w:tr>
        <w:trPr>
          <w:cantSplit/>
        </w:trPr>
        <w:tc>
          <w:tcPr>
            <w:tcW w:type="dxa" w:w="2600"/>
          </w:tcPr>
          <w:p>
            <w:pPr>
              <w:spacing w:after="0" w:line="252" w:lineRule="auto"/>
            </w:pPr>
            <w:r>
              <w:rPr>
                <w:rFonts w:ascii="Arial" w:hAnsi="Arial" w:eastAsia="Noto Sans KR"/>
                <w:color w:val="1D2730"/>
                <w:sz w:val="17"/>
              </w:rPr>
              <w:t>Authentication</w:t>
            </w:r>
          </w:p>
        </w:tc>
        <w:tc>
          <w:tcPr>
            <w:tcW w:type="dxa" w:w="6760"/>
          </w:tcPr>
          <w:p>
            <w:pPr>
              <w:spacing w:after="0" w:line="252" w:lineRule="auto"/>
            </w:pPr>
            <w:r>
              <w:rPr>
                <w:rFonts w:ascii="Arial" w:hAnsi="Arial" w:eastAsia="Noto Sans KR"/>
                <w:color w:val="1D2730"/>
                <w:sz w:val="17"/>
              </w:rPr>
              <w:t>Use server-side secrets only; separate sandbox and production credentials.</w:t>
            </w:r>
          </w:p>
        </w:tc>
      </w:tr>
      <w:tr>
        <w:trPr>
          <w:cantSplit/>
        </w:trPr>
        <w:tc>
          <w:tcPr>
            <w:tcW w:type="dxa" w:w="2600"/>
          </w:tcPr>
          <w:p>
            <w:pPr>
              <w:spacing w:after="0" w:line="252" w:lineRule="auto"/>
            </w:pPr>
            <w:r>
              <w:rPr>
                <w:rFonts w:ascii="Arial" w:hAnsi="Arial" w:eastAsia="Noto Sans KR"/>
                <w:color w:val="1D2730"/>
                <w:sz w:val="17"/>
              </w:rPr>
              <w:t>Submit</w:t>
            </w:r>
          </w:p>
        </w:tc>
        <w:tc>
          <w:tcPr>
            <w:tcW w:type="dxa" w:w="6760"/>
          </w:tcPr>
          <w:p>
            <w:pPr>
              <w:spacing w:after="0" w:line="252" w:lineRule="auto"/>
            </w:pPr>
            <w:r>
              <w:rPr>
                <w:rFonts w:ascii="Arial" w:hAnsi="Arial" w:eastAsia="Noto Sans KR"/>
                <w:color w:val="1D2730"/>
                <w:sz w:val="17"/>
              </w:rPr>
              <w:t>Accept normalized internal request and return platform request reference plus partner reference.</w:t>
            </w:r>
          </w:p>
        </w:tc>
      </w:tr>
      <w:tr>
        <w:trPr>
          <w:cantSplit/>
        </w:trPr>
        <w:tc>
          <w:tcPr>
            <w:tcW w:type="dxa" w:w="2600"/>
          </w:tcPr>
          <w:p>
            <w:pPr>
              <w:spacing w:after="0" w:line="252" w:lineRule="auto"/>
            </w:pPr>
            <w:r>
              <w:rPr>
                <w:rFonts w:ascii="Arial" w:hAnsi="Arial" w:eastAsia="Noto Sans KR"/>
                <w:color w:val="1D2730"/>
                <w:sz w:val="17"/>
              </w:rPr>
              <w:t>Delivery updates</w:t>
            </w:r>
          </w:p>
        </w:tc>
        <w:tc>
          <w:tcPr>
            <w:tcW w:type="dxa" w:w="6760"/>
          </w:tcPr>
          <w:p>
            <w:pPr>
              <w:spacing w:after="0" w:line="252" w:lineRule="auto"/>
            </w:pPr>
            <w:r>
              <w:rPr>
                <w:rFonts w:ascii="Arial" w:hAnsi="Arial" w:eastAsia="Noto Sans KR"/>
                <w:color w:val="1D2730"/>
                <w:sz w:val="17"/>
              </w:rPr>
              <w:t>Consume signed/verified webhook when available; otherwise use an approved polling strategy.</w:t>
            </w:r>
          </w:p>
        </w:tc>
      </w:tr>
      <w:tr>
        <w:trPr>
          <w:cantSplit/>
        </w:trPr>
        <w:tc>
          <w:tcPr>
            <w:tcW w:type="dxa" w:w="2600"/>
          </w:tcPr>
          <w:p>
            <w:pPr>
              <w:spacing w:after="0" w:line="252" w:lineRule="auto"/>
            </w:pPr>
            <w:r>
              <w:rPr>
                <w:rFonts w:ascii="Arial" w:hAnsi="Arial" w:eastAsia="Noto Sans KR"/>
                <w:color w:val="1D2730"/>
                <w:sz w:val="17"/>
              </w:rPr>
              <w:t>Error mapping</w:t>
            </w:r>
          </w:p>
        </w:tc>
        <w:tc>
          <w:tcPr>
            <w:tcW w:type="dxa" w:w="6760"/>
          </w:tcPr>
          <w:p>
            <w:pPr>
              <w:spacing w:after="0" w:line="252" w:lineRule="auto"/>
            </w:pPr>
            <w:r>
              <w:rPr>
                <w:rFonts w:ascii="Arial" w:hAnsi="Arial" w:eastAsia="Noto Sans KR"/>
                <w:color w:val="1D2730"/>
                <w:sz w:val="17"/>
              </w:rPr>
              <w:t>Map partner codes to retryable, permanent, recipient, balance, sender and policy categories.</w:t>
            </w:r>
          </w:p>
        </w:tc>
      </w:tr>
      <w:tr>
        <w:trPr>
          <w:cantSplit/>
        </w:trPr>
        <w:tc>
          <w:tcPr>
            <w:tcW w:type="dxa" w:w="2600"/>
          </w:tcPr>
          <w:p>
            <w:pPr>
              <w:spacing w:after="0" w:line="252" w:lineRule="auto"/>
            </w:pPr>
            <w:r>
              <w:rPr>
                <w:rFonts w:ascii="Arial" w:hAnsi="Arial" w:eastAsia="Noto Sans KR"/>
                <w:color w:val="1D2730"/>
                <w:sz w:val="17"/>
              </w:rPr>
              <w:t>Idempotency</w:t>
            </w:r>
          </w:p>
        </w:tc>
        <w:tc>
          <w:tcPr>
            <w:tcW w:type="dxa" w:w="6760"/>
          </w:tcPr>
          <w:p>
            <w:pPr>
              <w:spacing w:after="0" w:line="252" w:lineRule="auto"/>
            </w:pPr>
            <w:r>
              <w:rPr>
                <w:rFonts w:ascii="Arial" w:hAnsi="Arial" w:eastAsia="Noto Sans KR"/>
                <w:color w:val="1D2730"/>
                <w:sz w:val="17"/>
              </w:rPr>
              <w:t>Use internal send/item keys and partner idempotency support where available.</w:t>
            </w:r>
          </w:p>
        </w:tc>
      </w:tr>
      <w:tr>
        <w:trPr>
          <w:cantSplit/>
        </w:trPr>
        <w:tc>
          <w:tcPr>
            <w:tcW w:type="dxa" w:w="2600"/>
          </w:tcPr>
          <w:p>
            <w:pPr>
              <w:spacing w:after="0" w:line="252" w:lineRule="auto"/>
            </w:pPr>
            <w:r>
              <w:rPr>
                <w:rFonts w:ascii="Arial" w:hAnsi="Arial" w:eastAsia="Noto Sans KR"/>
                <w:color w:val="1D2730"/>
                <w:sz w:val="17"/>
              </w:rPr>
              <w:t>Rate limiting</w:t>
            </w:r>
          </w:p>
        </w:tc>
        <w:tc>
          <w:tcPr>
            <w:tcW w:type="dxa" w:w="6760"/>
          </w:tcPr>
          <w:p>
            <w:pPr>
              <w:spacing w:after="0" w:line="252" w:lineRule="auto"/>
            </w:pPr>
            <w:r>
              <w:rPr>
                <w:rFonts w:ascii="Arial" w:hAnsi="Arial" w:eastAsia="Noto Sans KR"/>
                <w:color w:val="1D2730"/>
                <w:sz w:val="17"/>
              </w:rPr>
              <w:t>Queue and throttle without blocking web requests.</w:t>
            </w:r>
          </w:p>
        </w:tc>
      </w:tr>
      <w:tr>
        <w:trPr>
          <w:cantSplit/>
        </w:trPr>
        <w:tc>
          <w:tcPr>
            <w:tcW w:type="dxa" w:w="2600"/>
          </w:tcPr>
          <w:p>
            <w:pPr>
              <w:spacing w:after="0" w:line="252" w:lineRule="auto"/>
            </w:pPr>
            <w:r>
              <w:rPr>
                <w:rFonts w:ascii="Arial" w:hAnsi="Arial" w:eastAsia="Noto Sans KR"/>
                <w:color w:val="1D2730"/>
                <w:sz w:val="17"/>
              </w:rPr>
              <w:t>Retries</w:t>
            </w:r>
          </w:p>
        </w:tc>
        <w:tc>
          <w:tcPr>
            <w:tcW w:type="dxa" w:w="6760"/>
          </w:tcPr>
          <w:p>
            <w:pPr>
              <w:spacing w:after="0" w:line="252" w:lineRule="auto"/>
            </w:pPr>
            <w:r>
              <w:rPr>
                <w:rFonts w:ascii="Arial" w:hAnsi="Arial" w:eastAsia="Noto Sans KR"/>
                <w:color w:val="1D2730"/>
                <w:sz w:val="17"/>
              </w:rPr>
              <w:t>Retry only documented transient failures with exponential backoff and maximum attempts.</w:t>
            </w:r>
          </w:p>
        </w:tc>
      </w:tr>
      <w:tr>
        <w:trPr>
          <w:cantSplit/>
        </w:trPr>
        <w:tc>
          <w:tcPr>
            <w:tcW w:type="dxa" w:w="2600"/>
          </w:tcPr>
          <w:p>
            <w:pPr>
              <w:spacing w:after="0" w:line="252" w:lineRule="auto"/>
            </w:pPr>
            <w:r>
              <w:rPr>
                <w:rFonts w:ascii="Arial" w:hAnsi="Arial" w:eastAsia="Noto Sans KR"/>
                <w:color w:val="1D2730"/>
                <w:sz w:val="17"/>
              </w:rPr>
              <w:t>Observability</w:t>
            </w:r>
          </w:p>
        </w:tc>
        <w:tc>
          <w:tcPr>
            <w:tcW w:type="dxa" w:w="6760"/>
          </w:tcPr>
          <w:p>
            <w:pPr>
              <w:spacing w:after="0" w:line="252" w:lineRule="auto"/>
            </w:pPr>
            <w:r>
              <w:rPr>
                <w:rFonts w:ascii="Arial" w:hAnsi="Arial" w:eastAsia="Noto Sans KR"/>
                <w:color w:val="1D2730"/>
                <w:sz w:val="17"/>
              </w:rPr>
              <w:t>Log correlation IDs, latency, result category and safe metadata; never log full message/number by default.</w:t>
            </w:r>
          </w:p>
        </w:tc>
      </w:tr>
    </w:tbl>
    <w:p>
      <w:pPr>
        <w:spacing w:after="20"/>
      </w:pPr>
    </w:p>
    <w:p>
      <w:pPr>
        <w:pStyle w:val="Heading2"/>
      </w:pPr>
      <w:r>
        <w:t>Minimum partner information required before build</w:t>
      </w:r>
    </w:p>
    <w:p>
      <w:pPr>
        <w:numPr>
          <w:ilvl w:val="0"/>
          <w:numId w:val="10"/>
        </w:numPr>
      </w:pPr>
      <w:r>
        <w:rPr>
          <w:rFonts w:ascii="Arial" w:hAnsi="Arial" w:eastAsia="Noto Sans KR"/>
          <w:color w:val="1D2730"/>
        </w:rPr>
        <w:t>Sandbox and production base URLs and credentials</w:t>
      </w:r>
    </w:p>
    <w:p>
      <w:pPr>
        <w:numPr>
          <w:ilvl w:val="0"/>
          <w:numId w:val="10"/>
        </w:numPr>
      </w:pPr>
      <w:r>
        <w:rPr>
          <w:rFonts w:ascii="Arial" w:hAnsi="Arial" w:eastAsia="Noto Sans KR"/>
          <w:color w:val="1D2730"/>
        </w:rPr>
        <w:t>Request/response schemas and sample payloads</w:t>
      </w:r>
    </w:p>
    <w:p>
      <w:pPr>
        <w:numPr>
          <w:ilvl w:val="0"/>
          <w:numId w:val="10"/>
        </w:numPr>
      </w:pPr>
      <w:r>
        <w:rPr>
          <w:rFonts w:ascii="Arial" w:hAnsi="Arial" w:eastAsia="Noto Sans KR"/>
          <w:color w:val="1D2730"/>
        </w:rPr>
        <w:t>Synchronous and asynchronous error codes</w:t>
      </w:r>
    </w:p>
    <w:p>
      <w:pPr>
        <w:numPr>
          <w:ilvl w:val="0"/>
          <w:numId w:val="10"/>
        </w:numPr>
      </w:pPr>
      <w:r>
        <w:rPr>
          <w:rFonts w:ascii="Arial" w:hAnsi="Arial" w:eastAsia="Noto Sans KR"/>
          <w:color w:val="1D2730"/>
        </w:rPr>
        <w:t>Delivery receipt method and signature verification</w:t>
      </w:r>
    </w:p>
    <w:p>
      <w:pPr>
        <w:numPr>
          <w:ilvl w:val="0"/>
          <w:numId w:val="10"/>
        </w:numPr>
      </w:pPr>
      <w:r>
        <w:rPr>
          <w:rFonts w:ascii="Arial" w:hAnsi="Arial" w:eastAsia="Noto Sans KR"/>
          <w:color w:val="1D2730"/>
        </w:rPr>
        <w:t>Rate limits, timeouts, retry guidance and maintenance windows</w:t>
      </w:r>
    </w:p>
    <w:p>
      <w:pPr>
        <w:numPr>
          <w:ilvl w:val="0"/>
          <w:numId w:val="10"/>
        </w:numPr>
      </w:pPr>
      <w:r>
        <w:rPr>
          <w:rFonts w:ascii="Arial" w:hAnsi="Arial" w:eastAsia="Noto Sans KR"/>
          <w:color w:val="1D2730"/>
        </w:rPr>
        <w:t>Message encoding and segmentation rules</w:t>
      </w:r>
    </w:p>
    <w:p>
      <w:pPr>
        <w:numPr>
          <w:ilvl w:val="0"/>
          <w:numId w:val="10"/>
        </w:numPr>
      </w:pPr>
      <w:r>
        <w:rPr>
          <w:rFonts w:ascii="Arial" w:hAnsi="Arial" w:eastAsia="Noto Sans KR"/>
          <w:color w:val="1D2730"/>
        </w:rPr>
        <w:t>Charging point and failed-message/refund rules</w:t>
      </w:r>
    </w:p>
    <w:p>
      <w:pPr>
        <w:numPr>
          <w:ilvl w:val="0"/>
          <w:numId w:val="10"/>
        </w:numPr>
      </w:pPr>
      <w:r>
        <w:rPr>
          <w:rFonts w:ascii="Arial" w:hAnsi="Arial" w:eastAsia="Noto Sans KR"/>
          <w:color w:val="1D2730"/>
        </w:rPr>
        <w:t>Sender-ID approval and use rules</w:t>
      </w:r>
    </w:p>
    <w:p>
      <w:pPr>
        <w:numPr>
          <w:ilvl w:val="0"/>
          <w:numId w:val="10"/>
        </w:numPr>
      </w:pPr>
      <w:r>
        <w:rPr>
          <w:rFonts w:ascii="Arial" w:hAnsi="Arial" w:eastAsia="Noto Sans KR"/>
          <w:color w:val="1D2730"/>
        </w:rPr>
        <w:t>Permitted content and compliance requirements</w:t>
      </w:r>
    </w:p>
    <w:p>
      <w:pPr>
        <w:numPr>
          <w:ilvl w:val="0"/>
          <w:numId w:val="10"/>
        </w:numPr>
      </w:pPr>
      <w:r>
        <w:rPr>
          <w:rFonts w:ascii="Arial" w:hAnsi="Arial" w:eastAsia="Noto Sans KR"/>
          <w:color w:val="1D2730"/>
        </w:rPr>
        <w:t>Support and incident escalation contacts</w:t>
      </w:r>
    </w:p>
    <w:p>
      <w:pPr>
        <w:pStyle w:val="Heading1"/>
      </w:pPr>
      <w:r>
        <w:t>Core data model</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EAF3F8"/>
            <w:vAlign w:val="center"/>
          </w:tcPr>
          <w:p>
            <w:pPr>
              <w:spacing w:after="0"/>
            </w:pPr>
            <w:r>
              <w:rPr>
                <w:rFonts w:ascii="Arial" w:hAnsi="Arial" w:eastAsia="Noto Sans KR"/>
                <w:b/>
                <w:color w:val="183B56"/>
                <w:sz w:val="18"/>
              </w:rPr>
              <w:t>Entity</w:t>
            </w:r>
          </w:p>
        </w:tc>
        <w:tc>
          <w:tcPr>
            <w:tcW w:type="dxa" w:w="6860"/>
            <w:tcMar>
              <w:top w:w="80" w:type="dxa"/>
              <w:start w:w="120" w:type="dxa"/>
              <w:bottom w:w="80" w:type="dxa"/>
              <w:end w:w="120" w:type="dxa"/>
            </w:tcMar>
            <w:shd w:fill="EAF3F8"/>
            <w:vAlign w:val="center"/>
          </w:tcPr>
          <w:p>
            <w:pPr>
              <w:spacing w:after="0"/>
            </w:pPr>
            <w:r>
              <w:rPr>
                <w:rFonts w:ascii="Arial" w:hAnsi="Arial" w:eastAsia="Noto Sans KR"/>
                <w:b/>
                <w:color w:val="183B56"/>
                <w:sz w:val="18"/>
              </w:rPr>
              <w:t>Key fields / relationships</w:t>
            </w:r>
          </w:p>
        </w:tc>
      </w:tr>
      <w:tr>
        <w:trPr>
          <w:cantSplit/>
        </w:trPr>
        <w:tc>
          <w:tcPr>
            <w:tcW w:type="dxa" w:w="2500"/>
          </w:tcPr>
          <w:p>
            <w:pPr>
              <w:spacing w:after="0" w:line="252" w:lineRule="auto"/>
            </w:pPr>
            <w:r>
              <w:rPr>
                <w:rFonts w:ascii="Arial" w:hAnsi="Arial" w:eastAsia="Noto Sans KR"/>
                <w:color w:val="1D2730"/>
                <w:sz w:val="17"/>
              </w:rPr>
              <w:t>Organization</w:t>
            </w:r>
          </w:p>
        </w:tc>
        <w:tc>
          <w:tcPr>
            <w:tcW w:type="dxa" w:w="6860"/>
          </w:tcPr>
          <w:p>
            <w:pPr>
              <w:spacing w:after="0" w:line="252" w:lineRule="auto"/>
            </w:pPr>
            <w:r>
              <w:rPr>
                <w:rFonts w:ascii="Arial" w:hAnsi="Arial" w:eastAsia="Noto Sans KR"/>
                <w:color w:val="1D2730"/>
                <w:sz w:val="17"/>
              </w:rPr>
              <w:t>status, verification, limits, pricing plan, retention policy</w:t>
            </w:r>
          </w:p>
        </w:tc>
      </w:tr>
      <w:tr>
        <w:trPr>
          <w:cantSplit/>
        </w:trPr>
        <w:tc>
          <w:tcPr>
            <w:tcW w:type="dxa" w:w="2500"/>
          </w:tcPr>
          <w:p>
            <w:pPr>
              <w:spacing w:after="0" w:line="252" w:lineRule="auto"/>
            </w:pPr>
            <w:r>
              <w:rPr>
                <w:rFonts w:ascii="Arial" w:hAnsi="Arial" w:eastAsia="Noto Sans KR"/>
                <w:color w:val="1D2730"/>
                <w:sz w:val="17"/>
              </w:rPr>
              <w:t>User / Membership</w:t>
            </w:r>
          </w:p>
        </w:tc>
        <w:tc>
          <w:tcPr>
            <w:tcW w:type="dxa" w:w="6860"/>
          </w:tcPr>
          <w:p>
            <w:pPr>
              <w:spacing w:after="0" w:line="252" w:lineRule="auto"/>
            </w:pPr>
            <w:r>
              <w:rPr>
                <w:rFonts w:ascii="Arial" w:hAnsi="Arial" w:eastAsia="Noto Sans KR"/>
                <w:color w:val="1D2730"/>
                <w:sz w:val="17"/>
              </w:rPr>
              <w:t>identity, organization, role, MFA status</w:t>
            </w:r>
          </w:p>
        </w:tc>
      </w:tr>
      <w:tr>
        <w:trPr>
          <w:cantSplit/>
        </w:trPr>
        <w:tc>
          <w:tcPr>
            <w:tcW w:type="dxa" w:w="2500"/>
          </w:tcPr>
          <w:p>
            <w:pPr>
              <w:spacing w:after="0" w:line="252" w:lineRule="auto"/>
            </w:pPr>
            <w:r>
              <w:rPr>
                <w:rFonts w:ascii="Arial" w:hAnsi="Arial" w:eastAsia="Noto Sans KR"/>
                <w:color w:val="1D2730"/>
                <w:sz w:val="17"/>
              </w:rPr>
              <w:t>SenderIdentity</w:t>
            </w:r>
          </w:p>
        </w:tc>
        <w:tc>
          <w:tcPr>
            <w:tcW w:type="dxa" w:w="6860"/>
          </w:tcPr>
          <w:p>
            <w:pPr>
              <w:spacing w:after="0" w:line="252" w:lineRule="auto"/>
            </w:pPr>
            <w:r>
              <w:rPr>
                <w:rFonts w:ascii="Arial" w:hAnsi="Arial" w:eastAsia="Noto Sans KR"/>
                <w:color w:val="1D2730"/>
                <w:sz w:val="17"/>
              </w:rPr>
              <w:t>organization, sender value, status, evidence, partner reference</w:t>
            </w:r>
          </w:p>
        </w:tc>
      </w:tr>
      <w:tr>
        <w:trPr>
          <w:cantSplit/>
        </w:trPr>
        <w:tc>
          <w:tcPr>
            <w:tcW w:type="dxa" w:w="2500"/>
          </w:tcPr>
          <w:p>
            <w:pPr>
              <w:spacing w:after="0" w:line="252" w:lineRule="auto"/>
            </w:pPr>
            <w:r>
              <w:rPr>
                <w:rFonts w:ascii="Arial" w:hAnsi="Arial" w:eastAsia="Noto Sans KR"/>
                <w:color w:val="1D2730"/>
                <w:sz w:val="17"/>
              </w:rPr>
              <w:t>Contact / Group</w:t>
            </w:r>
          </w:p>
        </w:tc>
        <w:tc>
          <w:tcPr>
            <w:tcW w:type="dxa" w:w="6860"/>
          </w:tcPr>
          <w:p>
            <w:pPr>
              <w:spacing w:after="0" w:line="252" w:lineRule="auto"/>
            </w:pPr>
            <w:r>
              <w:rPr>
                <w:rFonts w:ascii="Arial" w:hAnsi="Arial" w:eastAsia="Noto Sans KR"/>
                <w:color w:val="1D2730"/>
                <w:sz w:val="17"/>
              </w:rPr>
              <w:t>normalized number, attributes, consent metadata, memberships</w:t>
            </w:r>
          </w:p>
        </w:tc>
      </w:tr>
      <w:tr>
        <w:trPr>
          <w:cantSplit/>
        </w:trPr>
        <w:tc>
          <w:tcPr>
            <w:tcW w:type="dxa" w:w="2500"/>
          </w:tcPr>
          <w:p>
            <w:pPr>
              <w:spacing w:after="0" w:line="252" w:lineRule="auto"/>
            </w:pPr>
            <w:r>
              <w:rPr>
                <w:rFonts w:ascii="Arial" w:hAnsi="Arial" w:eastAsia="Noto Sans KR"/>
                <w:color w:val="1D2730"/>
                <w:sz w:val="17"/>
              </w:rPr>
              <w:t>Suppression</w:t>
            </w:r>
          </w:p>
        </w:tc>
        <w:tc>
          <w:tcPr>
            <w:tcW w:type="dxa" w:w="6860"/>
          </w:tcPr>
          <w:p>
            <w:pPr>
              <w:spacing w:after="0" w:line="252" w:lineRule="auto"/>
            </w:pPr>
            <w:r>
              <w:rPr>
                <w:rFonts w:ascii="Arial" w:hAnsi="Arial" w:eastAsia="Noto Sans KR"/>
                <w:color w:val="1D2730"/>
                <w:sz w:val="17"/>
              </w:rPr>
              <w:t>normalized number, scope, reason, source, effective date</w:t>
            </w:r>
          </w:p>
        </w:tc>
      </w:tr>
      <w:tr>
        <w:trPr>
          <w:cantSplit/>
        </w:trPr>
        <w:tc>
          <w:tcPr>
            <w:tcW w:type="dxa" w:w="2500"/>
          </w:tcPr>
          <w:p>
            <w:pPr>
              <w:spacing w:after="0" w:line="252" w:lineRule="auto"/>
            </w:pPr>
            <w:r>
              <w:rPr>
                <w:rFonts w:ascii="Arial" w:hAnsi="Arial" w:eastAsia="Noto Sans KR"/>
                <w:color w:val="1D2730"/>
                <w:sz w:val="17"/>
              </w:rPr>
              <w:t>ImportJob / ImportRow</w:t>
            </w:r>
          </w:p>
        </w:tc>
        <w:tc>
          <w:tcPr>
            <w:tcW w:type="dxa" w:w="6860"/>
          </w:tcPr>
          <w:p>
            <w:pPr>
              <w:spacing w:after="0" w:line="252" w:lineRule="auto"/>
            </w:pPr>
            <w:r>
              <w:rPr>
                <w:rFonts w:ascii="Arial" w:hAnsi="Arial" w:eastAsia="Noto Sans KR"/>
                <w:color w:val="1D2730"/>
                <w:sz w:val="17"/>
              </w:rPr>
              <w:t>file reference, row status, validation reason, expiry</w:t>
            </w:r>
          </w:p>
        </w:tc>
      </w:tr>
      <w:tr>
        <w:trPr>
          <w:cantSplit/>
        </w:trPr>
        <w:tc>
          <w:tcPr>
            <w:tcW w:type="dxa" w:w="2500"/>
          </w:tcPr>
          <w:p>
            <w:pPr>
              <w:spacing w:after="0" w:line="252" w:lineRule="auto"/>
            </w:pPr>
            <w:r>
              <w:rPr>
                <w:rFonts w:ascii="Arial" w:hAnsi="Arial" w:eastAsia="Noto Sans KR"/>
                <w:color w:val="1D2730"/>
                <w:sz w:val="17"/>
              </w:rPr>
              <w:t>Template</w:t>
            </w:r>
          </w:p>
        </w:tc>
        <w:tc>
          <w:tcPr>
            <w:tcW w:type="dxa" w:w="6860"/>
          </w:tcPr>
          <w:p>
            <w:pPr>
              <w:spacing w:after="0" w:line="252" w:lineRule="auto"/>
            </w:pPr>
            <w:r>
              <w:rPr>
                <w:rFonts w:ascii="Arial" w:hAnsi="Arial" w:eastAsia="Noto Sans KR"/>
                <w:color w:val="1D2730"/>
                <w:sz w:val="17"/>
              </w:rPr>
              <w:t>organization, content, variables, version</w:t>
            </w:r>
          </w:p>
        </w:tc>
      </w:tr>
      <w:tr>
        <w:trPr>
          <w:cantSplit/>
        </w:trPr>
        <w:tc>
          <w:tcPr>
            <w:tcW w:type="dxa" w:w="2500"/>
          </w:tcPr>
          <w:p>
            <w:pPr>
              <w:spacing w:after="0" w:line="252" w:lineRule="auto"/>
            </w:pPr>
            <w:r>
              <w:rPr>
                <w:rFonts w:ascii="Arial" w:hAnsi="Arial" w:eastAsia="Noto Sans KR"/>
                <w:color w:val="1D2730"/>
                <w:sz w:val="17"/>
              </w:rPr>
              <w:t>Campaign</w:t>
            </w:r>
          </w:p>
        </w:tc>
        <w:tc>
          <w:tcPr>
            <w:tcW w:type="dxa" w:w="6860"/>
          </w:tcPr>
          <w:p>
            <w:pPr>
              <w:spacing w:after="0" w:line="252" w:lineRule="auto"/>
            </w:pPr>
            <w:r>
              <w:rPr>
                <w:rFonts w:ascii="Arial" w:hAnsi="Arial" w:eastAsia="Noto Sans KR"/>
                <w:color w:val="1D2730"/>
                <w:sz w:val="17"/>
              </w:rPr>
              <w:t>sender, content snapshot, schedule, state, creator, approver</w:t>
            </w:r>
          </w:p>
        </w:tc>
      </w:tr>
      <w:tr>
        <w:trPr>
          <w:cantSplit/>
        </w:trPr>
        <w:tc>
          <w:tcPr>
            <w:tcW w:type="dxa" w:w="2500"/>
          </w:tcPr>
          <w:p>
            <w:pPr>
              <w:spacing w:after="0" w:line="252" w:lineRule="auto"/>
            </w:pPr>
            <w:r>
              <w:rPr>
                <w:rFonts w:ascii="Arial" w:hAnsi="Arial" w:eastAsia="Noto Sans KR"/>
                <w:color w:val="1D2730"/>
                <w:sz w:val="17"/>
              </w:rPr>
              <w:t>MessageItem</w:t>
            </w:r>
          </w:p>
        </w:tc>
        <w:tc>
          <w:tcPr>
            <w:tcW w:type="dxa" w:w="6860"/>
          </w:tcPr>
          <w:p>
            <w:pPr>
              <w:spacing w:after="0" w:line="252" w:lineRule="auto"/>
            </w:pPr>
            <w:r>
              <w:rPr>
                <w:rFonts w:ascii="Arial" w:hAnsi="Arial" w:eastAsia="Noto Sans KR"/>
                <w:color w:val="1D2730"/>
                <w:sz w:val="17"/>
              </w:rPr>
              <w:t>campaign, recipient snapshot, rendered segment count, status, partner reference</w:t>
            </w:r>
          </w:p>
        </w:tc>
      </w:tr>
      <w:tr>
        <w:trPr>
          <w:cantSplit/>
        </w:trPr>
        <w:tc>
          <w:tcPr>
            <w:tcW w:type="dxa" w:w="2500"/>
          </w:tcPr>
          <w:p>
            <w:pPr>
              <w:spacing w:after="0" w:line="252" w:lineRule="auto"/>
            </w:pPr>
            <w:r>
              <w:rPr>
                <w:rFonts w:ascii="Arial" w:hAnsi="Arial" w:eastAsia="Noto Sans KR"/>
                <w:color w:val="1D2730"/>
                <w:sz w:val="17"/>
              </w:rPr>
              <w:t>CreditLedger</w:t>
            </w:r>
          </w:p>
        </w:tc>
        <w:tc>
          <w:tcPr>
            <w:tcW w:type="dxa" w:w="6860"/>
          </w:tcPr>
          <w:p>
            <w:pPr>
              <w:spacing w:after="0" w:line="252" w:lineRule="auto"/>
            </w:pPr>
            <w:r>
              <w:rPr>
                <w:rFonts w:ascii="Arial" w:hAnsi="Arial" w:eastAsia="Noto Sans KR"/>
                <w:color w:val="1D2730"/>
                <w:sz w:val="17"/>
              </w:rPr>
              <w:t>organization, type, amount, balance-after, reference, idempotency key</w:t>
            </w:r>
          </w:p>
        </w:tc>
      </w:tr>
      <w:tr>
        <w:trPr>
          <w:cantSplit/>
        </w:trPr>
        <w:tc>
          <w:tcPr>
            <w:tcW w:type="dxa" w:w="2500"/>
          </w:tcPr>
          <w:p>
            <w:pPr>
              <w:spacing w:after="0" w:line="252" w:lineRule="auto"/>
            </w:pPr>
            <w:r>
              <w:rPr>
                <w:rFonts w:ascii="Arial" w:hAnsi="Arial" w:eastAsia="Noto Sans KR"/>
                <w:color w:val="1D2730"/>
                <w:sz w:val="17"/>
              </w:rPr>
              <w:t>BulkInquiry</w:t>
            </w:r>
          </w:p>
        </w:tc>
        <w:tc>
          <w:tcPr>
            <w:tcW w:type="dxa" w:w="6860"/>
          </w:tcPr>
          <w:p>
            <w:pPr>
              <w:spacing w:after="0" w:line="252" w:lineRule="auto"/>
            </w:pPr>
            <w:r>
              <w:rPr>
                <w:rFonts w:ascii="Arial" w:hAnsi="Arial" w:eastAsia="Noto Sans KR"/>
                <w:color w:val="1D2730"/>
                <w:sz w:val="17"/>
              </w:rPr>
              <w:t>company, contact, volume, purpose, status, owner</w:t>
            </w:r>
          </w:p>
        </w:tc>
      </w:tr>
      <w:tr>
        <w:trPr>
          <w:cantSplit/>
        </w:trPr>
        <w:tc>
          <w:tcPr>
            <w:tcW w:type="dxa" w:w="2500"/>
          </w:tcPr>
          <w:p>
            <w:pPr>
              <w:spacing w:after="0" w:line="252" w:lineRule="auto"/>
            </w:pPr>
            <w:r>
              <w:rPr>
                <w:rFonts w:ascii="Arial" w:hAnsi="Arial" w:eastAsia="Noto Sans KR"/>
                <w:color w:val="1D2730"/>
                <w:sz w:val="17"/>
              </w:rPr>
              <w:t>AuditEvent</w:t>
            </w:r>
          </w:p>
        </w:tc>
        <w:tc>
          <w:tcPr>
            <w:tcW w:type="dxa" w:w="6860"/>
          </w:tcPr>
          <w:p>
            <w:pPr>
              <w:spacing w:after="0" w:line="252" w:lineRule="auto"/>
            </w:pPr>
            <w:r>
              <w:rPr>
                <w:rFonts w:ascii="Arial" w:hAnsi="Arial" w:eastAsia="Noto Sans KR"/>
                <w:color w:val="1D2730"/>
                <w:sz w:val="17"/>
              </w:rPr>
              <w:t>actor, action, object, timestamp, IP/device metadata, safe diff</w:t>
            </w:r>
          </w:p>
        </w:tc>
      </w:tr>
    </w:tbl>
    <w:p>
      <w:pPr>
        <w:spacing w:after="20"/>
      </w:pPr>
    </w:p>
    <w:p>
      <w:pPr>
        <w:pStyle w:val="Heading1"/>
      </w:pPr>
      <w:r>
        <w:t>Security and privacy requirements</w:t>
      </w:r>
    </w:p>
    <w:tbl>
      <w:tblPr>
        <w:tblStyle w:val="TableGrid"/>
        <w:tblW w:type="dxa" w:w="9360"/>
        <w:jc w:val="left"/>
        <w:tblLayout w:type="fixed"/>
        <w:tblLook w:firstColumn="1" w:firstRow="1" w:lastColumn="0" w:lastRow="0" w:noHBand="0" w:noVBand="1" w:val="04A0"/>
        <w:tblInd w:w="120" w:type="dxa"/>
      </w:tblPr>
      <w:tblGrid>
        <w:gridCol w:w="1400"/>
        <w:gridCol w:w="7960"/>
      </w:tblGrid>
      <w:tr>
        <w:trPr>
          <w:tblHeader w:val="true"/>
        </w:trPr>
        <w:tc>
          <w:tcPr>
            <w:tcW w:type="dxa" w:w="1400"/>
            <w:tcMar>
              <w:top w:w="80" w:type="dxa"/>
              <w:start w:w="120" w:type="dxa"/>
              <w:bottom w:w="80" w:type="dxa"/>
              <w:end w:w="120" w:type="dxa"/>
            </w:tcMar>
            <w:shd w:fill="EAF3F8"/>
            <w:vAlign w:val="center"/>
          </w:tcPr>
          <w:p>
            <w:pPr>
              <w:spacing w:after="0"/>
            </w:pPr>
            <w:r>
              <w:rPr>
                <w:rFonts w:ascii="Arial" w:hAnsi="Arial" w:eastAsia="Noto Sans KR"/>
                <w:b/>
                <w:color w:val="183B56"/>
                <w:sz w:val="18"/>
              </w:rPr>
              <w:t>ID</w:t>
            </w:r>
          </w:p>
        </w:tc>
        <w:tc>
          <w:tcPr>
            <w:tcW w:type="dxa" w:w="7960"/>
            <w:tcMar>
              <w:top w:w="80" w:type="dxa"/>
              <w:start w:w="120" w:type="dxa"/>
              <w:bottom w:w="80" w:type="dxa"/>
              <w:end w:w="120" w:type="dxa"/>
            </w:tcMar>
            <w:shd w:fill="EAF3F8"/>
            <w:vAlign w:val="center"/>
          </w:tcPr>
          <w:p>
            <w:pPr>
              <w:spacing w:after="0"/>
            </w:pPr>
            <w:r>
              <w:rPr>
                <w:rFonts w:ascii="Arial" w:hAnsi="Arial" w:eastAsia="Noto Sans KR"/>
                <w:b/>
                <w:color w:val="183B56"/>
                <w:sz w:val="18"/>
              </w:rPr>
              <w:t>Requirement</w:t>
            </w:r>
          </w:p>
        </w:tc>
      </w:tr>
      <w:tr>
        <w:trPr>
          <w:cantSplit/>
        </w:trPr>
        <w:tc>
          <w:tcPr>
            <w:tcW w:type="dxa" w:w="1400"/>
          </w:tcPr>
          <w:p>
            <w:pPr>
              <w:spacing w:after="0" w:line="252" w:lineRule="auto"/>
            </w:pPr>
            <w:r>
              <w:rPr>
                <w:rFonts w:ascii="Arial" w:hAnsi="Arial" w:eastAsia="Noto Sans KR"/>
                <w:color w:val="1D2730"/>
                <w:sz w:val="16"/>
              </w:rPr>
              <w:t>SEC-01</w:t>
            </w:r>
          </w:p>
        </w:tc>
        <w:tc>
          <w:tcPr>
            <w:tcW w:type="dxa" w:w="7960"/>
          </w:tcPr>
          <w:p>
            <w:pPr>
              <w:spacing w:after="0" w:line="252" w:lineRule="auto"/>
            </w:pPr>
            <w:r>
              <w:rPr>
                <w:rFonts w:ascii="Arial" w:hAnsi="Arial" w:eastAsia="Noto Sans KR"/>
                <w:color w:val="1D2730"/>
                <w:sz w:val="17"/>
              </w:rPr>
              <w:t>TLS for all traffic; encryption at rest for databases, objects, backups and secret stores.</w:t>
            </w:r>
          </w:p>
        </w:tc>
      </w:tr>
      <w:tr>
        <w:trPr>
          <w:cantSplit/>
        </w:trPr>
        <w:tc>
          <w:tcPr>
            <w:tcW w:type="dxa" w:w="1400"/>
          </w:tcPr>
          <w:p>
            <w:pPr>
              <w:spacing w:after="0" w:line="252" w:lineRule="auto"/>
            </w:pPr>
            <w:r>
              <w:rPr>
                <w:rFonts w:ascii="Arial" w:hAnsi="Arial" w:eastAsia="Noto Sans KR"/>
                <w:color w:val="1D2730"/>
                <w:sz w:val="16"/>
              </w:rPr>
              <w:t>SEC-02</w:t>
            </w:r>
          </w:p>
        </w:tc>
        <w:tc>
          <w:tcPr>
            <w:tcW w:type="dxa" w:w="7960"/>
          </w:tcPr>
          <w:p>
            <w:pPr>
              <w:spacing w:after="0" w:line="252" w:lineRule="auto"/>
            </w:pPr>
            <w:r>
              <w:rPr>
                <w:rFonts w:ascii="Arial" w:hAnsi="Arial" w:eastAsia="Noto Sans KR"/>
                <w:color w:val="1D2730"/>
                <w:sz w:val="17"/>
              </w:rPr>
              <w:t>Tenant isolation must be enforced at the server/data-access layer, not only in the UI.</w:t>
            </w:r>
          </w:p>
        </w:tc>
      </w:tr>
      <w:tr>
        <w:trPr>
          <w:cantSplit/>
        </w:trPr>
        <w:tc>
          <w:tcPr>
            <w:tcW w:type="dxa" w:w="1400"/>
          </w:tcPr>
          <w:p>
            <w:pPr>
              <w:spacing w:after="0" w:line="252" w:lineRule="auto"/>
            </w:pPr>
            <w:r>
              <w:rPr>
                <w:rFonts w:ascii="Arial" w:hAnsi="Arial" w:eastAsia="Noto Sans KR"/>
                <w:color w:val="1D2730"/>
                <w:sz w:val="16"/>
              </w:rPr>
              <w:t>SEC-03</w:t>
            </w:r>
          </w:p>
        </w:tc>
        <w:tc>
          <w:tcPr>
            <w:tcW w:type="dxa" w:w="7960"/>
          </w:tcPr>
          <w:p>
            <w:pPr>
              <w:spacing w:after="0" w:line="252" w:lineRule="auto"/>
            </w:pPr>
            <w:r>
              <w:rPr>
                <w:rFonts w:ascii="Arial" w:hAnsi="Arial" w:eastAsia="Noto Sans KR"/>
                <w:color w:val="1D2730"/>
                <w:sz w:val="17"/>
              </w:rPr>
              <w:t>Mask phone numbers by default; restrict reveal/export; log every sensitive export.</w:t>
            </w:r>
          </w:p>
        </w:tc>
      </w:tr>
      <w:tr>
        <w:trPr>
          <w:cantSplit/>
        </w:trPr>
        <w:tc>
          <w:tcPr>
            <w:tcW w:type="dxa" w:w="1400"/>
          </w:tcPr>
          <w:p>
            <w:pPr>
              <w:spacing w:after="0" w:line="252" w:lineRule="auto"/>
            </w:pPr>
            <w:r>
              <w:rPr>
                <w:rFonts w:ascii="Arial" w:hAnsi="Arial" w:eastAsia="Noto Sans KR"/>
                <w:color w:val="1D2730"/>
                <w:sz w:val="16"/>
              </w:rPr>
              <w:t>SEC-04</w:t>
            </w:r>
          </w:p>
        </w:tc>
        <w:tc>
          <w:tcPr>
            <w:tcW w:type="dxa" w:w="7960"/>
          </w:tcPr>
          <w:p>
            <w:pPr>
              <w:spacing w:after="0" w:line="252" w:lineRule="auto"/>
            </w:pPr>
            <w:r>
              <w:rPr>
                <w:rFonts w:ascii="Arial" w:hAnsi="Arial" w:eastAsia="Noto Sans KR"/>
                <w:color w:val="1D2730"/>
                <w:sz w:val="17"/>
              </w:rPr>
              <w:t>Mandatory MFA for platform administrators; strong session, password and recovery controls.</w:t>
            </w:r>
          </w:p>
        </w:tc>
      </w:tr>
      <w:tr>
        <w:trPr>
          <w:cantSplit/>
        </w:trPr>
        <w:tc>
          <w:tcPr>
            <w:tcW w:type="dxa" w:w="1400"/>
          </w:tcPr>
          <w:p>
            <w:pPr>
              <w:spacing w:after="0" w:line="252" w:lineRule="auto"/>
            </w:pPr>
            <w:r>
              <w:rPr>
                <w:rFonts w:ascii="Arial" w:hAnsi="Arial" w:eastAsia="Noto Sans KR"/>
                <w:color w:val="1D2730"/>
                <w:sz w:val="16"/>
              </w:rPr>
              <w:t>SEC-05</w:t>
            </w:r>
          </w:p>
        </w:tc>
        <w:tc>
          <w:tcPr>
            <w:tcW w:type="dxa" w:w="7960"/>
          </w:tcPr>
          <w:p>
            <w:pPr>
              <w:spacing w:after="0" w:line="252" w:lineRule="auto"/>
            </w:pPr>
            <w:r>
              <w:rPr>
                <w:rFonts w:ascii="Arial" w:hAnsi="Arial" w:eastAsia="Noto Sans KR"/>
                <w:color w:val="1D2730"/>
                <w:sz w:val="17"/>
              </w:rPr>
              <w:t>CSRF, XSS, injection, SSRF, insecure upload, CSV injection and broken access-control protections.</w:t>
            </w:r>
          </w:p>
        </w:tc>
      </w:tr>
      <w:tr>
        <w:trPr>
          <w:cantSplit/>
        </w:trPr>
        <w:tc>
          <w:tcPr>
            <w:tcW w:type="dxa" w:w="1400"/>
          </w:tcPr>
          <w:p>
            <w:pPr>
              <w:spacing w:after="0" w:line="252" w:lineRule="auto"/>
            </w:pPr>
            <w:r>
              <w:rPr>
                <w:rFonts w:ascii="Arial" w:hAnsi="Arial" w:eastAsia="Noto Sans KR"/>
                <w:color w:val="1D2730"/>
                <w:sz w:val="16"/>
              </w:rPr>
              <w:t>SEC-06</w:t>
            </w:r>
          </w:p>
        </w:tc>
        <w:tc>
          <w:tcPr>
            <w:tcW w:type="dxa" w:w="7960"/>
          </w:tcPr>
          <w:p>
            <w:pPr>
              <w:spacing w:after="0" w:line="252" w:lineRule="auto"/>
            </w:pPr>
            <w:r>
              <w:rPr>
                <w:rFonts w:ascii="Arial" w:hAnsi="Arial" w:eastAsia="Noto Sans KR"/>
                <w:color w:val="1D2730"/>
                <w:sz w:val="17"/>
              </w:rPr>
              <w:t>Rate limits for login, upload, preview, test send, dispatch and export.</w:t>
            </w:r>
          </w:p>
        </w:tc>
      </w:tr>
      <w:tr>
        <w:trPr>
          <w:cantSplit/>
        </w:trPr>
        <w:tc>
          <w:tcPr>
            <w:tcW w:type="dxa" w:w="1400"/>
          </w:tcPr>
          <w:p>
            <w:pPr>
              <w:spacing w:after="0" w:line="252" w:lineRule="auto"/>
            </w:pPr>
            <w:r>
              <w:rPr>
                <w:rFonts w:ascii="Arial" w:hAnsi="Arial" w:eastAsia="Noto Sans KR"/>
                <w:color w:val="1D2730"/>
                <w:sz w:val="16"/>
              </w:rPr>
              <w:t>SEC-07</w:t>
            </w:r>
          </w:p>
        </w:tc>
        <w:tc>
          <w:tcPr>
            <w:tcW w:type="dxa" w:w="7960"/>
          </w:tcPr>
          <w:p>
            <w:pPr>
              <w:spacing w:after="0" w:line="252" w:lineRule="auto"/>
            </w:pPr>
            <w:r>
              <w:rPr>
                <w:rFonts w:ascii="Arial" w:hAnsi="Arial" w:eastAsia="Noto Sans KR"/>
                <w:color w:val="1D2730"/>
                <w:sz w:val="17"/>
              </w:rPr>
              <w:t>Secrets are stored outside source control and separated by environment.</w:t>
            </w:r>
          </w:p>
        </w:tc>
      </w:tr>
      <w:tr>
        <w:trPr>
          <w:cantSplit/>
        </w:trPr>
        <w:tc>
          <w:tcPr>
            <w:tcW w:type="dxa" w:w="1400"/>
          </w:tcPr>
          <w:p>
            <w:pPr>
              <w:spacing w:after="0" w:line="252" w:lineRule="auto"/>
            </w:pPr>
            <w:r>
              <w:rPr>
                <w:rFonts w:ascii="Arial" w:hAnsi="Arial" w:eastAsia="Noto Sans KR"/>
                <w:color w:val="1D2730"/>
                <w:sz w:val="16"/>
              </w:rPr>
              <w:t>SEC-08</w:t>
            </w:r>
          </w:p>
        </w:tc>
        <w:tc>
          <w:tcPr>
            <w:tcW w:type="dxa" w:w="7960"/>
          </w:tcPr>
          <w:p>
            <w:pPr>
              <w:spacing w:after="0" w:line="252" w:lineRule="auto"/>
            </w:pPr>
            <w:r>
              <w:rPr>
                <w:rFonts w:ascii="Arial" w:hAnsi="Arial" w:eastAsia="Noto Sans KR"/>
                <w:color w:val="1D2730"/>
                <w:sz w:val="17"/>
              </w:rPr>
              <w:t>Configurable retention and deletion jobs for uploads, contacts, message detail, logs and backups.</w:t>
            </w:r>
          </w:p>
        </w:tc>
      </w:tr>
      <w:tr>
        <w:trPr>
          <w:cantSplit/>
        </w:trPr>
        <w:tc>
          <w:tcPr>
            <w:tcW w:type="dxa" w:w="1400"/>
          </w:tcPr>
          <w:p>
            <w:pPr>
              <w:spacing w:after="0" w:line="252" w:lineRule="auto"/>
            </w:pPr>
            <w:r>
              <w:rPr>
                <w:rFonts w:ascii="Arial" w:hAnsi="Arial" w:eastAsia="Noto Sans KR"/>
                <w:color w:val="1D2730"/>
                <w:sz w:val="16"/>
              </w:rPr>
              <w:t>SEC-09</w:t>
            </w:r>
          </w:p>
        </w:tc>
        <w:tc>
          <w:tcPr>
            <w:tcW w:type="dxa" w:w="7960"/>
          </w:tcPr>
          <w:p>
            <w:pPr>
              <w:spacing w:after="0" w:line="252" w:lineRule="auto"/>
            </w:pPr>
            <w:r>
              <w:rPr>
                <w:rFonts w:ascii="Arial" w:hAnsi="Arial" w:eastAsia="Noto Sans KR"/>
                <w:color w:val="1D2730"/>
                <w:sz w:val="17"/>
              </w:rPr>
              <w:t>Audit trail for authentication, verification, credit changes, sends, exports, suppression and admin actions.</w:t>
            </w:r>
          </w:p>
        </w:tc>
      </w:tr>
      <w:tr>
        <w:trPr>
          <w:cantSplit/>
        </w:trPr>
        <w:tc>
          <w:tcPr>
            <w:tcW w:type="dxa" w:w="1400"/>
          </w:tcPr>
          <w:p>
            <w:pPr>
              <w:spacing w:after="0" w:line="252" w:lineRule="auto"/>
            </w:pPr>
            <w:r>
              <w:rPr>
                <w:rFonts w:ascii="Arial" w:hAnsi="Arial" w:eastAsia="Noto Sans KR"/>
                <w:color w:val="1D2730"/>
                <w:sz w:val="16"/>
              </w:rPr>
              <w:t>SEC-10</w:t>
            </w:r>
          </w:p>
        </w:tc>
        <w:tc>
          <w:tcPr>
            <w:tcW w:type="dxa" w:w="7960"/>
          </w:tcPr>
          <w:p>
            <w:pPr>
              <w:spacing w:after="0" w:line="252" w:lineRule="auto"/>
            </w:pPr>
            <w:r>
              <w:rPr>
                <w:rFonts w:ascii="Arial" w:hAnsi="Arial" w:eastAsia="Noto Sans KR"/>
                <w:color w:val="1D2730"/>
                <w:sz w:val="17"/>
              </w:rPr>
              <w:t>Documented incident response, account suspension, credential rotation, backup and restore procedure.</w:t>
            </w:r>
          </w:p>
        </w:tc>
      </w:tr>
    </w:tbl>
    <w:p>
      <w:pPr>
        <w:spacing w:after="20"/>
      </w:pPr>
    </w:p>
    <w:p>
      <w:pPr>
        <w:pStyle w:val="Heading1"/>
      </w:pPr>
      <w:r>
        <w:t>Non-functional requirements</w:t>
      </w:r>
    </w:p>
    <w:p>
      <w:pPr>
        <w:numPr>
          <w:ilvl w:val="0"/>
          <w:numId w:val="10"/>
        </w:numPr>
      </w:pPr>
      <w:r>
        <w:rPr>
          <w:rFonts w:ascii="Arial" w:hAnsi="Arial" w:eastAsia="Noto Sans KR"/>
          <w:b/>
          <w:color w:val="183B56"/>
        </w:rPr>
        <w:t xml:space="preserve">Time zone — </w:t>
      </w:r>
      <w:r>
        <w:rPr>
          <w:rFonts w:ascii="Arial" w:hAnsi="Arial" w:eastAsia="Noto Sans KR"/>
          <w:color w:val="1D2730"/>
        </w:rPr>
        <w:t>Store timestamps in UTC; display campaign scheduling in Asia/Manila with explicit label.</w:t>
      </w:r>
    </w:p>
    <w:p>
      <w:pPr>
        <w:numPr>
          <w:ilvl w:val="0"/>
          <w:numId w:val="10"/>
        </w:numPr>
      </w:pPr>
      <w:r>
        <w:rPr>
          <w:rFonts w:ascii="Arial" w:hAnsi="Arial" w:eastAsia="Noto Sans KR"/>
          <w:b/>
          <w:color w:val="183B56"/>
        </w:rPr>
        <w:t xml:space="preserve">Reliability — </w:t>
      </w:r>
      <w:r>
        <w:rPr>
          <w:rFonts w:ascii="Arial" w:hAnsi="Arial" w:eastAsia="Noto Sans KR"/>
          <w:color w:val="1D2730"/>
        </w:rPr>
        <w:t>Web requests create durable jobs; workers process asynchronously; queues survive restarts.</w:t>
      </w:r>
    </w:p>
    <w:p>
      <w:pPr>
        <w:numPr>
          <w:ilvl w:val="0"/>
          <w:numId w:val="10"/>
        </w:numPr>
      </w:pPr>
      <w:r>
        <w:rPr>
          <w:rFonts w:ascii="Arial" w:hAnsi="Arial" w:eastAsia="Noto Sans KR"/>
          <w:b/>
          <w:color w:val="183B56"/>
        </w:rPr>
        <w:t xml:space="preserve">Performance — </w:t>
      </w:r>
      <w:r>
        <w:rPr>
          <w:rFonts w:ascii="Arial" w:hAnsi="Arial" w:eastAsia="Noto Sans KR"/>
          <w:color w:val="1D2730"/>
        </w:rPr>
        <w:t>Validation and preview must remain responsive for the approved MVP file size and row limit.</w:t>
      </w:r>
    </w:p>
    <w:p>
      <w:pPr>
        <w:numPr>
          <w:ilvl w:val="0"/>
          <w:numId w:val="10"/>
        </w:numPr>
      </w:pPr>
      <w:r>
        <w:rPr>
          <w:rFonts w:ascii="Arial" w:hAnsi="Arial" w:eastAsia="Noto Sans KR"/>
          <w:b/>
          <w:color w:val="183B56"/>
        </w:rPr>
        <w:t xml:space="preserve">Accessibility — </w:t>
      </w:r>
      <w:r>
        <w:rPr>
          <w:rFonts w:ascii="Arial" w:hAnsi="Arial" w:eastAsia="Noto Sans KR"/>
          <w:color w:val="1D2730"/>
        </w:rPr>
        <w:t>Keyboard-operable forms, visible focus, labeled controls, readable contrast and meaningful errors.</w:t>
      </w:r>
    </w:p>
    <w:p>
      <w:pPr>
        <w:numPr>
          <w:ilvl w:val="0"/>
          <w:numId w:val="10"/>
        </w:numPr>
      </w:pPr>
      <w:r>
        <w:rPr>
          <w:rFonts w:ascii="Arial" w:hAnsi="Arial" w:eastAsia="Noto Sans KR"/>
          <w:b/>
          <w:color w:val="183B56"/>
        </w:rPr>
        <w:t xml:space="preserve">Responsiveness — </w:t>
      </w:r>
      <w:r>
        <w:rPr>
          <w:rFonts w:ascii="Arial" w:hAnsi="Arial" w:eastAsia="Noto Sans KR"/>
          <w:color w:val="1D2730"/>
        </w:rPr>
        <w:t>Desktop-first customer/admin consoles; supported mobile view for monitoring and simple sends.</w:t>
      </w:r>
    </w:p>
    <w:p>
      <w:pPr>
        <w:numPr>
          <w:ilvl w:val="0"/>
          <w:numId w:val="10"/>
        </w:numPr>
      </w:pPr>
      <w:r>
        <w:rPr>
          <w:rFonts w:ascii="Arial" w:hAnsi="Arial" w:eastAsia="Noto Sans KR"/>
          <w:b/>
          <w:color w:val="183B56"/>
        </w:rPr>
        <w:t xml:space="preserve">Localization — </w:t>
      </w:r>
      <w:r>
        <w:rPr>
          <w:rFonts w:ascii="Arial" w:hAnsi="Arial" w:eastAsia="Noto Sans KR"/>
          <w:color w:val="1D2730"/>
        </w:rPr>
        <w:t>English first; architecture must permit Korean and other locale files without hard-coded UI text.</w:t>
      </w:r>
    </w:p>
    <w:p>
      <w:pPr>
        <w:numPr>
          <w:ilvl w:val="0"/>
          <w:numId w:val="10"/>
        </w:numPr>
      </w:pPr>
      <w:r>
        <w:rPr>
          <w:rFonts w:ascii="Arial" w:hAnsi="Arial" w:eastAsia="Noto Sans KR"/>
          <w:b/>
          <w:color w:val="183B56"/>
        </w:rPr>
        <w:t xml:space="preserve">Configuration — </w:t>
      </w:r>
      <w:r>
        <w:rPr>
          <w:rFonts w:ascii="Arial" w:hAnsi="Arial" w:eastAsia="Noto Sans KR"/>
          <w:color w:val="1D2730"/>
        </w:rPr>
        <w:t>Thresholds, packages, limits, retention, blocked patterns and notification templates are environment/admin controlled.</w:t>
      </w:r>
    </w:p>
    <w:p>
      <w:pPr>
        <w:pStyle w:val="Heading1"/>
      </w:pPr>
      <w:r>
        <w:t>Recommended architecture constraints</w:t>
      </w:r>
    </w:p>
    <w:p>
      <w:pPr>
        <w:numPr>
          <w:ilvl w:val="0"/>
          <w:numId w:val="10"/>
        </w:numPr>
      </w:pPr>
      <w:r>
        <w:rPr>
          <w:rFonts w:ascii="Arial" w:hAnsi="Arial" w:eastAsia="Noto Sans KR"/>
          <w:color w:val="1D2730"/>
        </w:rPr>
        <w:t>Separate web application, API service, background worker/queue, relational database, encrypted object storage, monitoring and secret management.</w:t>
      </w:r>
    </w:p>
    <w:p>
      <w:pPr>
        <w:numPr>
          <w:ilvl w:val="0"/>
          <w:numId w:val="10"/>
        </w:numPr>
      </w:pPr>
      <w:r>
        <w:rPr>
          <w:rFonts w:ascii="Arial" w:hAnsi="Arial" w:eastAsia="Noto Sans KR"/>
          <w:color w:val="1D2730"/>
        </w:rPr>
        <w:t>Use a provider-adapter interface to isolate partner-specific code.</w:t>
      </w:r>
    </w:p>
    <w:p>
      <w:pPr>
        <w:numPr>
          <w:ilvl w:val="0"/>
          <w:numId w:val="10"/>
        </w:numPr>
      </w:pPr>
      <w:r>
        <w:rPr>
          <w:rFonts w:ascii="Arial" w:hAnsi="Arial" w:eastAsia="Noto Sans KR"/>
          <w:color w:val="1D2730"/>
        </w:rPr>
        <w:t>Keep development, staging and production databases, credentials, storage and environment variables fully separate.</w:t>
      </w:r>
    </w:p>
    <w:p>
      <w:pPr>
        <w:numPr>
          <w:ilvl w:val="0"/>
          <w:numId w:val="10"/>
        </w:numPr>
      </w:pPr>
      <w:r>
        <w:rPr>
          <w:rFonts w:ascii="Arial" w:hAnsi="Arial" w:eastAsia="Noto Sans KR"/>
          <w:color w:val="1D2730"/>
        </w:rPr>
        <w:t>Use migrations with rollback planning; never make uncontrolled production schema edits.</w:t>
      </w:r>
    </w:p>
    <w:p>
      <w:pPr>
        <w:numPr>
          <w:ilvl w:val="0"/>
          <w:numId w:val="10"/>
        </w:numPr>
      </w:pPr>
      <w:r>
        <w:rPr>
          <w:rFonts w:ascii="Arial" w:hAnsi="Arial" w:eastAsia="Noto Sans KR"/>
          <w:color w:val="1D2730"/>
        </w:rPr>
        <w:t>All dispatch, credit and webhook operations require idempotency and correlation IDs.</w:t>
      </w:r>
    </w:p>
    <w:p>
      <w:pPr>
        <w:numPr>
          <w:ilvl w:val="0"/>
          <w:numId w:val="10"/>
        </w:numPr>
      </w:pPr>
      <w:r>
        <w:rPr>
          <w:rFonts w:ascii="Arial" w:hAnsi="Arial" w:eastAsia="Noto Sans KR"/>
          <w:color w:val="1D2730"/>
        </w:rPr>
        <w:t>Infrastructure choice remains open, but the developer must document setup, deployment, backup, restore and rollback.</w:t>
      </w:r>
    </w:p>
    <w:p>
      <w:pPr>
        <w:pStyle w:val="Heading1"/>
      </w:pPr>
      <w:r>
        <w:t>Key UI states and error handling</w:t>
      </w:r>
    </w:p>
    <w:p>
      <w:pPr>
        <w:numPr>
          <w:ilvl w:val="0"/>
          <w:numId w:val="10"/>
        </w:numPr>
      </w:pPr>
      <w:r>
        <w:rPr>
          <w:rFonts w:ascii="Arial" w:hAnsi="Arial" w:eastAsia="Noto Sans KR"/>
          <w:color w:val="1D2730"/>
        </w:rPr>
        <w:t>Empty, loading, success, partial, validation-error, permission-denied, insufficient-credit, suspended-account, partner-unavailable and unexpected-error states must be designed.</w:t>
      </w:r>
    </w:p>
    <w:p>
      <w:pPr>
        <w:numPr>
          <w:ilvl w:val="0"/>
          <w:numId w:val="10"/>
        </w:numPr>
      </w:pPr>
      <w:r>
        <w:rPr>
          <w:rFonts w:ascii="Arial" w:hAnsi="Arial" w:eastAsia="Noto Sans KR"/>
          <w:color w:val="1D2730"/>
        </w:rPr>
        <w:t>Before irreversible sending, use a final confirmation with cost and recipient count; after submission, disable duplicate action and show progress.</w:t>
      </w:r>
    </w:p>
    <w:p>
      <w:pPr>
        <w:numPr>
          <w:ilvl w:val="0"/>
          <w:numId w:val="10"/>
        </w:numPr>
      </w:pPr>
      <w:r>
        <w:rPr>
          <w:rFonts w:ascii="Arial" w:hAnsi="Arial" w:eastAsia="Noto Sans KR"/>
          <w:color w:val="1D2730"/>
        </w:rPr>
        <w:t>If partner service is unavailable, preserve the job safely and display a truthful status. Do not mark as sent without partner acceptance.</w:t>
      </w:r>
    </w:p>
    <w:p>
      <w:pPr>
        <w:numPr>
          <w:ilvl w:val="0"/>
          <w:numId w:val="10"/>
        </w:numPr>
      </w:pPr>
      <w:r>
        <w:rPr>
          <w:rFonts w:ascii="Arial" w:hAnsi="Arial" w:eastAsia="Noto Sans KR"/>
          <w:color w:val="1D2730"/>
        </w:rPr>
        <w:t>Scheduled jobs can be cancelled only before the configured irreversible state.</w:t>
      </w:r>
    </w:p>
    <w:p>
      <w:pPr>
        <w:numPr>
          <w:ilvl w:val="0"/>
          <w:numId w:val="10"/>
        </w:numPr>
      </w:pPr>
      <w:r>
        <w:rPr>
          <w:rFonts w:ascii="Arial" w:hAnsi="Arial" w:eastAsia="Noto Sans KR"/>
          <w:color w:val="1D2730"/>
        </w:rPr>
        <w:t>All user-facing errors require a human-readable action and a support reference ID.</w:t>
      </w:r>
    </w:p>
    <w:p>
      <w:pPr>
        <w:pStyle w:val="Heading1"/>
      </w:pPr>
      <w:r>
        <w:t>QA and acceptance criteria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EAF3F8"/>
            <w:vAlign w:val="center"/>
          </w:tcPr>
          <w:p>
            <w:pPr>
              <w:spacing w:after="0"/>
            </w:pPr>
            <w:r>
              <w:rPr>
                <w:rFonts w:ascii="Arial" w:hAnsi="Arial" w:eastAsia="Noto Sans KR"/>
                <w:b/>
                <w:color w:val="183B56"/>
                <w:sz w:val="18"/>
              </w:rPr>
              <w:t>Test area</w:t>
            </w:r>
          </w:p>
        </w:tc>
        <w:tc>
          <w:tcPr>
            <w:tcW w:type="dxa" w:w="7160"/>
            <w:tcMar>
              <w:top w:w="80" w:type="dxa"/>
              <w:start w:w="120" w:type="dxa"/>
              <w:bottom w:w="80" w:type="dxa"/>
              <w:end w:w="120" w:type="dxa"/>
            </w:tcMar>
            <w:shd w:fill="EAF3F8"/>
            <w:vAlign w:val="center"/>
          </w:tcPr>
          <w:p>
            <w:pPr>
              <w:spacing w:after="0"/>
            </w:pPr>
            <w:r>
              <w:rPr>
                <w:rFonts w:ascii="Arial" w:hAnsi="Arial" w:eastAsia="Noto Sans KR"/>
                <w:b/>
                <w:color w:val="183B56"/>
                <w:sz w:val="18"/>
              </w:rPr>
              <w:t>Minimum acceptance tests</w:t>
            </w:r>
          </w:p>
        </w:tc>
      </w:tr>
      <w:tr>
        <w:trPr>
          <w:cantSplit/>
        </w:trPr>
        <w:tc>
          <w:tcPr>
            <w:tcW w:type="dxa" w:w="2200"/>
          </w:tcPr>
          <w:p>
            <w:pPr>
              <w:spacing w:after="0" w:line="252" w:lineRule="auto"/>
            </w:pPr>
            <w:r>
              <w:rPr>
                <w:rFonts w:ascii="Arial" w:hAnsi="Arial" w:eastAsia="Noto Sans KR"/>
                <w:color w:val="1D2730"/>
                <w:sz w:val="16"/>
              </w:rPr>
              <w:t>Number handling</w:t>
            </w:r>
          </w:p>
        </w:tc>
        <w:tc>
          <w:tcPr>
            <w:tcW w:type="dxa" w:w="7160"/>
          </w:tcPr>
          <w:p>
            <w:pPr>
              <w:spacing w:after="0" w:line="252" w:lineRule="auto"/>
            </w:pPr>
            <w:r>
              <w:rPr>
                <w:rFonts w:ascii="Arial" w:hAnsi="Arial" w:eastAsia="Noto Sans KR"/>
                <w:color w:val="1D2730"/>
                <w:sz w:val="16"/>
              </w:rPr>
              <w:t>All supported PH formats normalize correctly; foreign, malformed, duplicate and suppressed numbers are excluded.</w:t>
            </w:r>
          </w:p>
        </w:tc>
      </w:tr>
      <w:tr>
        <w:trPr>
          <w:cantSplit/>
        </w:trPr>
        <w:tc>
          <w:tcPr>
            <w:tcW w:type="dxa" w:w="2200"/>
          </w:tcPr>
          <w:p>
            <w:pPr>
              <w:spacing w:after="0" w:line="252" w:lineRule="auto"/>
            </w:pPr>
            <w:r>
              <w:rPr>
                <w:rFonts w:ascii="Arial" w:hAnsi="Arial" w:eastAsia="Noto Sans KR"/>
                <w:color w:val="1D2730"/>
                <w:sz w:val="16"/>
              </w:rPr>
              <w:t>CSV</w:t>
            </w:r>
          </w:p>
        </w:tc>
        <w:tc>
          <w:tcPr>
            <w:tcW w:type="dxa" w:w="7160"/>
          </w:tcPr>
          <w:p>
            <w:pPr>
              <w:spacing w:after="0" w:line="252" w:lineRule="auto"/>
            </w:pPr>
            <w:r>
              <w:rPr>
                <w:rFonts w:ascii="Arial" w:hAnsi="Arial" w:eastAsia="Noto Sans KR"/>
                <w:color w:val="1D2730"/>
                <w:sz w:val="16"/>
              </w:rPr>
              <w:t>Valid import, invalid encoding, missing column, oversized file, formula content, duplicate rows, mixed valid/invalid rows.</w:t>
            </w:r>
          </w:p>
        </w:tc>
      </w:tr>
      <w:tr>
        <w:trPr>
          <w:cantSplit/>
        </w:trPr>
        <w:tc>
          <w:tcPr>
            <w:tcW w:type="dxa" w:w="2200"/>
          </w:tcPr>
          <w:p>
            <w:pPr>
              <w:spacing w:after="0" w:line="252" w:lineRule="auto"/>
            </w:pPr>
            <w:r>
              <w:rPr>
                <w:rFonts w:ascii="Arial" w:hAnsi="Arial" w:eastAsia="Noto Sans KR"/>
                <w:color w:val="1D2730"/>
                <w:sz w:val="16"/>
              </w:rPr>
              <w:t>Composer</w:t>
            </w:r>
          </w:p>
        </w:tc>
        <w:tc>
          <w:tcPr>
            <w:tcW w:type="dxa" w:w="7160"/>
          </w:tcPr>
          <w:p>
            <w:pPr>
              <w:spacing w:after="0" w:line="252" w:lineRule="auto"/>
            </w:pPr>
            <w:r>
              <w:rPr>
                <w:rFonts w:ascii="Arial" w:hAnsi="Arial" w:eastAsia="Noto Sans KR"/>
                <w:color w:val="1D2730"/>
                <w:sz w:val="16"/>
              </w:rPr>
              <w:t>Encoding/segment calculation, personalization, longest record, URL/content flags, test send.</w:t>
            </w:r>
          </w:p>
        </w:tc>
      </w:tr>
      <w:tr>
        <w:trPr>
          <w:cantSplit/>
        </w:trPr>
        <w:tc>
          <w:tcPr>
            <w:tcW w:type="dxa" w:w="2200"/>
          </w:tcPr>
          <w:p>
            <w:pPr>
              <w:spacing w:after="0" w:line="252" w:lineRule="auto"/>
            </w:pPr>
            <w:r>
              <w:rPr>
                <w:rFonts w:ascii="Arial" w:hAnsi="Arial" w:eastAsia="Noto Sans KR"/>
                <w:color w:val="1D2730"/>
                <w:sz w:val="16"/>
              </w:rPr>
              <w:t>Dispatch</w:t>
            </w:r>
          </w:p>
        </w:tc>
        <w:tc>
          <w:tcPr>
            <w:tcW w:type="dxa" w:w="7160"/>
          </w:tcPr>
          <w:p>
            <w:pPr>
              <w:spacing w:after="0" w:line="252" w:lineRule="auto"/>
            </w:pPr>
            <w:r>
              <w:rPr>
                <w:rFonts w:ascii="Arial" w:hAnsi="Arial" w:eastAsia="Noto Sans KR"/>
                <w:color w:val="1D2730"/>
                <w:sz w:val="16"/>
              </w:rPr>
              <w:t>Immediate, scheduled, retry, double-click, worker restart and partner timeout without duplicate billing/sending.</w:t>
            </w:r>
          </w:p>
        </w:tc>
      </w:tr>
      <w:tr>
        <w:trPr>
          <w:cantSplit/>
        </w:trPr>
        <w:tc>
          <w:tcPr>
            <w:tcW w:type="dxa" w:w="2200"/>
          </w:tcPr>
          <w:p>
            <w:pPr>
              <w:spacing w:after="0" w:line="252" w:lineRule="auto"/>
            </w:pPr>
            <w:r>
              <w:rPr>
                <w:rFonts w:ascii="Arial" w:hAnsi="Arial" w:eastAsia="Noto Sans KR"/>
                <w:color w:val="1D2730"/>
                <w:sz w:val="16"/>
              </w:rPr>
              <w:t>Webhook</w:t>
            </w:r>
          </w:p>
        </w:tc>
        <w:tc>
          <w:tcPr>
            <w:tcW w:type="dxa" w:w="7160"/>
          </w:tcPr>
          <w:p>
            <w:pPr>
              <w:spacing w:after="0" w:line="252" w:lineRule="auto"/>
            </w:pPr>
            <w:r>
              <w:rPr>
                <w:rFonts w:ascii="Arial" w:hAnsi="Arial" w:eastAsia="Noto Sans KR"/>
                <w:color w:val="1D2730"/>
                <w:sz w:val="16"/>
              </w:rPr>
              <w:t>Valid, invalid signature, duplicate, out-of-order and unknown partner reference.</w:t>
            </w:r>
          </w:p>
        </w:tc>
      </w:tr>
      <w:tr>
        <w:trPr>
          <w:cantSplit/>
        </w:trPr>
        <w:tc>
          <w:tcPr>
            <w:tcW w:type="dxa" w:w="2200"/>
          </w:tcPr>
          <w:p>
            <w:pPr>
              <w:spacing w:after="0" w:line="252" w:lineRule="auto"/>
            </w:pPr>
            <w:r>
              <w:rPr>
                <w:rFonts w:ascii="Arial" w:hAnsi="Arial" w:eastAsia="Noto Sans KR"/>
                <w:color w:val="1D2730"/>
                <w:sz w:val="16"/>
              </w:rPr>
              <w:t>Credits</w:t>
            </w:r>
          </w:p>
        </w:tc>
        <w:tc>
          <w:tcPr>
            <w:tcW w:type="dxa" w:w="7160"/>
          </w:tcPr>
          <w:p>
            <w:pPr>
              <w:spacing w:after="0" w:line="252" w:lineRule="auto"/>
            </w:pPr>
            <w:r>
              <w:rPr>
                <w:rFonts w:ascii="Arial" w:hAnsi="Arial" w:eastAsia="Noto Sans KR"/>
                <w:color w:val="1D2730"/>
                <w:sz w:val="16"/>
              </w:rPr>
              <w:t>Purchase, reserve, charge, release, refund, concurrent sends and admin adjustment reconcile exactly.</w:t>
            </w:r>
          </w:p>
        </w:tc>
      </w:tr>
      <w:tr>
        <w:trPr>
          <w:cantSplit/>
        </w:trPr>
        <w:tc>
          <w:tcPr>
            <w:tcW w:type="dxa" w:w="2200"/>
          </w:tcPr>
          <w:p>
            <w:pPr>
              <w:spacing w:after="0" w:line="252" w:lineRule="auto"/>
            </w:pPr>
            <w:r>
              <w:rPr>
                <w:rFonts w:ascii="Arial" w:hAnsi="Arial" w:eastAsia="Noto Sans KR"/>
                <w:color w:val="1D2730"/>
                <w:sz w:val="16"/>
              </w:rPr>
              <w:t>RBAC / tenant</w:t>
            </w:r>
          </w:p>
        </w:tc>
        <w:tc>
          <w:tcPr>
            <w:tcW w:type="dxa" w:w="7160"/>
          </w:tcPr>
          <w:p>
            <w:pPr>
              <w:spacing w:after="0" w:line="252" w:lineRule="auto"/>
            </w:pPr>
            <w:r>
              <w:rPr>
                <w:rFonts w:ascii="Arial" w:hAnsi="Arial" w:eastAsia="Noto Sans KR"/>
                <w:color w:val="1D2730"/>
                <w:sz w:val="16"/>
              </w:rPr>
              <w:t>Every role and cross-organization access attempt tested at API level.</w:t>
            </w:r>
          </w:p>
        </w:tc>
      </w:tr>
      <w:tr>
        <w:trPr>
          <w:cantSplit/>
        </w:trPr>
        <w:tc>
          <w:tcPr>
            <w:tcW w:type="dxa" w:w="2200"/>
          </w:tcPr>
          <w:p>
            <w:pPr>
              <w:spacing w:after="0" w:line="252" w:lineRule="auto"/>
            </w:pPr>
            <w:r>
              <w:rPr>
                <w:rFonts w:ascii="Arial" w:hAnsi="Arial" w:eastAsia="Noto Sans KR"/>
                <w:color w:val="1D2730"/>
                <w:sz w:val="16"/>
              </w:rPr>
              <w:t>Privacy</w:t>
            </w:r>
          </w:p>
        </w:tc>
        <w:tc>
          <w:tcPr>
            <w:tcW w:type="dxa" w:w="7160"/>
          </w:tcPr>
          <w:p>
            <w:pPr>
              <w:spacing w:after="0" w:line="252" w:lineRule="auto"/>
            </w:pPr>
            <w:r>
              <w:rPr>
                <w:rFonts w:ascii="Arial" w:hAnsi="Arial" w:eastAsia="Noto Sans KR"/>
                <w:color w:val="1D2730"/>
                <w:sz w:val="16"/>
              </w:rPr>
              <w:t>Masking, export permission, deletion, retention jobs and audit records.</w:t>
            </w:r>
          </w:p>
        </w:tc>
      </w:tr>
      <w:tr>
        <w:trPr>
          <w:cantSplit/>
        </w:trPr>
        <w:tc>
          <w:tcPr>
            <w:tcW w:type="dxa" w:w="2200"/>
          </w:tcPr>
          <w:p>
            <w:pPr>
              <w:spacing w:after="0" w:line="252" w:lineRule="auto"/>
            </w:pPr>
            <w:r>
              <w:rPr>
                <w:rFonts w:ascii="Arial" w:hAnsi="Arial" w:eastAsia="Noto Sans KR"/>
                <w:color w:val="1D2730"/>
                <w:sz w:val="16"/>
              </w:rPr>
              <w:t>Admin</w:t>
            </w:r>
          </w:p>
        </w:tc>
        <w:tc>
          <w:tcPr>
            <w:tcW w:type="dxa" w:w="7160"/>
          </w:tcPr>
          <w:p>
            <w:pPr>
              <w:spacing w:after="0" w:line="252" w:lineRule="auto"/>
            </w:pPr>
            <w:r>
              <w:rPr>
                <w:rFonts w:ascii="Arial" w:hAnsi="Arial" w:eastAsia="Noto Sans KR"/>
                <w:color w:val="1D2730"/>
                <w:sz w:val="16"/>
              </w:rPr>
              <w:t>Approval, suspension, limit change, price change, safe campaign intervention and inquiry workflow.</w:t>
            </w:r>
          </w:p>
        </w:tc>
      </w:tr>
      <w:tr>
        <w:trPr>
          <w:cantSplit/>
        </w:trPr>
        <w:tc>
          <w:tcPr>
            <w:tcW w:type="dxa" w:w="2200"/>
          </w:tcPr>
          <w:p>
            <w:pPr>
              <w:spacing w:after="0" w:line="252" w:lineRule="auto"/>
            </w:pPr>
            <w:r>
              <w:rPr>
                <w:rFonts w:ascii="Arial" w:hAnsi="Arial" w:eastAsia="Noto Sans KR"/>
                <w:color w:val="1D2730"/>
                <w:sz w:val="16"/>
              </w:rPr>
              <w:t>Recovery</w:t>
            </w:r>
          </w:p>
        </w:tc>
        <w:tc>
          <w:tcPr>
            <w:tcW w:type="dxa" w:w="7160"/>
          </w:tcPr>
          <w:p>
            <w:pPr>
              <w:spacing w:after="0" w:line="252" w:lineRule="auto"/>
            </w:pPr>
            <w:r>
              <w:rPr>
                <w:rFonts w:ascii="Arial" w:hAnsi="Arial" w:eastAsia="Noto Sans KR"/>
                <w:color w:val="1D2730"/>
                <w:sz w:val="16"/>
              </w:rPr>
              <w:t>Backup restore and release rollback demonstrated in staging.</w:t>
            </w:r>
          </w:p>
        </w:tc>
      </w:tr>
    </w:tbl>
    <w:p>
      <w:pPr>
        <w:spacing w:after="20"/>
      </w:pPr>
    </w:p>
    <w:p>
      <w:pPr>
        <w:pStyle w:val="Heading1"/>
      </w:pPr>
      <w:r>
        <w:t>Developer delivery package</w:t>
      </w:r>
    </w:p>
    <w:p>
      <w:pPr>
        <w:numPr>
          <w:ilvl w:val="0"/>
          <w:numId w:val="10"/>
        </w:numPr>
      </w:pPr>
      <w:r>
        <w:rPr>
          <w:rFonts w:ascii="Arial" w:hAnsi="Arial" w:eastAsia="Noto Sans KR"/>
          <w:color w:val="1D2730"/>
        </w:rPr>
        <w:t>Source code in an isolated Git repository with meaningful commits and release tags</w:t>
      </w:r>
    </w:p>
    <w:p>
      <w:pPr>
        <w:numPr>
          <w:ilvl w:val="0"/>
          <w:numId w:val="10"/>
        </w:numPr>
      </w:pPr>
      <w:r>
        <w:rPr>
          <w:rFonts w:ascii="Arial" w:hAnsi="Arial" w:eastAsia="Noto Sans KR"/>
          <w:color w:val="1D2730"/>
        </w:rPr>
        <w:t>README with local setup and architecture overview</w:t>
      </w:r>
    </w:p>
    <w:p>
      <w:pPr>
        <w:numPr>
          <w:ilvl w:val="0"/>
          <w:numId w:val="10"/>
        </w:numPr>
      </w:pPr>
      <w:r>
        <w:rPr>
          <w:rFonts w:ascii="Arial" w:hAnsi="Arial" w:eastAsia="Noto Sans KR"/>
          <w:color w:val="1D2730"/>
        </w:rPr>
        <w:t>Example environment file with no secrets</w:t>
      </w:r>
    </w:p>
    <w:p>
      <w:pPr>
        <w:numPr>
          <w:ilvl w:val="0"/>
          <w:numId w:val="10"/>
        </w:numPr>
      </w:pPr>
      <w:r>
        <w:rPr>
          <w:rFonts w:ascii="Arial" w:hAnsi="Arial" w:eastAsia="Noto Sans KR"/>
          <w:color w:val="1D2730"/>
        </w:rPr>
        <w:t>Database schema and versioned migrations</w:t>
      </w:r>
    </w:p>
    <w:p>
      <w:pPr>
        <w:numPr>
          <w:ilvl w:val="0"/>
          <w:numId w:val="10"/>
        </w:numPr>
      </w:pPr>
      <w:r>
        <w:rPr>
          <w:rFonts w:ascii="Arial" w:hAnsi="Arial" w:eastAsia="Noto Sans KR"/>
          <w:color w:val="1D2730"/>
        </w:rPr>
        <w:t>API contract and partner-adapter documentation</w:t>
      </w:r>
    </w:p>
    <w:p>
      <w:pPr>
        <w:numPr>
          <w:ilvl w:val="0"/>
          <w:numId w:val="10"/>
        </w:numPr>
      </w:pPr>
      <w:r>
        <w:rPr>
          <w:rFonts w:ascii="Arial" w:hAnsi="Arial" w:eastAsia="Noto Sans KR"/>
          <w:color w:val="1D2730"/>
        </w:rPr>
        <w:t>Admin/customer role-permission matrix</w:t>
      </w:r>
    </w:p>
    <w:p>
      <w:pPr>
        <w:numPr>
          <w:ilvl w:val="0"/>
          <w:numId w:val="10"/>
        </w:numPr>
      </w:pPr>
      <w:r>
        <w:rPr>
          <w:rFonts w:ascii="Arial" w:hAnsi="Arial" w:eastAsia="Noto Sans KR"/>
          <w:color w:val="1D2730"/>
        </w:rPr>
        <w:t>Automated unit, integration and critical end-to-end tests</w:t>
      </w:r>
    </w:p>
    <w:p>
      <w:pPr>
        <w:numPr>
          <w:ilvl w:val="0"/>
          <w:numId w:val="10"/>
        </w:numPr>
      </w:pPr>
      <w:r>
        <w:rPr>
          <w:rFonts w:ascii="Arial" w:hAnsi="Arial" w:eastAsia="Noto Sans KR"/>
          <w:color w:val="1D2730"/>
        </w:rPr>
        <w:t>Staging deployment and production deployment guide</w:t>
      </w:r>
    </w:p>
    <w:p>
      <w:pPr>
        <w:numPr>
          <w:ilvl w:val="0"/>
          <w:numId w:val="10"/>
        </w:numPr>
      </w:pPr>
      <w:r>
        <w:rPr>
          <w:rFonts w:ascii="Arial" w:hAnsi="Arial" w:eastAsia="Noto Sans KR"/>
          <w:color w:val="1D2730"/>
        </w:rPr>
        <w:t>Monitoring dashboard and alert definitions</w:t>
      </w:r>
    </w:p>
    <w:p>
      <w:pPr>
        <w:numPr>
          <w:ilvl w:val="0"/>
          <w:numId w:val="10"/>
        </w:numPr>
      </w:pPr>
      <w:r>
        <w:rPr>
          <w:rFonts w:ascii="Arial" w:hAnsi="Arial" w:eastAsia="Noto Sans KR"/>
          <w:color w:val="1D2730"/>
        </w:rPr>
        <w:t>Backup, restore, rollback and incident runbooks</w:t>
      </w:r>
    </w:p>
    <w:p>
      <w:pPr>
        <w:numPr>
          <w:ilvl w:val="0"/>
          <w:numId w:val="10"/>
        </w:numPr>
      </w:pPr>
      <w:r>
        <w:rPr>
          <w:rFonts w:ascii="Arial" w:hAnsi="Arial" w:eastAsia="Noto Sans KR"/>
          <w:color w:val="1D2730"/>
        </w:rPr>
        <w:t>Security/privacy checklist and dependency inventory</w:t>
      </w:r>
    </w:p>
    <w:p>
      <w:pPr>
        <w:numPr>
          <w:ilvl w:val="0"/>
          <w:numId w:val="10"/>
        </w:numPr>
      </w:pPr>
      <w:r>
        <w:rPr>
          <w:rFonts w:ascii="Arial" w:hAnsi="Arial" w:eastAsia="Noto Sans KR"/>
          <w:color w:val="1D2730"/>
        </w:rPr>
        <w:t>User acceptance test checklist and final defect report</w:t>
      </w:r>
    </w:p>
    <w:p>
      <w:pPr>
        <w:pStyle w:val="Heading1"/>
      </w:pPr>
      <w:r>
        <w:t>Delivery workflow and gates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EAF3F8"/>
            <w:vAlign w:val="center"/>
          </w:tcPr>
          <w:p>
            <w:pPr>
              <w:spacing w:after="0"/>
            </w:pPr>
            <w:r>
              <w:rPr>
                <w:rFonts w:ascii="Arial" w:hAnsi="Arial" w:eastAsia="Noto Sans KR"/>
                <w:b/>
                <w:color w:val="183B56"/>
                <w:sz w:val="18"/>
              </w:rPr>
              <w:t>Gate</w:t>
            </w:r>
          </w:p>
        </w:tc>
        <w:tc>
          <w:tcPr>
            <w:tcW w:type="dxa" w:w="7160"/>
            <w:tcMar>
              <w:top w:w="80" w:type="dxa"/>
              <w:start w:w="120" w:type="dxa"/>
              <w:bottom w:w="80" w:type="dxa"/>
              <w:end w:w="120" w:type="dxa"/>
            </w:tcMar>
            <w:shd w:fill="EAF3F8"/>
            <w:vAlign w:val="center"/>
          </w:tcPr>
          <w:p>
            <w:pPr>
              <w:spacing w:after="0"/>
            </w:pPr>
            <w:r>
              <w:rPr>
                <w:rFonts w:ascii="Arial" w:hAnsi="Arial" w:eastAsia="Noto Sans KR"/>
                <w:b/>
                <w:color w:val="183B56"/>
                <w:sz w:val="18"/>
              </w:rPr>
              <w:t>Required output</w:t>
            </w:r>
          </w:p>
        </w:tc>
      </w:tr>
      <w:tr>
        <w:trPr>
          <w:cantSplit/>
        </w:trPr>
        <w:tc>
          <w:tcPr>
            <w:tcW w:type="dxa" w:w="2200"/>
          </w:tcPr>
          <w:p>
            <w:pPr>
              <w:spacing w:after="0" w:line="252" w:lineRule="auto"/>
            </w:pPr>
            <w:r>
              <w:rPr>
                <w:rFonts w:ascii="Arial" w:hAnsi="Arial" w:eastAsia="Noto Sans KR"/>
                <w:color w:val="1D2730"/>
                <w:sz w:val="17"/>
              </w:rPr>
              <w:t>Pre-check</w:t>
            </w:r>
          </w:p>
        </w:tc>
        <w:tc>
          <w:tcPr>
            <w:tcW w:type="dxa" w:w="7160"/>
          </w:tcPr>
          <w:p>
            <w:pPr>
              <w:spacing w:after="0" w:line="252" w:lineRule="auto"/>
            </w:pPr>
            <w:r>
              <w:rPr>
                <w:rFonts w:ascii="Arial" w:hAnsi="Arial" w:eastAsia="Noto Sans KR"/>
                <w:color w:val="1D2730"/>
                <w:sz w:val="17"/>
              </w:rPr>
              <w:t>Confirmed scope, open decisions, partner sandbox, legal/policy owner, threat and data-flow review</w:t>
            </w:r>
          </w:p>
        </w:tc>
      </w:tr>
      <w:tr>
        <w:trPr>
          <w:cantSplit/>
        </w:trPr>
        <w:tc>
          <w:tcPr>
            <w:tcW w:type="dxa" w:w="2200"/>
          </w:tcPr>
          <w:p>
            <w:pPr>
              <w:spacing w:after="0" w:line="252" w:lineRule="auto"/>
            </w:pPr>
            <w:r>
              <w:rPr>
                <w:rFonts w:ascii="Arial" w:hAnsi="Arial" w:eastAsia="Noto Sans KR"/>
                <w:color w:val="1D2730"/>
                <w:sz w:val="17"/>
              </w:rPr>
              <w:t>Design approval</w:t>
            </w:r>
          </w:p>
        </w:tc>
        <w:tc>
          <w:tcPr>
            <w:tcW w:type="dxa" w:w="7160"/>
          </w:tcPr>
          <w:p>
            <w:pPr>
              <w:spacing w:after="0" w:line="252" w:lineRule="auto"/>
            </w:pPr>
            <w:r>
              <w:rPr>
                <w:rFonts w:ascii="Arial" w:hAnsi="Arial" w:eastAsia="Noto Sans KR"/>
                <w:color w:val="1D2730"/>
                <w:sz w:val="17"/>
              </w:rPr>
              <w:t>Page list, wireframes, status model, CSV rules, credit model, API adapter contract</w:t>
            </w:r>
          </w:p>
        </w:tc>
      </w:tr>
      <w:tr>
        <w:trPr>
          <w:cantSplit/>
        </w:trPr>
        <w:tc>
          <w:tcPr>
            <w:tcW w:type="dxa" w:w="2200"/>
          </w:tcPr>
          <w:p>
            <w:pPr>
              <w:spacing w:after="0" w:line="252" w:lineRule="auto"/>
            </w:pPr>
            <w:r>
              <w:rPr>
                <w:rFonts w:ascii="Arial" w:hAnsi="Arial" w:eastAsia="Noto Sans KR"/>
                <w:color w:val="1D2730"/>
                <w:sz w:val="17"/>
              </w:rPr>
              <w:t>Development complete</w:t>
            </w:r>
          </w:p>
        </w:tc>
        <w:tc>
          <w:tcPr>
            <w:tcW w:type="dxa" w:w="7160"/>
          </w:tcPr>
          <w:p>
            <w:pPr>
              <w:spacing w:after="0" w:line="252" w:lineRule="auto"/>
            </w:pPr>
            <w:r>
              <w:rPr>
                <w:rFonts w:ascii="Arial" w:hAnsi="Arial" w:eastAsia="Noto Sans KR"/>
                <w:color w:val="1D2730"/>
                <w:sz w:val="17"/>
              </w:rPr>
              <w:t>Feature branch review, automated tests, migrations and documentation</w:t>
            </w:r>
          </w:p>
        </w:tc>
      </w:tr>
      <w:tr>
        <w:trPr>
          <w:cantSplit/>
        </w:trPr>
        <w:tc>
          <w:tcPr>
            <w:tcW w:type="dxa" w:w="2200"/>
          </w:tcPr>
          <w:p>
            <w:pPr>
              <w:spacing w:after="0" w:line="252" w:lineRule="auto"/>
            </w:pPr>
            <w:r>
              <w:rPr>
                <w:rFonts w:ascii="Arial" w:hAnsi="Arial" w:eastAsia="Noto Sans KR"/>
                <w:color w:val="1D2730"/>
                <w:sz w:val="17"/>
              </w:rPr>
              <w:t>Staging acceptance</w:t>
            </w:r>
          </w:p>
        </w:tc>
        <w:tc>
          <w:tcPr>
            <w:tcW w:type="dxa" w:w="7160"/>
          </w:tcPr>
          <w:p>
            <w:pPr>
              <w:spacing w:after="0" w:line="252" w:lineRule="auto"/>
            </w:pPr>
            <w:r>
              <w:rPr>
                <w:rFonts w:ascii="Arial" w:hAnsi="Arial" w:eastAsia="Noto Sans KR"/>
                <w:color w:val="1D2730"/>
                <w:sz w:val="17"/>
              </w:rPr>
              <w:t>Partner sandbox integration, security tests, UAT and backup/restore test</w:t>
            </w:r>
          </w:p>
        </w:tc>
      </w:tr>
      <w:tr>
        <w:trPr>
          <w:cantSplit/>
        </w:trPr>
        <w:tc>
          <w:tcPr>
            <w:tcW w:type="dxa" w:w="2200"/>
          </w:tcPr>
          <w:p>
            <w:pPr>
              <w:spacing w:after="0" w:line="252" w:lineRule="auto"/>
            </w:pPr>
            <w:r>
              <w:rPr>
                <w:rFonts w:ascii="Arial" w:hAnsi="Arial" w:eastAsia="Noto Sans KR"/>
                <w:color w:val="1D2730"/>
                <w:sz w:val="17"/>
              </w:rPr>
              <w:t>Pilot readiness</w:t>
            </w:r>
          </w:p>
        </w:tc>
        <w:tc>
          <w:tcPr>
            <w:tcW w:type="dxa" w:w="7160"/>
          </w:tcPr>
          <w:p>
            <w:pPr>
              <w:spacing w:after="0" w:line="252" w:lineRule="auto"/>
            </w:pPr>
            <w:r>
              <w:rPr>
                <w:rFonts w:ascii="Arial" w:hAnsi="Arial" w:eastAsia="Noto Sans KR"/>
                <w:color w:val="1D2730"/>
                <w:sz w:val="17"/>
              </w:rPr>
              <w:t>Approved companies only, conservative limits, monitoring, support and incident contacts</w:t>
            </w:r>
          </w:p>
        </w:tc>
      </w:tr>
      <w:tr>
        <w:trPr>
          <w:cantSplit/>
        </w:trPr>
        <w:tc>
          <w:tcPr>
            <w:tcW w:type="dxa" w:w="2200"/>
          </w:tcPr>
          <w:p>
            <w:pPr>
              <w:spacing w:after="0" w:line="252" w:lineRule="auto"/>
            </w:pPr>
            <w:r>
              <w:rPr>
                <w:rFonts w:ascii="Arial" w:hAnsi="Arial" w:eastAsia="Noto Sans KR"/>
                <w:color w:val="1D2730"/>
                <w:sz w:val="17"/>
              </w:rPr>
              <w:t>Production release</w:t>
            </w:r>
          </w:p>
        </w:tc>
        <w:tc>
          <w:tcPr>
            <w:tcW w:type="dxa" w:w="7160"/>
          </w:tcPr>
          <w:p>
            <w:pPr>
              <w:spacing w:after="0" w:line="252" w:lineRule="auto"/>
            </w:pPr>
            <w:r>
              <w:rPr>
                <w:rFonts w:ascii="Arial" w:hAnsi="Arial" w:eastAsia="Noto Sans KR"/>
                <w:color w:val="1D2730"/>
                <w:sz w:val="17"/>
              </w:rPr>
              <w:t>Signed release checklist, tagged version, migration plan and tested rollback</w:t>
            </w:r>
          </w:p>
        </w:tc>
      </w:tr>
    </w:tbl>
    <w:p>
      <w:pPr>
        <w:spacing w:after="20"/>
      </w:pPr>
    </w:p>
    <w:p>
      <w:pPr>
        <w:pStyle w:val="Heading1"/>
      </w:pPr>
      <w:r>
        <w:t>Open decisions for estimation</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tcMar>
              <w:top w:w="80" w:type="dxa"/>
              <w:start w:w="120" w:type="dxa"/>
              <w:bottom w:w="80" w:type="dxa"/>
              <w:end w:w="120" w:type="dxa"/>
            </w:tcMar>
            <w:shd w:fill="EAF3F8"/>
            <w:vAlign w:val="center"/>
          </w:tcPr>
          <w:p>
            <w:pPr>
              <w:spacing w:after="0"/>
            </w:pPr>
            <w:r>
              <w:rPr>
                <w:rFonts w:ascii="Arial" w:hAnsi="Arial" w:eastAsia="Noto Sans KR"/>
                <w:b/>
                <w:color w:val="183B56"/>
                <w:sz w:val="18"/>
              </w:rPr>
              <w:t>Decision</w:t>
            </w:r>
          </w:p>
        </w:tc>
        <w:tc>
          <w:tcPr>
            <w:tcW w:type="dxa" w:w="5060"/>
            <w:tcMar>
              <w:top w:w="80" w:type="dxa"/>
              <w:start w:w="120" w:type="dxa"/>
              <w:bottom w:w="80" w:type="dxa"/>
              <w:end w:w="120" w:type="dxa"/>
            </w:tcMar>
            <w:shd w:fill="EAF3F8"/>
            <w:vAlign w:val="center"/>
          </w:tcPr>
          <w:p>
            <w:pPr>
              <w:spacing w:after="0"/>
            </w:pPr>
            <w:r>
              <w:rPr>
                <w:rFonts w:ascii="Arial" w:hAnsi="Arial" w:eastAsia="Noto Sans KR"/>
                <w:b/>
                <w:color w:val="183B56"/>
                <w:sz w:val="18"/>
              </w:rPr>
              <w:t>Owner / input needed</w:t>
            </w:r>
          </w:p>
        </w:tc>
      </w:tr>
      <w:tr>
        <w:trPr>
          <w:cantSplit/>
        </w:trPr>
        <w:tc>
          <w:tcPr>
            <w:tcW w:type="dxa" w:w="4300"/>
          </w:tcPr>
          <w:p>
            <w:pPr>
              <w:spacing w:after="0" w:line="252" w:lineRule="auto"/>
            </w:pPr>
            <w:r>
              <w:rPr>
                <w:rFonts w:ascii="Arial" w:hAnsi="Arial" w:eastAsia="Noto Sans KR"/>
                <w:color w:val="1D2730"/>
                <w:sz w:val="17"/>
              </w:rPr>
              <w:t>Product name, domain, brand and UI direction</w:t>
            </w:r>
          </w:p>
        </w:tc>
        <w:tc>
          <w:tcPr>
            <w:tcW w:type="dxa" w:w="5060"/>
          </w:tcPr>
          <w:p>
            <w:pPr>
              <w:spacing w:after="0" w:line="252" w:lineRule="auto"/>
            </w:pPr>
            <w:r>
              <w:rPr>
                <w:rFonts w:ascii="Arial" w:hAnsi="Arial" w:eastAsia="Noto Sans KR"/>
                <w:color w:val="1D2730"/>
                <w:sz w:val="17"/>
              </w:rPr>
              <w:t>Business owner</w:t>
            </w:r>
          </w:p>
        </w:tc>
      </w:tr>
      <w:tr>
        <w:trPr>
          <w:cantSplit/>
        </w:trPr>
        <w:tc>
          <w:tcPr>
            <w:tcW w:type="dxa" w:w="4300"/>
          </w:tcPr>
          <w:p>
            <w:pPr>
              <w:spacing w:after="0" w:line="252" w:lineRule="auto"/>
            </w:pPr>
            <w:r>
              <w:rPr>
                <w:rFonts w:ascii="Arial" w:hAnsi="Arial" w:eastAsia="Noto Sans KR"/>
                <w:color w:val="1D2730"/>
                <w:sz w:val="17"/>
              </w:rPr>
              <w:t>Self-service daily/monthly limits and bulk threshold</w:t>
            </w:r>
          </w:p>
        </w:tc>
        <w:tc>
          <w:tcPr>
            <w:tcW w:type="dxa" w:w="5060"/>
          </w:tcPr>
          <w:p>
            <w:pPr>
              <w:spacing w:after="0" w:line="252" w:lineRule="auto"/>
            </w:pPr>
            <w:r>
              <w:rPr>
                <w:rFonts w:ascii="Arial" w:hAnsi="Arial" w:eastAsia="Noto Sans KR"/>
                <w:color w:val="1D2730"/>
                <w:sz w:val="17"/>
              </w:rPr>
              <w:t>Business owner + SMS partner</w:t>
            </w:r>
          </w:p>
        </w:tc>
      </w:tr>
      <w:tr>
        <w:trPr>
          <w:cantSplit/>
        </w:trPr>
        <w:tc>
          <w:tcPr>
            <w:tcW w:type="dxa" w:w="4300"/>
          </w:tcPr>
          <w:p>
            <w:pPr>
              <w:spacing w:after="0" w:line="252" w:lineRule="auto"/>
            </w:pPr>
            <w:r>
              <w:rPr>
                <w:rFonts w:ascii="Arial" w:hAnsi="Arial" w:eastAsia="Noto Sans KR"/>
                <w:color w:val="1D2730"/>
                <w:sz w:val="17"/>
              </w:rPr>
              <w:t>Partner price, charge point, failure refund and credit packages</w:t>
            </w:r>
          </w:p>
        </w:tc>
        <w:tc>
          <w:tcPr>
            <w:tcW w:type="dxa" w:w="5060"/>
          </w:tcPr>
          <w:p>
            <w:pPr>
              <w:spacing w:after="0" w:line="252" w:lineRule="auto"/>
            </w:pPr>
            <w:r>
              <w:rPr>
                <w:rFonts w:ascii="Arial" w:hAnsi="Arial" w:eastAsia="Noto Sans KR"/>
                <w:color w:val="1D2730"/>
                <w:sz w:val="17"/>
              </w:rPr>
              <w:t>Business owner + SMS partner</w:t>
            </w:r>
          </w:p>
        </w:tc>
      </w:tr>
      <w:tr>
        <w:trPr>
          <w:cantSplit/>
        </w:trPr>
        <w:tc>
          <w:tcPr>
            <w:tcW w:type="dxa" w:w="4300"/>
          </w:tcPr>
          <w:p>
            <w:pPr>
              <w:spacing w:after="0" w:line="252" w:lineRule="auto"/>
            </w:pPr>
            <w:r>
              <w:rPr>
                <w:rFonts w:ascii="Arial" w:hAnsi="Arial" w:eastAsia="Noto Sans KR"/>
                <w:color w:val="1D2730"/>
                <w:sz w:val="17"/>
              </w:rPr>
              <w:t>Payment gateway, tax receipt and settlement flow</w:t>
            </w:r>
          </w:p>
        </w:tc>
        <w:tc>
          <w:tcPr>
            <w:tcW w:type="dxa" w:w="5060"/>
          </w:tcPr>
          <w:p>
            <w:pPr>
              <w:spacing w:after="0" w:line="252" w:lineRule="auto"/>
            </w:pPr>
            <w:r>
              <w:rPr>
                <w:rFonts w:ascii="Arial" w:hAnsi="Arial" w:eastAsia="Noto Sans KR"/>
                <w:color w:val="1D2730"/>
                <w:sz w:val="17"/>
              </w:rPr>
              <w:t>Business owner + finance</w:t>
            </w:r>
          </w:p>
        </w:tc>
      </w:tr>
      <w:tr>
        <w:trPr>
          <w:cantSplit/>
        </w:trPr>
        <w:tc>
          <w:tcPr>
            <w:tcW w:type="dxa" w:w="4300"/>
          </w:tcPr>
          <w:p>
            <w:pPr>
              <w:spacing w:after="0" w:line="252" w:lineRule="auto"/>
            </w:pPr>
            <w:r>
              <w:rPr>
                <w:rFonts w:ascii="Arial" w:hAnsi="Arial" w:eastAsia="Noto Sans KR"/>
                <w:color w:val="1D2730"/>
                <w:sz w:val="17"/>
              </w:rPr>
              <w:t>Sender-ID process and supported sender types</w:t>
            </w:r>
          </w:p>
        </w:tc>
        <w:tc>
          <w:tcPr>
            <w:tcW w:type="dxa" w:w="5060"/>
          </w:tcPr>
          <w:p>
            <w:pPr>
              <w:spacing w:after="0" w:line="252" w:lineRule="auto"/>
            </w:pPr>
            <w:r>
              <w:rPr>
                <w:rFonts w:ascii="Arial" w:hAnsi="Arial" w:eastAsia="Noto Sans KR"/>
                <w:color w:val="1D2730"/>
                <w:sz w:val="17"/>
              </w:rPr>
              <w:t>SMS partner</w:t>
            </w:r>
          </w:p>
        </w:tc>
      </w:tr>
      <w:tr>
        <w:trPr>
          <w:cantSplit/>
        </w:trPr>
        <w:tc>
          <w:tcPr>
            <w:tcW w:type="dxa" w:w="4300"/>
          </w:tcPr>
          <w:p>
            <w:pPr>
              <w:spacing w:after="0" w:line="252" w:lineRule="auto"/>
            </w:pPr>
            <w:r>
              <w:rPr>
                <w:rFonts w:ascii="Arial" w:hAnsi="Arial" w:eastAsia="Noto Sans KR"/>
                <w:color w:val="1D2730"/>
                <w:sz w:val="17"/>
              </w:rPr>
              <w:t>Marketing-message policy, opt-out method and required declarations</w:t>
            </w:r>
          </w:p>
        </w:tc>
        <w:tc>
          <w:tcPr>
            <w:tcW w:type="dxa" w:w="5060"/>
          </w:tcPr>
          <w:p>
            <w:pPr>
              <w:spacing w:after="0" w:line="252" w:lineRule="auto"/>
            </w:pPr>
            <w:r>
              <w:rPr>
                <w:rFonts w:ascii="Arial" w:hAnsi="Arial" w:eastAsia="Noto Sans KR"/>
                <w:color w:val="1D2730"/>
                <w:sz w:val="17"/>
              </w:rPr>
              <w:t>DPO/legal + SMS partner</w:t>
            </w:r>
          </w:p>
        </w:tc>
      </w:tr>
      <w:tr>
        <w:trPr>
          <w:cantSplit/>
        </w:trPr>
        <w:tc>
          <w:tcPr>
            <w:tcW w:type="dxa" w:w="4300"/>
          </w:tcPr>
          <w:p>
            <w:pPr>
              <w:spacing w:after="0" w:line="252" w:lineRule="auto"/>
            </w:pPr>
            <w:r>
              <w:rPr>
                <w:rFonts w:ascii="Arial" w:hAnsi="Arial" w:eastAsia="Noto Sans KR"/>
                <w:color w:val="1D2730"/>
                <w:sz w:val="17"/>
              </w:rPr>
              <w:t>CSV row/file limits and expected peak volume</w:t>
            </w:r>
          </w:p>
        </w:tc>
        <w:tc>
          <w:tcPr>
            <w:tcW w:type="dxa" w:w="5060"/>
          </w:tcPr>
          <w:p>
            <w:pPr>
              <w:spacing w:after="0" w:line="252" w:lineRule="auto"/>
            </w:pPr>
            <w:r>
              <w:rPr>
                <w:rFonts w:ascii="Arial" w:hAnsi="Arial" w:eastAsia="Noto Sans KR"/>
                <w:color w:val="1D2730"/>
                <w:sz w:val="17"/>
              </w:rPr>
              <w:t>Business owner + developer + partner</w:t>
            </w:r>
          </w:p>
        </w:tc>
      </w:tr>
      <w:tr>
        <w:trPr>
          <w:cantSplit/>
        </w:trPr>
        <w:tc>
          <w:tcPr>
            <w:tcW w:type="dxa" w:w="4300"/>
          </w:tcPr>
          <w:p>
            <w:pPr>
              <w:spacing w:after="0" w:line="252" w:lineRule="auto"/>
            </w:pPr>
            <w:r>
              <w:rPr>
                <w:rFonts w:ascii="Arial" w:hAnsi="Arial" w:eastAsia="Noto Sans KR"/>
                <w:color w:val="1D2730"/>
                <w:sz w:val="17"/>
              </w:rPr>
              <w:t>Data retention, deletion and backup retention</w:t>
            </w:r>
          </w:p>
        </w:tc>
        <w:tc>
          <w:tcPr>
            <w:tcW w:type="dxa" w:w="5060"/>
          </w:tcPr>
          <w:p>
            <w:pPr>
              <w:spacing w:after="0" w:line="252" w:lineRule="auto"/>
            </w:pPr>
            <w:r>
              <w:rPr>
                <w:rFonts w:ascii="Arial" w:hAnsi="Arial" w:eastAsia="Noto Sans KR"/>
                <w:color w:val="1D2730"/>
                <w:sz w:val="17"/>
              </w:rPr>
              <w:t>DPO/legal + operations</w:t>
            </w:r>
          </w:p>
        </w:tc>
      </w:tr>
      <w:tr>
        <w:trPr>
          <w:cantSplit/>
        </w:trPr>
        <w:tc>
          <w:tcPr>
            <w:tcW w:type="dxa" w:w="4300"/>
          </w:tcPr>
          <w:p>
            <w:pPr>
              <w:spacing w:after="0" w:line="252" w:lineRule="auto"/>
            </w:pPr>
            <w:r>
              <w:rPr>
                <w:rFonts w:ascii="Arial" w:hAnsi="Arial" w:eastAsia="Noto Sans KR"/>
                <w:color w:val="1D2730"/>
                <w:sz w:val="17"/>
              </w:rPr>
              <w:t>Hosting region and technology stack</w:t>
            </w:r>
          </w:p>
        </w:tc>
        <w:tc>
          <w:tcPr>
            <w:tcW w:type="dxa" w:w="5060"/>
          </w:tcPr>
          <w:p>
            <w:pPr>
              <w:spacing w:after="0" w:line="252" w:lineRule="auto"/>
            </w:pPr>
            <w:r>
              <w:rPr>
                <w:rFonts w:ascii="Arial" w:hAnsi="Arial" w:eastAsia="Noto Sans KR"/>
                <w:color w:val="1D2730"/>
                <w:sz w:val="17"/>
              </w:rPr>
              <w:t>Developer proposal subject to privacy/security approval</w:t>
            </w:r>
          </w:p>
        </w:tc>
      </w:tr>
      <w:tr>
        <w:trPr>
          <w:cantSplit/>
        </w:trPr>
        <w:tc>
          <w:tcPr>
            <w:tcW w:type="dxa" w:w="4300"/>
          </w:tcPr>
          <w:p>
            <w:pPr>
              <w:spacing w:after="0" w:line="252" w:lineRule="auto"/>
            </w:pPr>
            <w:r>
              <w:rPr>
                <w:rFonts w:ascii="Arial" w:hAnsi="Arial" w:eastAsia="Noto Sans KR"/>
                <w:color w:val="1D2730"/>
                <w:sz w:val="17"/>
              </w:rPr>
              <w:t>Target timeline and pilot customer count</w:t>
            </w:r>
          </w:p>
        </w:tc>
        <w:tc>
          <w:tcPr>
            <w:tcW w:type="dxa" w:w="5060"/>
          </w:tcPr>
          <w:p>
            <w:pPr>
              <w:spacing w:after="0" w:line="252" w:lineRule="auto"/>
            </w:pPr>
            <w:r>
              <w:rPr>
                <w:rFonts w:ascii="Arial" w:hAnsi="Arial" w:eastAsia="Noto Sans KR"/>
                <w:color w:val="1D2730"/>
                <w:sz w:val="17"/>
              </w:rPr>
              <w:t>Business owner</w:t>
            </w:r>
          </w:p>
        </w:tc>
      </w:tr>
    </w:tbl>
    <w:p>
      <w:pPr>
        <w:spacing w:after="20"/>
      </w:pPr>
    </w:p>
    <w:p>
      <w:pPr>
        <w:pStyle w:val="Heading1"/>
      </w:pPr>
      <w:r>
        <w:t>Reference policies</w:t>
      </w:r>
    </w:p>
    <w:p>
      <w:pPr>
        <w:pStyle w:val="CaptionSmall"/>
      </w:pPr>
      <w:r>
        <w:t xml:space="preserve">National Privacy Commission: </w:t>
      </w:r>
      <w:hyperlink r:id="rId11">
        <w:r>
          <w:rPr>
            <w:color w:val="2878B5"/>
            <w:u w:val="single"/>
            <w:rFonts w:ascii="Arial" w:hAnsi="Arial"/>
          </w:rPr>
          <w:t>Implementing Rules and Regulations of the Data Privacy Act of 2012</w:t>
        </w:r>
      </w:hyperlink>
    </w:p>
    <w:p>
      <w:pPr>
        <w:pStyle w:val="CaptionSmall"/>
      </w:pPr>
      <w:r>
        <w:t xml:space="preserve">National Privacy Commission: </w:t>
      </w:r>
      <w:hyperlink r:id="rId12">
        <w:r>
          <w:rPr>
            <w:color w:val="2878B5"/>
            <w:u w:val="single"/>
            <w:rFonts w:ascii="Arial" w:hAnsi="Arial"/>
          </w:rPr>
          <w:t>NPC Circular No. 2023-04 — Guidelines on Consent</w:t>
        </w:r>
      </w:hyperlink>
    </w:p>
    <w:p>
      <w:pPr>
        <w:pStyle w:val="CaptionSmall"/>
      </w:pPr>
      <w:r>
        <w:t xml:space="preserve">National Privacy Commission: </w:t>
      </w:r>
      <w:hyperlink r:id="rId13">
        <w:r>
          <w:rPr>
            <w:color w:val="2878B5"/>
            <w:u w:val="single"/>
            <w:rFonts w:ascii="Arial" w:hAnsi="Arial"/>
          </w:rPr>
          <w:t>Advisory Opinion No. 2020-041</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6E5"/>
          </w:tcPr>
          <w:p>
            <w:pPr>
              <w:spacing w:after="0"/>
            </w:pPr>
            <w:r/>
            <w:r>
              <w:rPr>
                <w:rFonts w:ascii="Arial" w:hAnsi="Arial" w:eastAsia="Noto Sans KR"/>
                <w:b/>
                <w:color w:val="A77218"/>
              </w:rPr>
              <w:t xml:space="preserve">Important  </w:t>
            </w:r>
            <w:r>
              <w:rPr>
                <w:rFonts w:ascii="Arial" w:hAnsi="Arial" w:eastAsia="Noto Sans KR"/>
                <w:color w:val="1D2730"/>
              </w:rPr>
              <w:t>This specification is not legal advice. Final workflows, contracts, notices, consent wording, registration obligations, retention periods, and opt-out handling must be approved by the Philippine DPO/legal adviser and aligned with the SMS partner’s carrier requirements.</w:t>
            </w:r>
          </w:p>
        </w:tc>
      </w:tr>
    </w:tbl>
    <w:p>
      <w:pPr>
        <w:spacing w:after="20"/>
      </w:pP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KR"/>
        <w:color w:val="5D6B7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Noto Sans KR"/>
        <w:b/>
        <w:color w:val="5D6B75"/>
        <w:sz w:val="17"/>
      </w:rPr>
      <w:t>PH SMS PLATFORM</w:t>
    </w:r>
    <w:r>
      <w:rPr>
        <w:rFonts w:ascii="Arial" w:hAnsi="Arial" w:eastAsia="Noto Sans KR"/>
        <w:color w:val="5D6B75"/>
        <w:sz w:val="17"/>
      </w:rPr>
      <w:t xml:space="preserve">  |  DEVELOPER WORK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300"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eastAsia="Arial"/>
      <w:color w:val="1D27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color w:val="2878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2878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80" w:after="80"/>
    </w:pPr>
    <w:rPr>
      <w:rFonts w:ascii="Arial" w:hAnsi="Arial"/>
      <w:color w:val="5D6B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ivacy.gov.ph/implementing-rules-regulations-data-privacy-act-2012/" TargetMode="External"/><Relationship Id="rId12" Type="http://schemas.openxmlformats.org/officeDocument/2006/relationships/hyperlink" Target="https://privacy.gov.ph/wp-content/uploads/2023/11/NPC-Circular-No.-2023-04_Guidelines-on-Consent_07Nov2023.pdf" TargetMode="External"/><Relationship Id="rId13" Type="http://schemas.openxmlformats.org/officeDocument/2006/relationships/hyperlink" Target="https://www.privacy.gov.ph/wp-content/uploads/2020/11/Redacted-Advisory-Opinion-No.-2020-04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