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KernelWiki 天数平台适配技术报告</w:t>
      </w:r>
    </w:p>
    <w:p>
      <w:pPr>
        <w:spacing w:after="120"/>
        <w:snapToGrid w:val="0"/>
      </w:pPr>
      <w:r>
        <w:rPr>
          <w:b w:val="0"/>
          <w:sz w:val="18"/>
        </w:rPr>
        <w:t>工作范围 2026年9月30日至10月11日    整理日期 2026年10月13日</w:t>
      </w:r>
    </w:p>
    <w:p>
      <w:pPr>
        <w:snapToGrid w:val="0"/>
      </w:pPr>
      <w:r>
        <w:rPr>
          <w:b w:val="0"/>
        </w:rPr>
        <w:t>本项目在天数智芯 BI-V150 上，使用 Claude Code CLI 加载适配版 KernelWiki skill，对 Megatron 训练中的交叉熵、全局梯度范数、RMSNorm、Dense SwiGLU、Attention 和 MoE带权SwiGLU开展优化实验。原有 NVIDIA Hopper／Blackwell 知识保留，天数结论以独立实测为依据。</w:t>
      </w:r>
    </w:p>
    <w:p>
      <w:pPr>
        <w:spacing w:after="80"/>
        <w:snapToGrid w:val="0"/>
      </w:pPr>
      <w:r>
        <w:rPr>
          <w:b/>
        </w:rPr>
        <w:t>主要结果：三组已验收的 BF16 模拟训练配置，相对同卡、同模型及精度的原生 Megatron 后端，组合吞吐分别提升8.13%、9.34%和13.96%。部分算子用Triton实现，具体方式见下表。</w:t>
      </w:r>
    </w:p>
    <w:p>
      <w:pPr>
        <w:pStyle w:val="Heading1"/>
        <w:snapToGrid w:val="0"/>
      </w:pPr>
      <w:r>
        <w:t>算子与实现方式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90" w:type="dxa"/>
          <w:right w:w="90" w:type="dxa"/>
        </w:tblCellMar>
      </w:tblPr>
      <w:tblGrid>
        <w:gridCol w:w="2494"/>
        <w:gridCol w:w="7257"/>
      </w:tblGrid>
      <w:tr>
        <w:trPr>
          <w:tblHeader/>
          <w:cantSplit/>
        </w:trPr>
        <w:tc>
          <w:tcPr>
            <w:tcW w:type="dxa" w:w="2494"/>
            <w:vAlign w:val="center"/>
            <w:shd w:fill="24445C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算子或训练热点</w:t>
            </w:r>
          </w:p>
        </w:tc>
        <w:tc>
          <w:tcPr>
            <w:tcW w:type="dxa" w:w="7257"/>
            <w:vAlign w:val="center"/>
            <w:shd w:fill="24445C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已验证的实现方式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交叉熵 CE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BF16方案保留原生前向，采用Triton反向融合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8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全局梯度范数</w:t>
            </w:r>
          </w:p>
        </w:tc>
        <w:tc>
          <w:tcPr>
            <w:tcW w:type="dxa" w:w="7257"/>
            <w:vAlign w:val="center"/>
            <w:shd w:fill="F3F6F8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保留PyTorch范数计算，合并GPU到CPU的标量传输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RMSNorm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C++/CUDA局部点运算融合，保留原生归约和梯度图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8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Dense SwiGLU</w:t>
            </w:r>
          </w:p>
        </w:tc>
        <w:tc>
          <w:tcPr>
            <w:tcW w:type="dxa" w:w="7257"/>
            <w:vAlign w:val="center"/>
            <w:shd w:fill="F3F6F8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Triton前后向点运算，复用已编译启动入口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Attention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TorchScript减少调用开销，复用原生融合softmax和GEMM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8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MoE带权SwiGLU</w:t>
            </w:r>
          </w:p>
        </w:tc>
        <w:tc>
          <w:tcPr>
            <w:tcW w:type="dxa" w:w="7257"/>
            <w:vAlign w:val="center"/>
            <w:shd w:fill="F3F6F8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Triton前后向与路由权重梯度计算，复用已编译入口</w:t>
            </w:r>
          </w:p>
        </w:tc>
      </w:tr>
    </w:tbl>
    <w:p>
      <w:pPr>
        <w:pStyle w:val="Heading1"/>
        <w:snapToGrid w:val="0"/>
      </w:pPr>
      <w:r>
        <w:t>训练性能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90" w:type="dxa"/>
          <w:right w:w="90" w:type="dxa"/>
        </w:tblCellMar>
      </w:tblPr>
      <w:tblGrid>
        <w:gridCol w:w="3458"/>
        <w:gridCol w:w="2268"/>
        <w:gridCol w:w="2268"/>
        <w:gridCol w:w="1757"/>
      </w:tblGrid>
      <w:tr>
        <w:trPr>
          <w:tblHeader/>
          <w:cantSplit/>
        </w:trPr>
        <w:tc>
          <w:tcPr>
            <w:tcW w:type="dxa" w:w="3458"/>
            <w:vAlign w:val="center"/>
            <w:shd w:fill="24445C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训练配置</w:t>
            </w:r>
          </w:p>
        </w:tc>
        <w:tc>
          <w:tcPr>
            <w:tcW w:type="dxa" w:w="2268"/>
            <w:vAlign w:val="center"/>
            <w:shd w:fill="24445C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原生毫秒/步</w:t>
            </w:r>
          </w:p>
        </w:tc>
        <w:tc>
          <w:tcPr>
            <w:tcW w:type="dxa" w:w="2268"/>
            <w:vAlign w:val="center"/>
            <w:shd w:fill="24445C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优化毫秒/步</w:t>
            </w:r>
          </w:p>
        </w:tc>
        <w:tc>
          <w:tcPr>
            <w:tcW w:type="dxa" w:w="1757"/>
            <w:vAlign w:val="center"/>
            <w:shd w:fill="24445C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吞吐提升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4层MoE 4专家 序列256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76.20–77.48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70.57–71.09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+8.13%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3F6F8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4层MoE 8专家 序列512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112.99–114.00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103.42–103.99</w:t>
            </w:r>
          </w:p>
        </w:tc>
        <w:tc>
          <w:tcPr>
            <w:tcW w:type="dxa" w:w="1757"/>
            <w:vAlign w:val="center"/>
            <w:shd w:fill="F3F6F8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+9.34%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</w:tcPr>
          <w:p>
            <w:pPr>
              <w:spacing w:before="0" w:after="0" w:line="252" w:lineRule="auto"/>
              <w:jc w:val="lef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4层Dense GPT 序列128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33.15–34.15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29.32–29.93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before="0" w:after="0" w:line="252" w:lineRule="auto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+13.96%</w:t>
            </w:r>
          </w:p>
        </w:tc>
      </w:tr>
    </w:tbl>
    <w:p>
      <w:pPr>
        <w:spacing w:after="80"/>
        <w:snapToGrid w:val="0"/>
      </w:pPr>
      <w:r>
        <w:rPr>
          <w:b w:val="0"/>
          <w:sz w:val="19"/>
        </w:rPr>
        <w:t>8专家模型每步从约113–114毫秒缩短到约104毫秒，同样时间内所测训练区间可处理的数据量增加约9%。MoE采用CE、梯度范数和带权SwiGLU组合；Dense采用CE、梯度范数、SwiGLU和Attention组合。不同配置的收益分别成立，不能相加。</w:t>
      </w:r>
    </w:p>
    <w:p>
      <w:pPr>
        <w:spacing w:after="60"/>
        <w:snapToGrid w:val="0"/>
      </w:pPr>
      <w:r>
        <w:rPr>
          <w:b w:val="0"/>
          <w:sz w:val="19"/>
        </w:rPr>
        <w:t>耗时为三个种子的范围，吞吐变化按配对比值的几何平均计算。每进程120步、排除前20步；原生GPU同步后的计时覆盖前向、反向和SGD更新，排除启动、checkpoint保存与评估。</w:t>
      </w:r>
    </w:p>
    <w:p>
      <w:pPr>
        <w:pStyle w:val="Heading1"/>
        <w:snapToGrid w:val="0"/>
      </w:pPr>
      <w:r>
        <w:t>验证范围与下一步</w:t>
      </w:r>
    </w:p>
    <w:p>
      <w:pPr>
        <w:snapToGrid w:val="0"/>
      </w:pPr>
      <w:r>
        <w:rPr>
          <w:b w:val="0"/>
          <w:sz w:val="19"/>
        </w:rPr>
        <w:t>三步训练核对loss、全部参数梯度、BF16权重和FP32主权重，最新两组MoE被比较张量逐位一致。384份新轮原件已归档并校验SHA256；仓库重建、KDA加载及CI通过，包含162项知识库测试和8项新增门禁测试。</w:t>
      </w:r>
    </w:p>
    <w:p>
      <w:pPr>
        <w:snapToGrid w:val="0"/>
      </w:pPr>
      <w:r>
        <w:rPr>
          <w:b w:val="0"/>
          <w:sz w:val="19"/>
        </w:rPr>
        <w:t>范围限于单卡BI-V150、CoreX4.2、厂商Torch2.4.1／Triton2.1、模拟数据和SGD，尚无生产数据、AdamW、多卡或SFT/RL收益。专家GEMM保持原生，Attention复用原生融合softmax。下一步评估专家GEMM／GroupedGEMM，并扩展实际训练配置。</w:t>
      </w:r>
    </w:p>
    <w:p>
      <w:pPr>
        <w:spacing w:after="60"/>
        <w:snapToGrid w:val="0"/>
      </w:pPr>
      <w:r>
        <w:t xml:space="preserve">项目仓库  </w:t>
      </w:r>
      <w:hyperlink r:id="rId9">
        <w:r>
          <w:rPr>
            <w:color w:val="24445C"/>
            <w:u w:val="single"/>
          </w:rPr>
          <w:t>https://github.com/yangpu-333/gpgpu-cake</w:t>
        </w:r>
      </w:hyperlink>
    </w:p>
    <w:p>
      <w:pPr>
        <w:spacing w:after="0"/>
        <w:snapToGrid w:val="0"/>
      </w:pPr>
      <w:hyperlink r:id="rId10">
        <w:r>
          <w:rPr>
            <w:color w:val="24445C"/>
            <w:u w:val="single"/>
          </w:rPr>
          <w:t>详细报告与实验依据</w:t>
        </w:r>
      </w:hyperlink>
      <w:r>
        <w:t xml:space="preserve">    </w:t>
      </w:r>
      <w:hyperlink r:id="rId11">
        <w:r>
          <w:rPr>
            <w:color w:val="24445C"/>
            <w:u w:val="single"/>
          </w:rPr>
          <w:t>已通过的Linux CI</w:t>
        </w:r>
      </w:hyperlink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5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angpu-333/gpgpu-cake" TargetMode="External"/><Relationship Id="rId10" Type="http://schemas.openxmlformats.org/officeDocument/2006/relationships/hyperlink" Target="https://github.com/yangpu-333/gpgpu-cake/blob/main/experiments/kernelwiki_iluvatar/PROJECT_REPORT_0930.md" TargetMode="External"/><Relationship Id="rId11" Type="http://schemas.openxmlformats.org/officeDocument/2006/relationships/hyperlink" Target="https://github.com/yangpu-333/gpgpu-cake/actions/runs/381509915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KernelWiki 天数平台适配技术报告</dc:title>
  <dc:subject>BI-V150 Megatron算子优化与训练验证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