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399D" w14:textId="77777777" w:rsidR="001E10B6" w:rsidRPr="001E10B6" w:rsidRDefault="001E10B6" w:rsidP="001E10B6">
      <w:pPr>
        <w:spacing w:line="240" w:lineRule="auto"/>
        <w:jc w:val="center"/>
        <w:rPr>
          <w:b w:val="0"/>
          <w:bCs w:val="0"/>
          <w:sz w:val="28"/>
          <w:szCs w:val="28"/>
        </w:rPr>
      </w:pPr>
      <w:r w:rsidRPr="001E10B6">
        <w:rPr>
          <w:sz w:val="28"/>
          <w:szCs w:val="28"/>
        </w:rPr>
        <w:t>Practical Strategies for Achieving Carbon Neutrality Using Biomass Energy and Biochar</w:t>
      </w:r>
    </w:p>
    <w:p w14:paraId="1F519F67" w14:textId="77777777" w:rsidR="003D116B" w:rsidRPr="001E10B6" w:rsidRDefault="003D116B" w:rsidP="003D116B">
      <w:pPr>
        <w:spacing w:line="240" w:lineRule="auto"/>
        <w:rPr>
          <w:b w:val="0"/>
          <w:bCs w:val="0"/>
          <w:sz w:val="21"/>
          <w:szCs w:val="21"/>
        </w:rPr>
      </w:pPr>
    </w:p>
    <w:p w14:paraId="334DC2B5" w14:textId="4BBEA7FC" w:rsidR="003D116B" w:rsidRPr="003D116B" w:rsidRDefault="003D116B" w:rsidP="003D116B">
      <w:pPr>
        <w:spacing w:line="240" w:lineRule="auto"/>
        <w:rPr>
          <w:rFonts w:ascii="Cambria" w:hAnsi="Cambria"/>
          <w:b w:val="0"/>
          <w:bCs w:val="0"/>
          <w:i/>
          <w:iCs/>
          <w:color w:val="0B769F" w:themeColor="accent4" w:themeShade="BF"/>
          <w:sz w:val="21"/>
          <w:szCs w:val="21"/>
        </w:rPr>
      </w:pPr>
      <w:r w:rsidRPr="003D116B">
        <w:rPr>
          <w:rFonts w:ascii="Cambria" w:hAnsi="Cambria"/>
          <w:b w:val="0"/>
          <w:bCs w:val="0"/>
          <w:i/>
          <w:iCs/>
          <w:color w:val="0B769F" w:themeColor="accent4" w:themeShade="BF"/>
          <w:sz w:val="21"/>
          <w:szCs w:val="21"/>
        </w:rPr>
        <w:t>AI statement</w:t>
      </w:r>
      <w:r w:rsidRPr="003D116B">
        <w:rPr>
          <w:rFonts w:ascii="Cambria" w:hAnsi="Cambria"/>
          <w:b w:val="0"/>
          <w:bCs w:val="0"/>
          <w:i/>
          <w:iCs/>
          <w:color w:val="0B769F" w:themeColor="accent4" w:themeShade="BF"/>
          <w:sz w:val="21"/>
          <w:szCs w:val="21"/>
        </w:rPr>
        <w:t>：</w:t>
      </w:r>
      <w:r w:rsidRPr="003D116B">
        <w:rPr>
          <w:rFonts w:ascii="Cambria" w:hAnsi="Cambria"/>
          <w:b w:val="0"/>
          <w:bCs w:val="0"/>
          <w:i/>
          <w:iCs/>
          <w:color w:val="0B769F" w:themeColor="accent4" w:themeShade="BF"/>
          <w:sz w:val="21"/>
          <w:szCs w:val="21"/>
        </w:rPr>
        <w:t xml:space="preserve">This </w:t>
      </w:r>
      <w:r w:rsidR="00E7017B">
        <w:rPr>
          <w:rFonts w:ascii="Cambria" w:hAnsi="Cambria" w:hint="eastAsia"/>
          <w:b w:val="0"/>
          <w:bCs w:val="0"/>
          <w:i/>
          <w:iCs/>
          <w:color w:val="0B769F" w:themeColor="accent4" w:themeShade="BF"/>
          <w:sz w:val="21"/>
          <w:szCs w:val="21"/>
        </w:rPr>
        <w:t>essay</w:t>
      </w:r>
      <w:r w:rsidRPr="003D116B">
        <w:rPr>
          <w:rFonts w:ascii="Cambria" w:hAnsi="Cambria"/>
          <w:b w:val="0"/>
          <w:bCs w:val="0"/>
          <w:i/>
          <w:iCs/>
          <w:color w:val="0B769F" w:themeColor="accent4" w:themeShade="BF"/>
          <w:sz w:val="21"/>
          <w:szCs w:val="21"/>
        </w:rPr>
        <w:t xml:space="preserve"> was refined using ChatGPT to enhance my language, correct grammar, and improve word choice. I used </w:t>
      </w:r>
      <w:proofErr w:type="spellStart"/>
      <w:r w:rsidRPr="003D116B">
        <w:rPr>
          <w:rFonts w:ascii="Cambria" w:hAnsi="Cambria"/>
          <w:b w:val="0"/>
          <w:bCs w:val="0"/>
          <w:i/>
          <w:iCs/>
          <w:color w:val="0B769F" w:themeColor="accent4" w:themeShade="BF"/>
          <w:sz w:val="21"/>
          <w:szCs w:val="21"/>
        </w:rPr>
        <w:t>Deepseek</w:t>
      </w:r>
      <w:proofErr w:type="spellEnd"/>
      <w:r w:rsidRPr="003D116B">
        <w:rPr>
          <w:rFonts w:ascii="Cambria" w:hAnsi="Cambria"/>
          <w:b w:val="0"/>
          <w:bCs w:val="0"/>
          <w:i/>
          <w:iCs/>
          <w:color w:val="0B769F" w:themeColor="accent4" w:themeShade="BF"/>
          <w:sz w:val="21"/>
          <w:szCs w:val="21"/>
        </w:rPr>
        <w:t xml:space="preserve"> to help recommend the logical structure and gather relevant information. The rest is based on my own literature review and compilation.</w:t>
      </w:r>
    </w:p>
    <w:p w14:paraId="1CE6689D" w14:textId="77777777" w:rsidR="003D116B" w:rsidRPr="003D116B" w:rsidRDefault="003D116B" w:rsidP="003D116B">
      <w:pPr>
        <w:spacing w:line="240" w:lineRule="auto"/>
        <w:rPr>
          <w:b w:val="0"/>
          <w:bCs w:val="0"/>
          <w:sz w:val="21"/>
          <w:szCs w:val="21"/>
        </w:rPr>
      </w:pPr>
    </w:p>
    <w:p w14:paraId="36198618" w14:textId="77777777" w:rsidR="001E10B6" w:rsidRPr="001E10B6" w:rsidRDefault="001E10B6" w:rsidP="001E10B6">
      <w:pPr>
        <w:spacing w:line="240" w:lineRule="auto"/>
        <w:rPr>
          <w:b w:val="0"/>
          <w:bCs w:val="0"/>
          <w:sz w:val="21"/>
          <w:szCs w:val="21"/>
        </w:rPr>
      </w:pPr>
      <w:r w:rsidRPr="001E10B6">
        <w:rPr>
          <w:sz w:val="21"/>
          <w:szCs w:val="21"/>
        </w:rPr>
        <w:t>Introduction</w:t>
      </w:r>
      <w:r w:rsidRPr="001E10B6">
        <w:rPr>
          <w:b w:val="0"/>
          <w:bCs w:val="0"/>
          <w:sz w:val="21"/>
          <w:szCs w:val="21"/>
        </w:rPr>
        <w:br/>
        <w:t>Carbon neutrality has become a top priority for governments, businesses, and communities worldwide as efforts intensify to combat climate change. Two promising strategies in the pursuit of carbon neutrality are biomass energy and biochar. Biomass energy harnesses energy from organic materials while biochar—a type of charcoal produced from biomass waste—serves as a stable form of carbon sequestration and improves soil health. This paper outlines concrete solutions using both methods, highlights successful examples, and includes a table to illustrate key performance data.</w:t>
      </w:r>
    </w:p>
    <w:p w14:paraId="0C3A07C3" w14:textId="77777777" w:rsidR="001E10B6" w:rsidRPr="001E10B6" w:rsidRDefault="001E10B6" w:rsidP="001E10B6">
      <w:pPr>
        <w:spacing w:line="240" w:lineRule="auto"/>
        <w:rPr>
          <w:b w:val="0"/>
          <w:bCs w:val="0"/>
          <w:sz w:val="21"/>
          <w:szCs w:val="21"/>
        </w:rPr>
      </w:pPr>
      <w:r w:rsidRPr="001E10B6">
        <w:rPr>
          <w:sz w:val="21"/>
          <w:szCs w:val="21"/>
        </w:rPr>
        <w:t>Biomass Energy: A Sustainable Renewable Source</w:t>
      </w:r>
      <w:r w:rsidRPr="001E10B6">
        <w:rPr>
          <w:b w:val="0"/>
          <w:bCs w:val="0"/>
          <w:sz w:val="21"/>
          <w:szCs w:val="21"/>
        </w:rPr>
        <w:br/>
        <w:t>Biomass energy is generated from organic materials such as agricultural residues, wood waste, and municipal garbage. The carbon cycle involved in biomass production is nearly balanced. During plant growth, carbon dioxide (CO₂) is absorbed, and when biomass is converted to energy by combustion or anaerobic digestion, the CO₂ is released. However, if biomass is managed sustainably—with replanting and efficient conversion processes—the net carbon dioxide emissions can be kept low.</w:t>
      </w:r>
    </w:p>
    <w:p w14:paraId="29486A6E" w14:textId="77777777" w:rsidR="001E10B6" w:rsidRPr="001E10B6" w:rsidRDefault="001E10B6" w:rsidP="001E10B6">
      <w:pPr>
        <w:spacing w:line="240" w:lineRule="auto"/>
        <w:rPr>
          <w:b w:val="0"/>
          <w:bCs w:val="0"/>
          <w:sz w:val="21"/>
          <w:szCs w:val="21"/>
        </w:rPr>
      </w:pPr>
      <w:r w:rsidRPr="001E10B6">
        <w:rPr>
          <w:b w:val="0"/>
          <w:bCs w:val="0"/>
          <w:sz w:val="21"/>
          <w:szCs w:val="21"/>
        </w:rPr>
        <w:t>Key points about biomass energy include:</w:t>
      </w:r>
    </w:p>
    <w:p w14:paraId="5A27C657" w14:textId="77777777" w:rsidR="001E10B6" w:rsidRPr="001E10B6" w:rsidRDefault="001E10B6" w:rsidP="001E10B6">
      <w:pPr>
        <w:numPr>
          <w:ilvl w:val="0"/>
          <w:numId w:val="14"/>
        </w:numPr>
        <w:spacing w:line="240" w:lineRule="auto"/>
        <w:rPr>
          <w:b w:val="0"/>
          <w:bCs w:val="0"/>
          <w:sz w:val="21"/>
          <w:szCs w:val="21"/>
        </w:rPr>
      </w:pPr>
      <w:r w:rsidRPr="001E10B6">
        <w:rPr>
          <w:sz w:val="21"/>
          <w:szCs w:val="21"/>
        </w:rPr>
        <w:t>Carbon Cycle Balance:</w:t>
      </w:r>
    </w:p>
    <w:p w14:paraId="42F0E347"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Plants absorb CO₂ during photosynthesis, reducing atmospheric carbon.</w:t>
      </w:r>
    </w:p>
    <w:p w14:paraId="2E4BF54F"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Burning biomass releases CO₂ that was previously captured, creating a closed carbon cycle.</w:t>
      </w:r>
    </w:p>
    <w:p w14:paraId="330E9B5C" w14:textId="77777777" w:rsidR="001E10B6" w:rsidRPr="001E10B6" w:rsidRDefault="001E10B6" w:rsidP="001E10B6">
      <w:pPr>
        <w:numPr>
          <w:ilvl w:val="0"/>
          <w:numId w:val="14"/>
        </w:numPr>
        <w:spacing w:line="240" w:lineRule="auto"/>
        <w:rPr>
          <w:b w:val="0"/>
          <w:bCs w:val="0"/>
          <w:sz w:val="21"/>
          <w:szCs w:val="21"/>
        </w:rPr>
      </w:pPr>
      <w:r w:rsidRPr="001E10B6">
        <w:rPr>
          <w:sz w:val="21"/>
          <w:szCs w:val="21"/>
        </w:rPr>
        <w:t>Advantages of Biomass Energy:</w:t>
      </w:r>
    </w:p>
    <w:p w14:paraId="526AF316"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Reduces reliance on fossil fuels.</w:t>
      </w:r>
    </w:p>
    <w:p w14:paraId="6BFC6496"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Converts agricultural and organic waste into a valuable energy source.</w:t>
      </w:r>
    </w:p>
    <w:p w14:paraId="4CABC747" w14:textId="77777777" w:rsidR="001E10B6" w:rsidRPr="001E10B6" w:rsidRDefault="001E10B6" w:rsidP="001E10B6">
      <w:pPr>
        <w:numPr>
          <w:ilvl w:val="0"/>
          <w:numId w:val="14"/>
        </w:numPr>
        <w:spacing w:line="240" w:lineRule="auto"/>
        <w:rPr>
          <w:b w:val="0"/>
          <w:bCs w:val="0"/>
          <w:sz w:val="21"/>
          <w:szCs w:val="21"/>
        </w:rPr>
      </w:pPr>
      <w:r w:rsidRPr="001E10B6">
        <w:rPr>
          <w:sz w:val="21"/>
          <w:szCs w:val="21"/>
        </w:rPr>
        <w:t>Examples of Application:</w:t>
      </w:r>
    </w:p>
    <w:p w14:paraId="7508C123"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t>Rural communities in India often use rice husks and sugarcane bagasse as fuel for small power units.</w:t>
      </w:r>
    </w:p>
    <w:p w14:paraId="6BE64D74" w14:textId="77777777" w:rsidR="001E10B6" w:rsidRPr="001E10B6" w:rsidRDefault="001E10B6" w:rsidP="001E10B6">
      <w:pPr>
        <w:numPr>
          <w:ilvl w:val="1"/>
          <w:numId w:val="14"/>
        </w:numPr>
        <w:spacing w:line="240" w:lineRule="auto"/>
        <w:rPr>
          <w:b w:val="0"/>
          <w:bCs w:val="0"/>
          <w:sz w:val="21"/>
          <w:szCs w:val="21"/>
        </w:rPr>
      </w:pPr>
      <w:r w:rsidRPr="001E10B6">
        <w:rPr>
          <w:b w:val="0"/>
          <w:bCs w:val="0"/>
          <w:sz w:val="21"/>
          <w:szCs w:val="21"/>
        </w:rPr>
        <w:lastRenderedPageBreak/>
        <w:t>Biogas plants convert animal manure and food waste into energy for heating and electricity.</w:t>
      </w:r>
    </w:p>
    <w:p w14:paraId="7D365126" w14:textId="77777777" w:rsidR="001E10B6" w:rsidRPr="001E10B6" w:rsidRDefault="001E10B6" w:rsidP="001E10B6">
      <w:pPr>
        <w:spacing w:line="240" w:lineRule="auto"/>
        <w:rPr>
          <w:b w:val="0"/>
          <w:bCs w:val="0"/>
          <w:sz w:val="21"/>
          <w:szCs w:val="21"/>
        </w:rPr>
      </w:pPr>
      <w:r w:rsidRPr="001E10B6">
        <w:rPr>
          <w:sz w:val="21"/>
          <w:szCs w:val="21"/>
        </w:rPr>
        <w:t>Sample Data on Biomass Energy Production</w:t>
      </w:r>
    </w:p>
    <w:p w14:paraId="27D4224E" w14:textId="77777777" w:rsidR="001E10B6" w:rsidRPr="001E10B6" w:rsidRDefault="001E10B6" w:rsidP="001E10B6">
      <w:pPr>
        <w:spacing w:line="240" w:lineRule="auto"/>
        <w:rPr>
          <w:b w:val="0"/>
          <w:bCs w:val="0"/>
          <w:sz w:val="21"/>
          <w:szCs w:val="21"/>
        </w:rPr>
      </w:pPr>
      <w:r w:rsidRPr="001E10B6">
        <w:rPr>
          <w:b w:val="0"/>
          <w:bCs w:val="0"/>
          <w:sz w:val="21"/>
          <w:szCs w:val="21"/>
        </w:rPr>
        <w:t>The following table provides an illustrative example of how biomass energy projects can scale up over time, showing energy production and associated reductions in fossil fuel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2020"/>
        <w:gridCol w:w="1507"/>
        <w:gridCol w:w="1715"/>
        <w:gridCol w:w="2569"/>
      </w:tblGrid>
      <w:tr w:rsidR="001E10B6" w:rsidRPr="001E10B6" w14:paraId="0CBCF926" w14:textId="77777777" w:rsidTr="001E10B6">
        <w:trPr>
          <w:tblHeader/>
          <w:tblCellSpacing w:w="15" w:type="dxa"/>
        </w:trPr>
        <w:tc>
          <w:tcPr>
            <w:tcW w:w="0" w:type="auto"/>
            <w:tcBorders>
              <w:top w:val="single" w:sz="4" w:space="0" w:color="auto"/>
              <w:bottom w:val="single" w:sz="4" w:space="0" w:color="auto"/>
            </w:tcBorders>
            <w:vAlign w:val="center"/>
            <w:hideMark/>
          </w:tcPr>
          <w:p w14:paraId="1034DBC9" w14:textId="77777777" w:rsidR="001E10B6" w:rsidRPr="001E10B6" w:rsidRDefault="001E10B6" w:rsidP="001E10B6">
            <w:pPr>
              <w:spacing w:line="240" w:lineRule="auto"/>
              <w:rPr>
                <w:sz w:val="21"/>
                <w:szCs w:val="21"/>
              </w:rPr>
            </w:pPr>
            <w:r w:rsidRPr="001E10B6">
              <w:rPr>
                <w:sz w:val="21"/>
                <w:szCs w:val="21"/>
              </w:rPr>
              <w:t>Year</w:t>
            </w:r>
          </w:p>
        </w:tc>
        <w:tc>
          <w:tcPr>
            <w:tcW w:w="0" w:type="auto"/>
            <w:tcBorders>
              <w:top w:val="single" w:sz="4" w:space="0" w:color="auto"/>
              <w:bottom w:val="single" w:sz="4" w:space="0" w:color="auto"/>
            </w:tcBorders>
            <w:vAlign w:val="center"/>
            <w:hideMark/>
          </w:tcPr>
          <w:p w14:paraId="56E07281" w14:textId="77777777" w:rsidR="001E10B6" w:rsidRPr="001E10B6" w:rsidRDefault="001E10B6" w:rsidP="001E10B6">
            <w:pPr>
              <w:spacing w:line="240" w:lineRule="auto"/>
              <w:rPr>
                <w:sz w:val="21"/>
                <w:szCs w:val="21"/>
              </w:rPr>
            </w:pPr>
            <w:r w:rsidRPr="001E10B6">
              <w:rPr>
                <w:sz w:val="21"/>
                <w:szCs w:val="21"/>
              </w:rPr>
              <w:t>Biomass Energy Production (GWh)</w:t>
            </w:r>
          </w:p>
        </w:tc>
        <w:tc>
          <w:tcPr>
            <w:tcW w:w="0" w:type="auto"/>
            <w:tcBorders>
              <w:top w:val="single" w:sz="4" w:space="0" w:color="auto"/>
              <w:bottom w:val="single" w:sz="4" w:space="0" w:color="auto"/>
            </w:tcBorders>
            <w:vAlign w:val="center"/>
            <w:hideMark/>
          </w:tcPr>
          <w:p w14:paraId="7B959973" w14:textId="77777777" w:rsidR="001E10B6" w:rsidRPr="001E10B6" w:rsidRDefault="001E10B6" w:rsidP="001E10B6">
            <w:pPr>
              <w:spacing w:line="240" w:lineRule="auto"/>
              <w:rPr>
                <w:sz w:val="21"/>
                <w:szCs w:val="21"/>
              </w:rPr>
            </w:pPr>
            <w:r w:rsidRPr="001E10B6">
              <w:rPr>
                <w:sz w:val="21"/>
                <w:szCs w:val="21"/>
              </w:rPr>
              <w:t>Fossil Fuel Offset (tons CO₂)</w:t>
            </w:r>
          </w:p>
        </w:tc>
        <w:tc>
          <w:tcPr>
            <w:tcW w:w="0" w:type="auto"/>
            <w:tcBorders>
              <w:top w:val="single" w:sz="4" w:space="0" w:color="auto"/>
              <w:bottom w:val="single" w:sz="4" w:space="0" w:color="auto"/>
            </w:tcBorders>
            <w:vAlign w:val="center"/>
            <w:hideMark/>
          </w:tcPr>
          <w:p w14:paraId="352CC1C5" w14:textId="77777777" w:rsidR="001E10B6" w:rsidRPr="001E10B6" w:rsidRDefault="001E10B6" w:rsidP="001E10B6">
            <w:pPr>
              <w:spacing w:line="240" w:lineRule="auto"/>
              <w:rPr>
                <w:sz w:val="21"/>
                <w:szCs w:val="21"/>
              </w:rPr>
            </w:pPr>
            <w:r w:rsidRPr="001E10B6">
              <w:rPr>
                <w:sz w:val="21"/>
                <w:szCs w:val="21"/>
              </w:rPr>
              <w:t>Energy Cost (USD/MWh)</w:t>
            </w:r>
          </w:p>
        </w:tc>
        <w:tc>
          <w:tcPr>
            <w:tcW w:w="0" w:type="auto"/>
            <w:tcBorders>
              <w:top w:val="single" w:sz="4" w:space="0" w:color="auto"/>
              <w:bottom w:val="single" w:sz="4" w:space="0" w:color="auto"/>
            </w:tcBorders>
            <w:vAlign w:val="center"/>
            <w:hideMark/>
          </w:tcPr>
          <w:p w14:paraId="1112791D" w14:textId="77777777" w:rsidR="001E10B6" w:rsidRPr="001E10B6" w:rsidRDefault="001E10B6" w:rsidP="001E10B6">
            <w:pPr>
              <w:spacing w:line="240" w:lineRule="auto"/>
              <w:rPr>
                <w:sz w:val="21"/>
                <w:szCs w:val="21"/>
              </w:rPr>
            </w:pPr>
            <w:r w:rsidRPr="001E10B6">
              <w:rPr>
                <w:sz w:val="21"/>
                <w:szCs w:val="21"/>
              </w:rPr>
              <w:t>Key Remarks</w:t>
            </w:r>
          </w:p>
        </w:tc>
      </w:tr>
      <w:tr w:rsidR="001E10B6" w:rsidRPr="001E10B6" w14:paraId="586D2B36" w14:textId="77777777" w:rsidTr="001E10B6">
        <w:trPr>
          <w:tblCellSpacing w:w="15" w:type="dxa"/>
        </w:trPr>
        <w:tc>
          <w:tcPr>
            <w:tcW w:w="0" w:type="auto"/>
            <w:vAlign w:val="center"/>
            <w:hideMark/>
          </w:tcPr>
          <w:p w14:paraId="48AECF57" w14:textId="77777777" w:rsidR="001E10B6" w:rsidRPr="001E10B6" w:rsidRDefault="001E10B6" w:rsidP="001E10B6">
            <w:pPr>
              <w:spacing w:line="240" w:lineRule="auto"/>
              <w:rPr>
                <w:b w:val="0"/>
                <w:bCs w:val="0"/>
                <w:sz w:val="21"/>
                <w:szCs w:val="21"/>
              </w:rPr>
            </w:pPr>
            <w:r w:rsidRPr="001E10B6">
              <w:rPr>
                <w:b w:val="0"/>
                <w:bCs w:val="0"/>
                <w:sz w:val="21"/>
                <w:szCs w:val="21"/>
              </w:rPr>
              <w:t>2018</w:t>
            </w:r>
          </w:p>
        </w:tc>
        <w:tc>
          <w:tcPr>
            <w:tcW w:w="0" w:type="auto"/>
            <w:vAlign w:val="center"/>
            <w:hideMark/>
          </w:tcPr>
          <w:p w14:paraId="755520B5" w14:textId="77777777" w:rsidR="001E10B6" w:rsidRPr="001E10B6" w:rsidRDefault="001E10B6" w:rsidP="001E10B6">
            <w:pPr>
              <w:spacing w:line="240" w:lineRule="auto"/>
              <w:rPr>
                <w:b w:val="0"/>
                <w:bCs w:val="0"/>
                <w:sz w:val="21"/>
                <w:szCs w:val="21"/>
              </w:rPr>
            </w:pPr>
            <w:r w:rsidRPr="001E10B6">
              <w:rPr>
                <w:b w:val="0"/>
                <w:bCs w:val="0"/>
                <w:sz w:val="21"/>
                <w:szCs w:val="21"/>
              </w:rPr>
              <w:t>150</w:t>
            </w:r>
          </w:p>
        </w:tc>
        <w:tc>
          <w:tcPr>
            <w:tcW w:w="0" w:type="auto"/>
            <w:vAlign w:val="center"/>
            <w:hideMark/>
          </w:tcPr>
          <w:p w14:paraId="5DD4B35E" w14:textId="77777777" w:rsidR="001E10B6" w:rsidRPr="001E10B6" w:rsidRDefault="001E10B6" w:rsidP="001E10B6">
            <w:pPr>
              <w:spacing w:line="240" w:lineRule="auto"/>
              <w:rPr>
                <w:b w:val="0"/>
                <w:bCs w:val="0"/>
                <w:sz w:val="21"/>
                <w:szCs w:val="21"/>
              </w:rPr>
            </w:pPr>
            <w:r w:rsidRPr="001E10B6">
              <w:rPr>
                <w:b w:val="0"/>
                <w:bCs w:val="0"/>
                <w:sz w:val="21"/>
                <w:szCs w:val="21"/>
              </w:rPr>
              <w:t>30,000</w:t>
            </w:r>
          </w:p>
        </w:tc>
        <w:tc>
          <w:tcPr>
            <w:tcW w:w="0" w:type="auto"/>
            <w:vAlign w:val="center"/>
            <w:hideMark/>
          </w:tcPr>
          <w:p w14:paraId="43F2017A" w14:textId="77777777" w:rsidR="001E10B6" w:rsidRPr="001E10B6" w:rsidRDefault="001E10B6" w:rsidP="001E10B6">
            <w:pPr>
              <w:spacing w:line="240" w:lineRule="auto"/>
              <w:rPr>
                <w:b w:val="0"/>
                <w:bCs w:val="0"/>
                <w:sz w:val="21"/>
                <w:szCs w:val="21"/>
              </w:rPr>
            </w:pPr>
            <w:r w:rsidRPr="001E10B6">
              <w:rPr>
                <w:b w:val="0"/>
                <w:bCs w:val="0"/>
                <w:sz w:val="21"/>
                <w:szCs w:val="21"/>
              </w:rPr>
              <w:t>45</w:t>
            </w:r>
          </w:p>
        </w:tc>
        <w:tc>
          <w:tcPr>
            <w:tcW w:w="0" w:type="auto"/>
            <w:vAlign w:val="center"/>
            <w:hideMark/>
          </w:tcPr>
          <w:p w14:paraId="362F877A" w14:textId="77777777" w:rsidR="001E10B6" w:rsidRPr="001E10B6" w:rsidRDefault="001E10B6" w:rsidP="001E10B6">
            <w:pPr>
              <w:spacing w:line="240" w:lineRule="auto"/>
              <w:rPr>
                <w:b w:val="0"/>
                <w:bCs w:val="0"/>
                <w:sz w:val="21"/>
                <w:szCs w:val="21"/>
              </w:rPr>
            </w:pPr>
            <w:r w:rsidRPr="001E10B6">
              <w:rPr>
                <w:b w:val="0"/>
                <w:bCs w:val="0"/>
                <w:sz w:val="21"/>
                <w:szCs w:val="21"/>
              </w:rPr>
              <w:t>Initial phase with limited infrastructure</w:t>
            </w:r>
          </w:p>
        </w:tc>
      </w:tr>
      <w:tr w:rsidR="001E10B6" w:rsidRPr="001E10B6" w14:paraId="28AB8D70" w14:textId="77777777" w:rsidTr="001E10B6">
        <w:trPr>
          <w:tblCellSpacing w:w="15" w:type="dxa"/>
        </w:trPr>
        <w:tc>
          <w:tcPr>
            <w:tcW w:w="0" w:type="auto"/>
            <w:vAlign w:val="center"/>
            <w:hideMark/>
          </w:tcPr>
          <w:p w14:paraId="6F1F92ED" w14:textId="77777777" w:rsidR="001E10B6" w:rsidRPr="001E10B6" w:rsidRDefault="001E10B6" w:rsidP="001E10B6">
            <w:pPr>
              <w:spacing w:line="240" w:lineRule="auto"/>
              <w:rPr>
                <w:b w:val="0"/>
                <w:bCs w:val="0"/>
                <w:sz w:val="21"/>
                <w:szCs w:val="21"/>
              </w:rPr>
            </w:pPr>
            <w:r w:rsidRPr="001E10B6">
              <w:rPr>
                <w:b w:val="0"/>
                <w:bCs w:val="0"/>
                <w:sz w:val="21"/>
                <w:szCs w:val="21"/>
              </w:rPr>
              <w:t>2019</w:t>
            </w:r>
          </w:p>
        </w:tc>
        <w:tc>
          <w:tcPr>
            <w:tcW w:w="0" w:type="auto"/>
            <w:vAlign w:val="center"/>
            <w:hideMark/>
          </w:tcPr>
          <w:p w14:paraId="295485E9" w14:textId="77777777" w:rsidR="001E10B6" w:rsidRPr="001E10B6" w:rsidRDefault="001E10B6" w:rsidP="001E10B6">
            <w:pPr>
              <w:spacing w:line="240" w:lineRule="auto"/>
              <w:rPr>
                <w:b w:val="0"/>
                <w:bCs w:val="0"/>
                <w:sz w:val="21"/>
                <w:szCs w:val="21"/>
              </w:rPr>
            </w:pPr>
            <w:r w:rsidRPr="001E10B6">
              <w:rPr>
                <w:b w:val="0"/>
                <w:bCs w:val="0"/>
                <w:sz w:val="21"/>
                <w:szCs w:val="21"/>
              </w:rPr>
              <w:t>200</w:t>
            </w:r>
          </w:p>
        </w:tc>
        <w:tc>
          <w:tcPr>
            <w:tcW w:w="0" w:type="auto"/>
            <w:vAlign w:val="center"/>
            <w:hideMark/>
          </w:tcPr>
          <w:p w14:paraId="2AA20035" w14:textId="77777777" w:rsidR="001E10B6" w:rsidRPr="001E10B6" w:rsidRDefault="001E10B6" w:rsidP="001E10B6">
            <w:pPr>
              <w:spacing w:line="240" w:lineRule="auto"/>
              <w:rPr>
                <w:b w:val="0"/>
                <w:bCs w:val="0"/>
                <w:sz w:val="21"/>
                <w:szCs w:val="21"/>
              </w:rPr>
            </w:pPr>
            <w:r w:rsidRPr="001E10B6">
              <w:rPr>
                <w:b w:val="0"/>
                <w:bCs w:val="0"/>
                <w:sz w:val="21"/>
                <w:szCs w:val="21"/>
              </w:rPr>
              <w:t>40,000</w:t>
            </w:r>
          </w:p>
        </w:tc>
        <w:tc>
          <w:tcPr>
            <w:tcW w:w="0" w:type="auto"/>
            <w:vAlign w:val="center"/>
            <w:hideMark/>
          </w:tcPr>
          <w:p w14:paraId="23EEAC73" w14:textId="77777777" w:rsidR="001E10B6" w:rsidRPr="001E10B6" w:rsidRDefault="001E10B6" w:rsidP="001E10B6">
            <w:pPr>
              <w:spacing w:line="240" w:lineRule="auto"/>
              <w:rPr>
                <w:b w:val="0"/>
                <w:bCs w:val="0"/>
                <w:sz w:val="21"/>
                <w:szCs w:val="21"/>
              </w:rPr>
            </w:pPr>
            <w:r w:rsidRPr="001E10B6">
              <w:rPr>
                <w:b w:val="0"/>
                <w:bCs w:val="0"/>
                <w:sz w:val="21"/>
                <w:szCs w:val="21"/>
              </w:rPr>
              <w:t>43</w:t>
            </w:r>
          </w:p>
        </w:tc>
        <w:tc>
          <w:tcPr>
            <w:tcW w:w="0" w:type="auto"/>
            <w:vAlign w:val="center"/>
            <w:hideMark/>
          </w:tcPr>
          <w:p w14:paraId="165A7E4A" w14:textId="77777777" w:rsidR="001E10B6" w:rsidRPr="001E10B6" w:rsidRDefault="001E10B6" w:rsidP="001E10B6">
            <w:pPr>
              <w:spacing w:line="240" w:lineRule="auto"/>
              <w:rPr>
                <w:b w:val="0"/>
                <w:bCs w:val="0"/>
                <w:sz w:val="21"/>
                <w:szCs w:val="21"/>
              </w:rPr>
            </w:pPr>
            <w:r w:rsidRPr="001E10B6">
              <w:rPr>
                <w:b w:val="0"/>
                <w:bCs w:val="0"/>
                <w:sz w:val="21"/>
                <w:szCs w:val="21"/>
              </w:rPr>
              <w:t>Moderate expansion with improved feedstock</w:t>
            </w:r>
          </w:p>
        </w:tc>
      </w:tr>
      <w:tr w:rsidR="001E10B6" w:rsidRPr="001E10B6" w14:paraId="19819B35" w14:textId="77777777" w:rsidTr="001E10B6">
        <w:trPr>
          <w:tblCellSpacing w:w="15" w:type="dxa"/>
        </w:trPr>
        <w:tc>
          <w:tcPr>
            <w:tcW w:w="0" w:type="auto"/>
            <w:vAlign w:val="center"/>
            <w:hideMark/>
          </w:tcPr>
          <w:p w14:paraId="585DD023" w14:textId="77777777" w:rsidR="001E10B6" w:rsidRPr="001E10B6" w:rsidRDefault="001E10B6" w:rsidP="001E10B6">
            <w:pPr>
              <w:spacing w:line="240" w:lineRule="auto"/>
              <w:rPr>
                <w:b w:val="0"/>
                <w:bCs w:val="0"/>
                <w:sz w:val="21"/>
                <w:szCs w:val="21"/>
              </w:rPr>
            </w:pPr>
            <w:r w:rsidRPr="001E10B6">
              <w:rPr>
                <w:b w:val="0"/>
                <w:bCs w:val="0"/>
                <w:sz w:val="21"/>
                <w:szCs w:val="21"/>
              </w:rPr>
              <w:t>2020</w:t>
            </w:r>
          </w:p>
        </w:tc>
        <w:tc>
          <w:tcPr>
            <w:tcW w:w="0" w:type="auto"/>
            <w:vAlign w:val="center"/>
            <w:hideMark/>
          </w:tcPr>
          <w:p w14:paraId="2206AF60" w14:textId="77777777" w:rsidR="001E10B6" w:rsidRPr="001E10B6" w:rsidRDefault="001E10B6" w:rsidP="001E10B6">
            <w:pPr>
              <w:spacing w:line="240" w:lineRule="auto"/>
              <w:rPr>
                <w:b w:val="0"/>
                <w:bCs w:val="0"/>
                <w:sz w:val="21"/>
                <w:szCs w:val="21"/>
              </w:rPr>
            </w:pPr>
            <w:r w:rsidRPr="001E10B6">
              <w:rPr>
                <w:b w:val="0"/>
                <w:bCs w:val="0"/>
                <w:sz w:val="21"/>
                <w:szCs w:val="21"/>
              </w:rPr>
              <w:t>260</w:t>
            </w:r>
          </w:p>
        </w:tc>
        <w:tc>
          <w:tcPr>
            <w:tcW w:w="0" w:type="auto"/>
            <w:vAlign w:val="center"/>
            <w:hideMark/>
          </w:tcPr>
          <w:p w14:paraId="7582B57C" w14:textId="77777777" w:rsidR="001E10B6" w:rsidRPr="001E10B6" w:rsidRDefault="001E10B6" w:rsidP="001E10B6">
            <w:pPr>
              <w:spacing w:line="240" w:lineRule="auto"/>
              <w:rPr>
                <w:b w:val="0"/>
                <w:bCs w:val="0"/>
                <w:sz w:val="21"/>
                <w:szCs w:val="21"/>
              </w:rPr>
            </w:pPr>
            <w:r w:rsidRPr="001E10B6">
              <w:rPr>
                <w:b w:val="0"/>
                <w:bCs w:val="0"/>
                <w:sz w:val="21"/>
                <w:szCs w:val="21"/>
              </w:rPr>
              <w:t>52,000</w:t>
            </w:r>
          </w:p>
        </w:tc>
        <w:tc>
          <w:tcPr>
            <w:tcW w:w="0" w:type="auto"/>
            <w:vAlign w:val="center"/>
            <w:hideMark/>
          </w:tcPr>
          <w:p w14:paraId="32795E6B" w14:textId="77777777" w:rsidR="001E10B6" w:rsidRPr="001E10B6" w:rsidRDefault="001E10B6" w:rsidP="001E10B6">
            <w:pPr>
              <w:spacing w:line="240" w:lineRule="auto"/>
              <w:rPr>
                <w:b w:val="0"/>
                <w:bCs w:val="0"/>
                <w:sz w:val="21"/>
                <w:szCs w:val="21"/>
              </w:rPr>
            </w:pPr>
            <w:r w:rsidRPr="001E10B6">
              <w:rPr>
                <w:b w:val="0"/>
                <w:bCs w:val="0"/>
                <w:sz w:val="21"/>
                <w:szCs w:val="21"/>
              </w:rPr>
              <w:t>42</w:t>
            </w:r>
          </w:p>
        </w:tc>
        <w:tc>
          <w:tcPr>
            <w:tcW w:w="0" w:type="auto"/>
            <w:vAlign w:val="center"/>
            <w:hideMark/>
          </w:tcPr>
          <w:p w14:paraId="7527F8D3" w14:textId="77777777" w:rsidR="001E10B6" w:rsidRPr="001E10B6" w:rsidRDefault="001E10B6" w:rsidP="001E10B6">
            <w:pPr>
              <w:spacing w:line="240" w:lineRule="auto"/>
              <w:rPr>
                <w:b w:val="0"/>
                <w:bCs w:val="0"/>
                <w:sz w:val="21"/>
                <w:szCs w:val="21"/>
              </w:rPr>
            </w:pPr>
            <w:r w:rsidRPr="001E10B6">
              <w:rPr>
                <w:b w:val="0"/>
                <w:bCs w:val="0"/>
                <w:sz w:val="21"/>
                <w:szCs w:val="21"/>
              </w:rPr>
              <w:t>Technological advancements increased efficiency</w:t>
            </w:r>
          </w:p>
        </w:tc>
      </w:tr>
      <w:tr w:rsidR="001E10B6" w:rsidRPr="001E10B6" w14:paraId="39BA6087" w14:textId="77777777" w:rsidTr="001E10B6">
        <w:trPr>
          <w:tblCellSpacing w:w="15" w:type="dxa"/>
        </w:trPr>
        <w:tc>
          <w:tcPr>
            <w:tcW w:w="0" w:type="auto"/>
            <w:vAlign w:val="center"/>
            <w:hideMark/>
          </w:tcPr>
          <w:p w14:paraId="1C2C111B" w14:textId="77777777" w:rsidR="001E10B6" w:rsidRPr="001E10B6" w:rsidRDefault="001E10B6" w:rsidP="001E10B6">
            <w:pPr>
              <w:spacing w:line="240" w:lineRule="auto"/>
              <w:rPr>
                <w:b w:val="0"/>
                <w:bCs w:val="0"/>
                <w:sz w:val="21"/>
                <w:szCs w:val="21"/>
              </w:rPr>
            </w:pPr>
            <w:r w:rsidRPr="001E10B6">
              <w:rPr>
                <w:b w:val="0"/>
                <w:bCs w:val="0"/>
                <w:sz w:val="21"/>
                <w:szCs w:val="21"/>
              </w:rPr>
              <w:t>2021</w:t>
            </w:r>
          </w:p>
        </w:tc>
        <w:tc>
          <w:tcPr>
            <w:tcW w:w="0" w:type="auto"/>
            <w:vAlign w:val="center"/>
            <w:hideMark/>
          </w:tcPr>
          <w:p w14:paraId="6198EBE8" w14:textId="77777777" w:rsidR="001E10B6" w:rsidRPr="001E10B6" w:rsidRDefault="001E10B6" w:rsidP="001E10B6">
            <w:pPr>
              <w:spacing w:line="240" w:lineRule="auto"/>
              <w:rPr>
                <w:b w:val="0"/>
                <w:bCs w:val="0"/>
                <w:sz w:val="21"/>
                <w:szCs w:val="21"/>
              </w:rPr>
            </w:pPr>
            <w:r w:rsidRPr="001E10B6">
              <w:rPr>
                <w:b w:val="0"/>
                <w:bCs w:val="0"/>
                <w:sz w:val="21"/>
                <w:szCs w:val="21"/>
              </w:rPr>
              <w:t>320</w:t>
            </w:r>
          </w:p>
        </w:tc>
        <w:tc>
          <w:tcPr>
            <w:tcW w:w="0" w:type="auto"/>
            <w:vAlign w:val="center"/>
            <w:hideMark/>
          </w:tcPr>
          <w:p w14:paraId="429F1ED7" w14:textId="77777777" w:rsidR="001E10B6" w:rsidRPr="001E10B6" w:rsidRDefault="001E10B6" w:rsidP="001E10B6">
            <w:pPr>
              <w:spacing w:line="240" w:lineRule="auto"/>
              <w:rPr>
                <w:b w:val="0"/>
                <w:bCs w:val="0"/>
                <w:sz w:val="21"/>
                <w:szCs w:val="21"/>
              </w:rPr>
            </w:pPr>
            <w:r w:rsidRPr="001E10B6">
              <w:rPr>
                <w:b w:val="0"/>
                <w:bCs w:val="0"/>
                <w:sz w:val="21"/>
                <w:szCs w:val="21"/>
              </w:rPr>
              <w:t>64,000</w:t>
            </w:r>
          </w:p>
        </w:tc>
        <w:tc>
          <w:tcPr>
            <w:tcW w:w="0" w:type="auto"/>
            <w:vAlign w:val="center"/>
            <w:hideMark/>
          </w:tcPr>
          <w:p w14:paraId="6D6EE5BC" w14:textId="77777777" w:rsidR="001E10B6" w:rsidRPr="001E10B6" w:rsidRDefault="001E10B6" w:rsidP="001E10B6">
            <w:pPr>
              <w:spacing w:line="240" w:lineRule="auto"/>
              <w:rPr>
                <w:b w:val="0"/>
                <w:bCs w:val="0"/>
                <w:sz w:val="21"/>
                <w:szCs w:val="21"/>
              </w:rPr>
            </w:pPr>
            <w:r w:rsidRPr="001E10B6">
              <w:rPr>
                <w:b w:val="0"/>
                <w:bCs w:val="0"/>
                <w:sz w:val="21"/>
                <w:szCs w:val="21"/>
              </w:rPr>
              <w:t>40</w:t>
            </w:r>
          </w:p>
        </w:tc>
        <w:tc>
          <w:tcPr>
            <w:tcW w:w="0" w:type="auto"/>
            <w:vAlign w:val="center"/>
            <w:hideMark/>
          </w:tcPr>
          <w:p w14:paraId="52705003" w14:textId="77777777" w:rsidR="001E10B6" w:rsidRPr="001E10B6" w:rsidRDefault="001E10B6" w:rsidP="001E10B6">
            <w:pPr>
              <w:spacing w:line="240" w:lineRule="auto"/>
              <w:rPr>
                <w:b w:val="0"/>
                <w:bCs w:val="0"/>
                <w:sz w:val="21"/>
                <w:szCs w:val="21"/>
              </w:rPr>
            </w:pPr>
            <w:r w:rsidRPr="001E10B6">
              <w:rPr>
                <w:b w:val="0"/>
                <w:bCs w:val="0"/>
                <w:sz w:val="21"/>
                <w:szCs w:val="21"/>
              </w:rPr>
              <w:t>Expanded rural adoption and infrastructure</w:t>
            </w:r>
          </w:p>
        </w:tc>
      </w:tr>
      <w:tr w:rsidR="001E10B6" w:rsidRPr="001E10B6" w14:paraId="3E1462C6" w14:textId="77777777" w:rsidTr="001E10B6">
        <w:trPr>
          <w:tblCellSpacing w:w="15" w:type="dxa"/>
        </w:trPr>
        <w:tc>
          <w:tcPr>
            <w:tcW w:w="0" w:type="auto"/>
            <w:tcBorders>
              <w:bottom w:val="single" w:sz="4" w:space="0" w:color="auto"/>
            </w:tcBorders>
            <w:vAlign w:val="center"/>
            <w:hideMark/>
          </w:tcPr>
          <w:p w14:paraId="3E15E1ED" w14:textId="77777777" w:rsidR="001E10B6" w:rsidRPr="001E10B6" w:rsidRDefault="001E10B6" w:rsidP="001E10B6">
            <w:pPr>
              <w:spacing w:line="240" w:lineRule="auto"/>
              <w:rPr>
                <w:b w:val="0"/>
                <w:bCs w:val="0"/>
                <w:sz w:val="21"/>
                <w:szCs w:val="21"/>
              </w:rPr>
            </w:pPr>
            <w:r w:rsidRPr="001E10B6">
              <w:rPr>
                <w:b w:val="0"/>
                <w:bCs w:val="0"/>
                <w:sz w:val="21"/>
                <w:szCs w:val="21"/>
              </w:rPr>
              <w:t>2022</w:t>
            </w:r>
          </w:p>
        </w:tc>
        <w:tc>
          <w:tcPr>
            <w:tcW w:w="0" w:type="auto"/>
            <w:tcBorders>
              <w:bottom w:val="single" w:sz="4" w:space="0" w:color="auto"/>
            </w:tcBorders>
            <w:vAlign w:val="center"/>
            <w:hideMark/>
          </w:tcPr>
          <w:p w14:paraId="6889147E" w14:textId="77777777" w:rsidR="001E10B6" w:rsidRPr="001E10B6" w:rsidRDefault="001E10B6" w:rsidP="001E10B6">
            <w:pPr>
              <w:spacing w:line="240" w:lineRule="auto"/>
              <w:rPr>
                <w:b w:val="0"/>
                <w:bCs w:val="0"/>
                <w:sz w:val="21"/>
                <w:szCs w:val="21"/>
              </w:rPr>
            </w:pPr>
            <w:r w:rsidRPr="001E10B6">
              <w:rPr>
                <w:b w:val="0"/>
                <w:bCs w:val="0"/>
                <w:sz w:val="21"/>
                <w:szCs w:val="21"/>
              </w:rPr>
              <w:t>380</w:t>
            </w:r>
          </w:p>
        </w:tc>
        <w:tc>
          <w:tcPr>
            <w:tcW w:w="0" w:type="auto"/>
            <w:tcBorders>
              <w:bottom w:val="single" w:sz="4" w:space="0" w:color="auto"/>
            </w:tcBorders>
            <w:vAlign w:val="center"/>
            <w:hideMark/>
          </w:tcPr>
          <w:p w14:paraId="6DE405FB" w14:textId="77777777" w:rsidR="001E10B6" w:rsidRPr="001E10B6" w:rsidRDefault="001E10B6" w:rsidP="001E10B6">
            <w:pPr>
              <w:spacing w:line="240" w:lineRule="auto"/>
              <w:rPr>
                <w:b w:val="0"/>
                <w:bCs w:val="0"/>
                <w:sz w:val="21"/>
                <w:szCs w:val="21"/>
              </w:rPr>
            </w:pPr>
            <w:r w:rsidRPr="001E10B6">
              <w:rPr>
                <w:b w:val="0"/>
                <w:bCs w:val="0"/>
                <w:sz w:val="21"/>
                <w:szCs w:val="21"/>
              </w:rPr>
              <w:t>76,000</w:t>
            </w:r>
          </w:p>
        </w:tc>
        <w:tc>
          <w:tcPr>
            <w:tcW w:w="0" w:type="auto"/>
            <w:tcBorders>
              <w:bottom w:val="single" w:sz="4" w:space="0" w:color="auto"/>
            </w:tcBorders>
            <w:vAlign w:val="center"/>
            <w:hideMark/>
          </w:tcPr>
          <w:p w14:paraId="5FC650B6" w14:textId="77777777" w:rsidR="001E10B6" w:rsidRPr="001E10B6" w:rsidRDefault="001E10B6" w:rsidP="001E10B6">
            <w:pPr>
              <w:spacing w:line="240" w:lineRule="auto"/>
              <w:rPr>
                <w:b w:val="0"/>
                <w:bCs w:val="0"/>
                <w:sz w:val="21"/>
                <w:szCs w:val="21"/>
              </w:rPr>
            </w:pPr>
            <w:r w:rsidRPr="001E10B6">
              <w:rPr>
                <w:b w:val="0"/>
                <w:bCs w:val="0"/>
                <w:sz w:val="21"/>
                <w:szCs w:val="21"/>
              </w:rPr>
              <w:t>39</w:t>
            </w:r>
          </w:p>
        </w:tc>
        <w:tc>
          <w:tcPr>
            <w:tcW w:w="0" w:type="auto"/>
            <w:tcBorders>
              <w:bottom w:val="single" w:sz="4" w:space="0" w:color="auto"/>
            </w:tcBorders>
            <w:vAlign w:val="center"/>
            <w:hideMark/>
          </w:tcPr>
          <w:p w14:paraId="561350EC" w14:textId="77777777" w:rsidR="001E10B6" w:rsidRPr="001E10B6" w:rsidRDefault="001E10B6" w:rsidP="001E10B6">
            <w:pPr>
              <w:spacing w:line="240" w:lineRule="auto"/>
              <w:rPr>
                <w:b w:val="0"/>
                <w:bCs w:val="0"/>
                <w:sz w:val="21"/>
                <w:szCs w:val="21"/>
              </w:rPr>
            </w:pPr>
            <w:r w:rsidRPr="001E10B6">
              <w:rPr>
                <w:b w:val="0"/>
                <w:bCs w:val="0"/>
                <w:sz w:val="21"/>
                <w:szCs w:val="21"/>
              </w:rPr>
              <w:t>Significant growth driven by policy incentives</w:t>
            </w:r>
          </w:p>
        </w:tc>
      </w:tr>
    </w:tbl>
    <w:p w14:paraId="2F1E1521" w14:textId="77777777" w:rsidR="001E10B6" w:rsidRPr="001E10B6" w:rsidRDefault="001E10B6" w:rsidP="001E10B6">
      <w:pPr>
        <w:spacing w:line="240" w:lineRule="auto"/>
        <w:rPr>
          <w:b w:val="0"/>
          <w:bCs w:val="0"/>
          <w:sz w:val="21"/>
          <w:szCs w:val="21"/>
        </w:rPr>
      </w:pPr>
      <w:r w:rsidRPr="001E10B6">
        <w:rPr>
          <w:b w:val="0"/>
          <w:bCs w:val="0"/>
          <w:i/>
          <w:iCs/>
          <w:sz w:val="21"/>
          <w:szCs w:val="21"/>
        </w:rPr>
        <w:t>Table: Biomass Energy Production and Its Impact</w:t>
      </w:r>
    </w:p>
    <w:p w14:paraId="301D6C9B" w14:textId="77777777" w:rsidR="001E10B6" w:rsidRPr="001E10B6" w:rsidRDefault="001E10B6" w:rsidP="001E10B6">
      <w:pPr>
        <w:spacing w:line="240" w:lineRule="auto"/>
        <w:rPr>
          <w:b w:val="0"/>
          <w:bCs w:val="0"/>
          <w:sz w:val="21"/>
          <w:szCs w:val="21"/>
        </w:rPr>
      </w:pPr>
      <w:r w:rsidRPr="001E10B6">
        <w:rPr>
          <w:b w:val="0"/>
          <w:bCs w:val="0"/>
          <w:sz w:val="21"/>
          <w:szCs w:val="21"/>
        </w:rPr>
        <w:t>This table illustrates the positive trend in biomass energy production over several years, with reductions in energy costs and increased fossil fuel offsets demonstrating the viability and effectiveness of such projects.</w:t>
      </w:r>
    </w:p>
    <w:p w14:paraId="73DC3313" w14:textId="77777777" w:rsidR="001E10B6" w:rsidRPr="001E10B6" w:rsidRDefault="001E10B6" w:rsidP="001E10B6">
      <w:pPr>
        <w:spacing w:line="240" w:lineRule="auto"/>
        <w:rPr>
          <w:b w:val="0"/>
          <w:bCs w:val="0"/>
          <w:sz w:val="21"/>
          <w:szCs w:val="21"/>
        </w:rPr>
      </w:pPr>
      <w:r w:rsidRPr="001E10B6">
        <w:rPr>
          <w:sz w:val="21"/>
          <w:szCs w:val="21"/>
        </w:rPr>
        <w:t>Biochar: Enhancing Soil Health and Sequestering Carbon</w:t>
      </w:r>
      <w:r w:rsidRPr="001E10B6">
        <w:rPr>
          <w:b w:val="0"/>
          <w:bCs w:val="0"/>
          <w:sz w:val="21"/>
          <w:szCs w:val="21"/>
        </w:rPr>
        <w:br/>
        <w:t>Biochar is produced through the controlled pyrolysis of biomass—in an oxygen-limited environment—which converts organic waste into a highly stable form of carbon. Its applications in agriculture are twofold: it sequesters carbon, thereby reducing CO₂ emissions, and it enhances soil quality.</w:t>
      </w:r>
    </w:p>
    <w:p w14:paraId="61A045A7" w14:textId="77777777" w:rsidR="001E10B6" w:rsidRPr="001E10B6" w:rsidRDefault="001E10B6" w:rsidP="001E10B6">
      <w:pPr>
        <w:spacing w:line="240" w:lineRule="auto"/>
        <w:rPr>
          <w:b w:val="0"/>
          <w:bCs w:val="0"/>
          <w:sz w:val="21"/>
          <w:szCs w:val="21"/>
        </w:rPr>
      </w:pPr>
      <w:r w:rsidRPr="001E10B6">
        <w:rPr>
          <w:b w:val="0"/>
          <w:bCs w:val="0"/>
          <w:sz w:val="21"/>
          <w:szCs w:val="21"/>
        </w:rPr>
        <w:t>Highlights of biochar include:</w:t>
      </w:r>
    </w:p>
    <w:p w14:paraId="5C9D0B48" w14:textId="77777777" w:rsidR="001E10B6" w:rsidRPr="001E10B6" w:rsidRDefault="001E10B6" w:rsidP="001E10B6">
      <w:pPr>
        <w:numPr>
          <w:ilvl w:val="0"/>
          <w:numId w:val="15"/>
        </w:numPr>
        <w:spacing w:line="240" w:lineRule="auto"/>
        <w:rPr>
          <w:b w:val="0"/>
          <w:bCs w:val="0"/>
          <w:sz w:val="21"/>
          <w:szCs w:val="21"/>
        </w:rPr>
      </w:pPr>
      <w:r w:rsidRPr="001E10B6">
        <w:rPr>
          <w:sz w:val="21"/>
          <w:szCs w:val="21"/>
        </w:rPr>
        <w:t>Carbon Sequestration:</w:t>
      </w:r>
    </w:p>
    <w:p w14:paraId="0FC6AD6A"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Conversion of biomass to biochar effectively locks carbon in a stable structure.</w:t>
      </w:r>
    </w:p>
    <w:p w14:paraId="53F77055"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The sequestration process prevents rapid re-release of CO₂ into the atmosphere.</w:t>
      </w:r>
    </w:p>
    <w:p w14:paraId="569D48E4" w14:textId="77777777" w:rsidR="001E10B6" w:rsidRPr="001E10B6" w:rsidRDefault="001E10B6" w:rsidP="001E10B6">
      <w:pPr>
        <w:numPr>
          <w:ilvl w:val="0"/>
          <w:numId w:val="15"/>
        </w:numPr>
        <w:spacing w:line="240" w:lineRule="auto"/>
        <w:rPr>
          <w:b w:val="0"/>
          <w:bCs w:val="0"/>
          <w:sz w:val="21"/>
          <w:szCs w:val="21"/>
        </w:rPr>
      </w:pPr>
      <w:r w:rsidRPr="001E10B6">
        <w:rPr>
          <w:sz w:val="21"/>
          <w:szCs w:val="21"/>
        </w:rPr>
        <w:t>Soil Improvement:</w:t>
      </w:r>
    </w:p>
    <w:p w14:paraId="6B022EC3"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Biochar improves soil structure, water retention, and nutrient availability.</w:t>
      </w:r>
    </w:p>
    <w:p w14:paraId="4DC8EA2C"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lastRenderedPageBreak/>
        <w:t>Its use can reduce the need for chemical fertilizers, promoting sustainable agriculture.</w:t>
      </w:r>
    </w:p>
    <w:p w14:paraId="2FCC733A" w14:textId="77777777" w:rsidR="001E10B6" w:rsidRPr="001E10B6" w:rsidRDefault="001E10B6" w:rsidP="001E10B6">
      <w:pPr>
        <w:numPr>
          <w:ilvl w:val="0"/>
          <w:numId w:val="15"/>
        </w:numPr>
        <w:spacing w:line="240" w:lineRule="auto"/>
        <w:rPr>
          <w:b w:val="0"/>
          <w:bCs w:val="0"/>
          <w:sz w:val="21"/>
          <w:szCs w:val="21"/>
        </w:rPr>
      </w:pPr>
      <w:r w:rsidRPr="001E10B6">
        <w:rPr>
          <w:sz w:val="21"/>
          <w:szCs w:val="21"/>
        </w:rPr>
        <w:t>Real-World Applications:</w:t>
      </w:r>
    </w:p>
    <w:p w14:paraId="516D385C"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In Africa, small-scale farmers have reported increased crop yields after incorporating biochar into their soil.</w:t>
      </w:r>
    </w:p>
    <w:p w14:paraId="6617F56A" w14:textId="77777777" w:rsidR="001E10B6" w:rsidRPr="001E10B6" w:rsidRDefault="001E10B6" w:rsidP="001E10B6">
      <w:pPr>
        <w:numPr>
          <w:ilvl w:val="1"/>
          <w:numId w:val="15"/>
        </w:numPr>
        <w:spacing w:line="240" w:lineRule="auto"/>
        <w:rPr>
          <w:b w:val="0"/>
          <w:bCs w:val="0"/>
          <w:sz w:val="21"/>
          <w:szCs w:val="21"/>
        </w:rPr>
      </w:pPr>
      <w:r w:rsidRPr="001E10B6">
        <w:rPr>
          <w:b w:val="0"/>
          <w:bCs w:val="0"/>
          <w:sz w:val="21"/>
          <w:szCs w:val="21"/>
        </w:rPr>
        <w:t>European pilot projects have demonstrated that biochar can enhance agricultural productivity while contributing to carbon reduction.</w:t>
      </w:r>
    </w:p>
    <w:p w14:paraId="402ED519" w14:textId="77777777" w:rsidR="001E10B6" w:rsidRPr="001E10B6" w:rsidRDefault="001E10B6" w:rsidP="001E10B6">
      <w:pPr>
        <w:spacing w:line="240" w:lineRule="auto"/>
        <w:rPr>
          <w:b w:val="0"/>
          <w:bCs w:val="0"/>
          <w:sz w:val="21"/>
          <w:szCs w:val="21"/>
        </w:rPr>
      </w:pPr>
      <w:r w:rsidRPr="001E10B6">
        <w:rPr>
          <w:sz w:val="21"/>
          <w:szCs w:val="21"/>
        </w:rPr>
        <w:t>Integrating Biomass Energy and Biochar for Maximum Impact</w:t>
      </w:r>
      <w:r w:rsidRPr="001E10B6">
        <w:rPr>
          <w:b w:val="0"/>
          <w:bCs w:val="0"/>
          <w:sz w:val="21"/>
          <w:szCs w:val="21"/>
        </w:rPr>
        <w:br/>
        <w:t>An integrated approach that combines biomass energy and biochar production not only enhances energy generation but also promotes long-term carbon storage. This method maximizes efficiency by producing syngas during the pyrolysis process, which can be used to generate electricity or heat, while the biochar produced serves as an effective soil amendment.</w:t>
      </w:r>
    </w:p>
    <w:p w14:paraId="5FB20802" w14:textId="77777777" w:rsidR="001E10B6" w:rsidRPr="001E10B6" w:rsidRDefault="001E10B6" w:rsidP="001E10B6">
      <w:pPr>
        <w:spacing w:line="240" w:lineRule="auto"/>
        <w:rPr>
          <w:b w:val="0"/>
          <w:bCs w:val="0"/>
          <w:sz w:val="21"/>
          <w:szCs w:val="21"/>
        </w:rPr>
      </w:pPr>
      <w:r w:rsidRPr="001E10B6">
        <w:rPr>
          <w:b w:val="0"/>
          <w:bCs w:val="0"/>
          <w:sz w:val="21"/>
          <w:szCs w:val="21"/>
        </w:rPr>
        <w:t>Important considerations for integration:</w:t>
      </w:r>
    </w:p>
    <w:p w14:paraId="4BEA0C18" w14:textId="77777777" w:rsidR="001E10B6" w:rsidRPr="001E10B6" w:rsidRDefault="001E10B6" w:rsidP="001E10B6">
      <w:pPr>
        <w:numPr>
          <w:ilvl w:val="0"/>
          <w:numId w:val="16"/>
        </w:numPr>
        <w:spacing w:line="240" w:lineRule="auto"/>
        <w:rPr>
          <w:b w:val="0"/>
          <w:bCs w:val="0"/>
          <w:sz w:val="21"/>
          <w:szCs w:val="21"/>
        </w:rPr>
      </w:pPr>
      <w:r w:rsidRPr="001E10B6">
        <w:rPr>
          <w:sz w:val="21"/>
          <w:szCs w:val="21"/>
        </w:rPr>
        <w:t>Efficiency Improvements:</w:t>
      </w:r>
    </w:p>
    <w:p w14:paraId="6CDEC69D"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The combination of energy production and carbon sequestration optimizes biomass use.</w:t>
      </w:r>
    </w:p>
    <w:p w14:paraId="39766355"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Syngas and other by-products are harnessed, minimizing waste.</w:t>
      </w:r>
    </w:p>
    <w:p w14:paraId="0DCD75BF" w14:textId="77777777" w:rsidR="001E10B6" w:rsidRPr="001E10B6" w:rsidRDefault="001E10B6" w:rsidP="001E10B6">
      <w:pPr>
        <w:numPr>
          <w:ilvl w:val="0"/>
          <w:numId w:val="16"/>
        </w:numPr>
        <w:spacing w:line="240" w:lineRule="auto"/>
        <w:rPr>
          <w:b w:val="0"/>
          <w:bCs w:val="0"/>
          <w:sz w:val="21"/>
          <w:szCs w:val="21"/>
        </w:rPr>
      </w:pPr>
      <w:r w:rsidRPr="001E10B6">
        <w:rPr>
          <w:sz w:val="21"/>
          <w:szCs w:val="21"/>
        </w:rPr>
        <w:t>Economic and Environmental Benefits:</w:t>
      </w:r>
    </w:p>
    <w:p w14:paraId="1E2AC6E7"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Integrated systems offer communities reduced energy costs and improved soil fertility.</w:t>
      </w:r>
    </w:p>
    <w:p w14:paraId="6A1D4D54"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The dual benefits of energy generation and enhanced agricultural productivity contribute to the local economy.</w:t>
      </w:r>
    </w:p>
    <w:p w14:paraId="012C7F50" w14:textId="77777777" w:rsidR="001E10B6" w:rsidRPr="001E10B6" w:rsidRDefault="001E10B6" w:rsidP="001E10B6">
      <w:pPr>
        <w:numPr>
          <w:ilvl w:val="0"/>
          <w:numId w:val="16"/>
        </w:numPr>
        <w:spacing w:line="240" w:lineRule="auto"/>
        <w:rPr>
          <w:b w:val="0"/>
          <w:bCs w:val="0"/>
          <w:sz w:val="21"/>
          <w:szCs w:val="21"/>
        </w:rPr>
      </w:pPr>
      <w:r w:rsidRPr="001E10B6">
        <w:rPr>
          <w:sz w:val="21"/>
          <w:szCs w:val="21"/>
        </w:rPr>
        <w:t>Community Impact:</w:t>
      </w:r>
    </w:p>
    <w:p w14:paraId="231CD3D7"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Rural areas can benefit from local energy production and soil enhancement techniques.</w:t>
      </w:r>
    </w:p>
    <w:p w14:paraId="23F7A64A" w14:textId="77777777" w:rsidR="001E10B6" w:rsidRPr="001E10B6" w:rsidRDefault="001E10B6" w:rsidP="001E10B6">
      <w:pPr>
        <w:numPr>
          <w:ilvl w:val="1"/>
          <w:numId w:val="16"/>
        </w:numPr>
        <w:spacing w:line="240" w:lineRule="auto"/>
        <w:ind w:hanging="425"/>
        <w:rPr>
          <w:b w:val="0"/>
          <w:bCs w:val="0"/>
          <w:sz w:val="21"/>
          <w:szCs w:val="21"/>
        </w:rPr>
      </w:pPr>
      <w:r w:rsidRPr="001E10B6">
        <w:rPr>
          <w:b w:val="0"/>
          <w:bCs w:val="0"/>
          <w:sz w:val="21"/>
          <w:szCs w:val="21"/>
        </w:rPr>
        <w:t>Such systems provide a scalable model for achieving broader carbon neutrality goals.</w:t>
      </w:r>
    </w:p>
    <w:p w14:paraId="6EB33949" w14:textId="77777777" w:rsidR="001E10B6" w:rsidRPr="001E10B6" w:rsidRDefault="001E10B6" w:rsidP="001E10B6">
      <w:pPr>
        <w:spacing w:line="240" w:lineRule="auto"/>
        <w:rPr>
          <w:b w:val="0"/>
          <w:bCs w:val="0"/>
          <w:sz w:val="21"/>
          <w:szCs w:val="21"/>
        </w:rPr>
      </w:pPr>
      <w:r w:rsidRPr="001E10B6">
        <w:rPr>
          <w:sz w:val="21"/>
          <w:szCs w:val="21"/>
        </w:rPr>
        <w:t>Conclusion</w:t>
      </w:r>
      <w:r w:rsidRPr="001E10B6">
        <w:rPr>
          <w:b w:val="0"/>
          <w:bCs w:val="0"/>
          <w:sz w:val="21"/>
          <w:szCs w:val="21"/>
        </w:rPr>
        <w:br/>
        <w:t>Biomass energy and biochar offer robust and complementary solutions for achieving carbon neutrality. Biomass energy transforms organic waste into renewable energy, thereby reducing dependence on fossil fuels, while biochar sequesters carbon and enriches soil fertility, boosting agricultural performance. The integration of these technologies, supported by favorable policies and ongoing research, provides a comprehensive strategy to address climate change and promote sustainable development. As demonstrated by the sample data, scaling these projects can lead to significant reductions in carbon emissions and create substantial environmental and economic benefits. Future initiatives should focus on promoting integrated systems that leverage these natural processes to build a greener, carbon-neutral future.</w:t>
      </w:r>
    </w:p>
    <w:p w14:paraId="16958F7A" w14:textId="77777777" w:rsidR="003D116B" w:rsidRPr="003D116B" w:rsidRDefault="003D116B" w:rsidP="003D116B">
      <w:pPr>
        <w:spacing w:line="240" w:lineRule="auto"/>
        <w:rPr>
          <w:rFonts w:hint="eastAsia"/>
          <w:b w:val="0"/>
          <w:bCs w:val="0"/>
          <w:sz w:val="21"/>
          <w:szCs w:val="21"/>
        </w:rPr>
      </w:pPr>
    </w:p>
    <w:sectPr w:rsidR="003D116B" w:rsidRPr="003D116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B826E" w14:textId="77777777" w:rsidR="006A468F" w:rsidRDefault="006A468F" w:rsidP="00E7017B">
      <w:pPr>
        <w:spacing w:after="0" w:line="240" w:lineRule="auto"/>
      </w:pPr>
      <w:r>
        <w:separator/>
      </w:r>
    </w:p>
  </w:endnote>
  <w:endnote w:type="continuationSeparator" w:id="0">
    <w:p w14:paraId="5B74B935" w14:textId="77777777" w:rsidR="006A468F" w:rsidRDefault="006A468F" w:rsidP="00E7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3564704"/>
      <w:docPartObj>
        <w:docPartGallery w:val="Page Numbers (Bottom of Page)"/>
        <w:docPartUnique/>
      </w:docPartObj>
    </w:sdtPr>
    <w:sdtContent>
      <w:p w14:paraId="4261D99F" w14:textId="5BADB1FF" w:rsidR="00E7017B" w:rsidRDefault="00E7017B">
        <w:pPr>
          <w:pStyle w:val="af0"/>
          <w:jc w:val="right"/>
        </w:pPr>
        <w:r>
          <w:fldChar w:fldCharType="begin"/>
        </w:r>
        <w:r>
          <w:instrText>PAGE   \* MERGEFORMAT</w:instrText>
        </w:r>
        <w:r>
          <w:fldChar w:fldCharType="separate"/>
        </w:r>
        <w:r>
          <w:rPr>
            <w:lang w:val="zh-CN"/>
          </w:rPr>
          <w:t>2</w:t>
        </w:r>
        <w:r>
          <w:fldChar w:fldCharType="end"/>
        </w:r>
      </w:p>
    </w:sdtContent>
  </w:sdt>
  <w:p w14:paraId="5BD762B2" w14:textId="77777777" w:rsidR="00E7017B" w:rsidRDefault="00E7017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1BBD6" w14:textId="77777777" w:rsidR="006A468F" w:rsidRDefault="006A468F" w:rsidP="00E7017B">
      <w:pPr>
        <w:spacing w:after="0" w:line="240" w:lineRule="auto"/>
      </w:pPr>
      <w:r>
        <w:separator/>
      </w:r>
    </w:p>
  </w:footnote>
  <w:footnote w:type="continuationSeparator" w:id="0">
    <w:p w14:paraId="72EEC48B" w14:textId="77777777" w:rsidR="006A468F" w:rsidRDefault="006A468F" w:rsidP="00E70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81BA9" w14:textId="3C8028A8" w:rsidR="00E7017B" w:rsidRDefault="00E7017B">
    <w:pPr>
      <w:pStyle w:val="ae"/>
    </w:pPr>
    <w:r>
      <w:rPr>
        <w:rFonts w:hint="eastAsia"/>
      </w:rPr>
      <w:t>FUNH 5000-Quanying MI-50024147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8171B"/>
    <w:multiLevelType w:val="multilevel"/>
    <w:tmpl w:val="53A2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58CA"/>
    <w:multiLevelType w:val="multilevel"/>
    <w:tmpl w:val="2544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30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B0E2F5C"/>
    <w:multiLevelType w:val="multilevel"/>
    <w:tmpl w:val="F1D63D4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宋体" w:eastAsia="宋体" w:hAnsi="宋体"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D1CAA"/>
    <w:multiLevelType w:val="multilevel"/>
    <w:tmpl w:val="9D22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A1E34"/>
    <w:multiLevelType w:val="multilevel"/>
    <w:tmpl w:val="F1A85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7565C"/>
    <w:multiLevelType w:val="multilevel"/>
    <w:tmpl w:val="BEA08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523D5"/>
    <w:multiLevelType w:val="multilevel"/>
    <w:tmpl w:val="8A10EFC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A750F"/>
    <w:multiLevelType w:val="multilevel"/>
    <w:tmpl w:val="2CA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B55B4"/>
    <w:multiLevelType w:val="multilevel"/>
    <w:tmpl w:val="31D29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F1B16"/>
    <w:multiLevelType w:val="multilevel"/>
    <w:tmpl w:val="9A00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A38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E327BFC"/>
    <w:multiLevelType w:val="multilevel"/>
    <w:tmpl w:val="86F60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84383"/>
    <w:multiLevelType w:val="multilevel"/>
    <w:tmpl w:val="8DB4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A6A65"/>
    <w:multiLevelType w:val="multilevel"/>
    <w:tmpl w:val="3934D53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宋体" w:eastAsia="宋体" w:hAnsi="宋体"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643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46332062">
    <w:abstractNumId w:val="6"/>
  </w:num>
  <w:num w:numId="2" w16cid:durableId="1734503265">
    <w:abstractNumId w:val="0"/>
  </w:num>
  <w:num w:numId="3" w16cid:durableId="1380478470">
    <w:abstractNumId w:val="5"/>
  </w:num>
  <w:num w:numId="4" w16cid:durableId="1366636531">
    <w:abstractNumId w:val="9"/>
  </w:num>
  <w:num w:numId="5" w16cid:durableId="968826643">
    <w:abstractNumId w:val="4"/>
  </w:num>
  <w:num w:numId="6" w16cid:durableId="1572614175">
    <w:abstractNumId w:val="12"/>
  </w:num>
  <w:num w:numId="7" w16cid:durableId="210263655">
    <w:abstractNumId w:val="8"/>
  </w:num>
  <w:num w:numId="8" w16cid:durableId="1385520422">
    <w:abstractNumId w:val="7"/>
  </w:num>
  <w:num w:numId="9" w16cid:durableId="1977711768">
    <w:abstractNumId w:val="14"/>
  </w:num>
  <w:num w:numId="10" w16cid:durableId="283076701">
    <w:abstractNumId w:val="3"/>
  </w:num>
  <w:num w:numId="11" w16cid:durableId="1224562870">
    <w:abstractNumId w:val="13"/>
  </w:num>
  <w:num w:numId="12" w16cid:durableId="1943225006">
    <w:abstractNumId w:val="1"/>
  </w:num>
  <w:num w:numId="13" w16cid:durableId="2069919597">
    <w:abstractNumId w:val="10"/>
  </w:num>
  <w:num w:numId="14" w16cid:durableId="354893094">
    <w:abstractNumId w:val="2"/>
  </w:num>
  <w:num w:numId="15" w16cid:durableId="1142966935">
    <w:abstractNumId w:val="11"/>
  </w:num>
  <w:num w:numId="16" w16cid:durableId="7484316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B"/>
    <w:rsid w:val="000B4E89"/>
    <w:rsid w:val="001B6DBF"/>
    <w:rsid w:val="001E10B6"/>
    <w:rsid w:val="003D116B"/>
    <w:rsid w:val="004B6C41"/>
    <w:rsid w:val="006A468F"/>
    <w:rsid w:val="00713643"/>
    <w:rsid w:val="0078785A"/>
    <w:rsid w:val="00BD0A59"/>
    <w:rsid w:val="00CC53E6"/>
    <w:rsid w:val="00DF5352"/>
    <w:rsid w:val="00E70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6A002"/>
  <w15:chartTrackingRefBased/>
  <w15:docId w15:val="{89264E85-5F6A-4018-9C31-4459D1DD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b/>
        <w:bCs/>
        <w:kern w:val="2"/>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D11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11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11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116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D116B"/>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3D116B"/>
    <w:pPr>
      <w:keepNext/>
      <w:keepLines/>
      <w:spacing w:before="40" w:after="0"/>
      <w:outlineLvl w:val="5"/>
    </w:pPr>
    <w:rPr>
      <w:rFonts w:asciiTheme="minorHAnsi" w:eastAsiaTheme="minorEastAsia" w:hAnsiTheme="minorHAnsi" w:cstheme="majorBidi"/>
      <w:color w:val="0F4761" w:themeColor="accent1" w:themeShade="BF"/>
    </w:rPr>
  </w:style>
  <w:style w:type="paragraph" w:styleId="7">
    <w:name w:val="heading 7"/>
    <w:basedOn w:val="a"/>
    <w:next w:val="a"/>
    <w:link w:val="70"/>
    <w:uiPriority w:val="9"/>
    <w:semiHidden/>
    <w:unhideWhenUsed/>
    <w:qFormat/>
    <w:rsid w:val="003D116B"/>
    <w:pPr>
      <w:keepNext/>
      <w:keepLines/>
      <w:spacing w:before="40" w:after="0"/>
      <w:outlineLvl w:val="6"/>
    </w:pPr>
    <w:rPr>
      <w:rFonts w:asciiTheme="minorHAnsi" w:eastAsiaTheme="minorEastAsia" w:hAnsiTheme="minorHAnsi" w:cstheme="majorBidi"/>
      <w:color w:val="595959" w:themeColor="text1" w:themeTint="A6"/>
    </w:rPr>
  </w:style>
  <w:style w:type="paragraph" w:styleId="8">
    <w:name w:val="heading 8"/>
    <w:basedOn w:val="a"/>
    <w:next w:val="a"/>
    <w:link w:val="80"/>
    <w:uiPriority w:val="9"/>
    <w:semiHidden/>
    <w:unhideWhenUsed/>
    <w:qFormat/>
    <w:rsid w:val="003D116B"/>
    <w:pPr>
      <w:keepNext/>
      <w:keepLines/>
      <w:spacing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D116B"/>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1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11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11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116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3D116B"/>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3D116B"/>
    <w:rPr>
      <w:rFonts w:asciiTheme="minorHAnsi" w:eastAsiaTheme="minorEastAsia" w:hAnsiTheme="minorHAnsi" w:cstheme="majorBidi"/>
      <w:color w:val="0F4761" w:themeColor="accent1" w:themeShade="BF"/>
    </w:rPr>
  </w:style>
  <w:style w:type="character" w:customStyle="1" w:styleId="70">
    <w:name w:val="标题 7 字符"/>
    <w:basedOn w:val="a0"/>
    <w:link w:val="7"/>
    <w:uiPriority w:val="9"/>
    <w:semiHidden/>
    <w:rsid w:val="003D116B"/>
    <w:rPr>
      <w:rFonts w:asciiTheme="minorHAnsi" w:eastAsiaTheme="minorEastAsia" w:hAnsiTheme="minorHAnsi" w:cstheme="majorBidi"/>
      <w:color w:val="595959" w:themeColor="text1" w:themeTint="A6"/>
    </w:rPr>
  </w:style>
  <w:style w:type="character" w:customStyle="1" w:styleId="80">
    <w:name w:val="标题 8 字符"/>
    <w:basedOn w:val="a0"/>
    <w:link w:val="8"/>
    <w:uiPriority w:val="9"/>
    <w:semiHidden/>
    <w:rsid w:val="003D116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3D116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3D11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11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11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11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116B"/>
    <w:pPr>
      <w:spacing w:before="160"/>
      <w:jc w:val="center"/>
    </w:pPr>
    <w:rPr>
      <w:i/>
      <w:iCs/>
      <w:color w:val="404040" w:themeColor="text1" w:themeTint="BF"/>
    </w:rPr>
  </w:style>
  <w:style w:type="character" w:customStyle="1" w:styleId="a8">
    <w:name w:val="引用 字符"/>
    <w:basedOn w:val="a0"/>
    <w:link w:val="a7"/>
    <w:uiPriority w:val="29"/>
    <w:rsid w:val="003D116B"/>
    <w:rPr>
      <w:i/>
      <w:iCs/>
      <w:color w:val="404040" w:themeColor="text1" w:themeTint="BF"/>
    </w:rPr>
  </w:style>
  <w:style w:type="paragraph" w:styleId="a9">
    <w:name w:val="List Paragraph"/>
    <w:basedOn w:val="a"/>
    <w:uiPriority w:val="34"/>
    <w:qFormat/>
    <w:rsid w:val="003D116B"/>
    <w:pPr>
      <w:ind w:left="720"/>
      <w:contextualSpacing/>
    </w:pPr>
  </w:style>
  <w:style w:type="character" w:styleId="aa">
    <w:name w:val="Intense Emphasis"/>
    <w:basedOn w:val="a0"/>
    <w:uiPriority w:val="21"/>
    <w:qFormat/>
    <w:rsid w:val="003D116B"/>
    <w:rPr>
      <w:i/>
      <w:iCs/>
      <w:color w:val="0F4761" w:themeColor="accent1" w:themeShade="BF"/>
    </w:rPr>
  </w:style>
  <w:style w:type="paragraph" w:styleId="ab">
    <w:name w:val="Intense Quote"/>
    <w:basedOn w:val="a"/>
    <w:next w:val="a"/>
    <w:link w:val="ac"/>
    <w:uiPriority w:val="30"/>
    <w:qFormat/>
    <w:rsid w:val="003D1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116B"/>
    <w:rPr>
      <w:i/>
      <w:iCs/>
      <w:color w:val="0F4761" w:themeColor="accent1" w:themeShade="BF"/>
    </w:rPr>
  </w:style>
  <w:style w:type="character" w:styleId="ad">
    <w:name w:val="Intense Reference"/>
    <w:basedOn w:val="a0"/>
    <w:uiPriority w:val="32"/>
    <w:qFormat/>
    <w:rsid w:val="003D116B"/>
    <w:rPr>
      <w:b w:val="0"/>
      <w:bCs w:val="0"/>
      <w:smallCaps/>
      <w:color w:val="0F4761" w:themeColor="accent1" w:themeShade="BF"/>
      <w:spacing w:val="5"/>
    </w:rPr>
  </w:style>
  <w:style w:type="paragraph" w:styleId="ae">
    <w:name w:val="header"/>
    <w:basedOn w:val="a"/>
    <w:link w:val="af"/>
    <w:uiPriority w:val="99"/>
    <w:unhideWhenUsed/>
    <w:rsid w:val="00E7017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7017B"/>
    <w:rPr>
      <w:sz w:val="18"/>
      <w:szCs w:val="18"/>
    </w:rPr>
  </w:style>
  <w:style w:type="paragraph" w:styleId="af0">
    <w:name w:val="footer"/>
    <w:basedOn w:val="a"/>
    <w:link w:val="af1"/>
    <w:uiPriority w:val="99"/>
    <w:unhideWhenUsed/>
    <w:rsid w:val="00E7017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701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760851">
      <w:bodyDiv w:val="1"/>
      <w:marLeft w:val="0"/>
      <w:marRight w:val="0"/>
      <w:marTop w:val="0"/>
      <w:marBottom w:val="0"/>
      <w:divBdr>
        <w:top w:val="none" w:sz="0" w:space="0" w:color="auto"/>
        <w:left w:val="none" w:sz="0" w:space="0" w:color="auto"/>
        <w:bottom w:val="none" w:sz="0" w:space="0" w:color="auto"/>
        <w:right w:val="none" w:sz="0" w:space="0" w:color="auto"/>
      </w:divBdr>
    </w:div>
    <w:div w:id="1421680644">
      <w:bodyDiv w:val="1"/>
      <w:marLeft w:val="0"/>
      <w:marRight w:val="0"/>
      <w:marTop w:val="0"/>
      <w:marBottom w:val="0"/>
      <w:divBdr>
        <w:top w:val="none" w:sz="0" w:space="0" w:color="auto"/>
        <w:left w:val="none" w:sz="0" w:space="0" w:color="auto"/>
        <w:bottom w:val="none" w:sz="0" w:space="0" w:color="auto"/>
        <w:right w:val="none" w:sz="0" w:space="0" w:color="auto"/>
      </w:divBdr>
      <w:divsChild>
        <w:div w:id="1237592497">
          <w:marLeft w:val="0"/>
          <w:marRight w:val="0"/>
          <w:marTop w:val="0"/>
          <w:marBottom w:val="0"/>
          <w:divBdr>
            <w:top w:val="none" w:sz="0" w:space="0" w:color="auto"/>
            <w:left w:val="none" w:sz="0" w:space="0" w:color="auto"/>
            <w:bottom w:val="none" w:sz="0" w:space="0" w:color="auto"/>
            <w:right w:val="none" w:sz="0" w:space="0" w:color="auto"/>
          </w:divBdr>
          <w:divsChild>
            <w:div w:id="14521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755">
      <w:bodyDiv w:val="1"/>
      <w:marLeft w:val="0"/>
      <w:marRight w:val="0"/>
      <w:marTop w:val="0"/>
      <w:marBottom w:val="0"/>
      <w:divBdr>
        <w:top w:val="none" w:sz="0" w:space="0" w:color="auto"/>
        <w:left w:val="none" w:sz="0" w:space="0" w:color="auto"/>
        <w:bottom w:val="none" w:sz="0" w:space="0" w:color="auto"/>
        <w:right w:val="none" w:sz="0" w:space="0" w:color="auto"/>
      </w:divBdr>
    </w:div>
    <w:div w:id="2144231462">
      <w:bodyDiv w:val="1"/>
      <w:marLeft w:val="0"/>
      <w:marRight w:val="0"/>
      <w:marTop w:val="0"/>
      <w:marBottom w:val="0"/>
      <w:divBdr>
        <w:top w:val="none" w:sz="0" w:space="0" w:color="auto"/>
        <w:left w:val="none" w:sz="0" w:space="0" w:color="auto"/>
        <w:bottom w:val="none" w:sz="0" w:space="0" w:color="auto"/>
        <w:right w:val="none" w:sz="0" w:space="0" w:color="auto"/>
      </w:divBdr>
      <w:divsChild>
        <w:div w:id="25061637">
          <w:marLeft w:val="0"/>
          <w:marRight w:val="0"/>
          <w:marTop w:val="0"/>
          <w:marBottom w:val="0"/>
          <w:divBdr>
            <w:top w:val="none" w:sz="0" w:space="0" w:color="auto"/>
            <w:left w:val="none" w:sz="0" w:space="0" w:color="auto"/>
            <w:bottom w:val="none" w:sz="0" w:space="0" w:color="auto"/>
            <w:right w:val="none" w:sz="0" w:space="0" w:color="auto"/>
          </w:divBdr>
          <w:divsChild>
            <w:div w:id="6307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Quanying MI</dc:creator>
  <cp:keywords/>
  <dc:description/>
  <cp:lastModifiedBy>Quanying MI</cp:lastModifiedBy>
  <cp:revision>2</cp:revision>
  <dcterms:created xsi:type="dcterms:W3CDTF">2025-04-12T17:51:00Z</dcterms:created>
  <dcterms:modified xsi:type="dcterms:W3CDTF">2025-04-12T17:51:00Z</dcterms:modified>
</cp:coreProperties>
</file>