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CF1177" w14:textId="77777777" w:rsidR="00987D38" w:rsidRPr="00A64806" w:rsidRDefault="00987D38" w:rsidP="00A64806">
      <w:pPr>
        <w:jc w:val="center"/>
        <w:rPr>
          <w:rFonts w:ascii="Arial" w:hAnsi="Arial" w:cs="Arial"/>
          <w:b/>
          <w:bCs/>
        </w:rPr>
      </w:pPr>
      <w:r w:rsidRPr="00A64806">
        <w:rPr>
          <w:rFonts w:ascii="Arial" w:hAnsi="Arial" w:cs="Arial"/>
          <w:b/>
          <w:bCs/>
        </w:rPr>
        <w:t>Practical Solutions to Cope with Climate Change</w:t>
      </w:r>
    </w:p>
    <w:p w14:paraId="44218792" w14:textId="77777777" w:rsidR="00A64806" w:rsidRDefault="00A64806" w:rsidP="00A64806">
      <w:pPr>
        <w:rPr>
          <w:rFonts w:ascii="Arial" w:hAnsi="Arial" w:cs="Arial"/>
        </w:rPr>
      </w:pPr>
    </w:p>
    <w:p w14:paraId="04C8A841" w14:textId="2E7B1D58" w:rsidR="00987D38" w:rsidRPr="00987D38" w:rsidRDefault="00987D38" w:rsidP="00A64806">
      <w:pPr>
        <w:rPr>
          <w:rFonts w:ascii="Arial" w:hAnsi="Arial" w:cs="Arial"/>
        </w:rPr>
      </w:pPr>
      <w:r w:rsidRPr="00987D38">
        <w:rPr>
          <w:rFonts w:ascii="Arial" w:hAnsi="Arial" w:cs="Arial"/>
        </w:rPr>
        <w:t>Climate change is no longer a looming threat but a present reality, reshaping ecosystems, economies, and communities through intensifying storms, prolonged droughts, and record-breaking heatwaves. While the scale of the challenge is unprecedented, actionable solutions are emerging worldwide. These strategies hinge on three pillars: accelerating the clean energy transition, optimizing resource efficiency, and restoring nature’s balance—all underpinned by equitable policies and collective resolve.</w:t>
      </w:r>
    </w:p>
    <w:p w14:paraId="20EB7139" w14:textId="77777777" w:rsidR="00987D38" w:rsidRPr="00987D38" w:rsidRDefault="00987D38" w:rsidP="00987D38">
      <w:pPr>
        <w:rPr>
          <w:rFonts w:ascii="Arial" w:hAnsi="Arial" w:cs="Arial"/>
        </w:rPr>
      </w:pPr>
    </w:p>
    <w:p w14:paraId="4E76612F" w14:textId="77777777" w:rsidR="00A64806" w:rsidRDefault="00987D38" w:rsidP="00A64806">
      <w:pPr>
        <w:rPr>
          <w:rFonts w:ascii="Arial" w:hAnsi="Arial" w:cs="Arial"/>
        </w:rPr>
      </w:pPr>
      <w:r w:rsidRPr="00987D38">
        <w:rPr>
          <w:rFonts w:ascii="Arial" w:hAnsi="Arial" w:cs="Arial"/>
        </w:rPr>
        <w:t>Accelerating the Clean Energy Transition</w:t>
      </w:r>
    </w:p>
    <w:p w14:paraId="17642C6A" w14:textId="620AAC07" w:rsidR="00987D38" w:rsidRPr="00987D38" w:rsidRDefault="00987D38" w:rsidP="00A64806">
      <w:pPr>
        <w:rPr>
          <w:rFonts w:ascii="Arial" w:hAnsi="Arial" w:cs="Arial"/>
        </w:rPr>
      </w:pPr>
      <w:r w:rsidRPr="00987D38">
        <w:rPr>
          <w:rFonts w:ascii="Arial" w:hAnsi="Arial" w:cs="Arial"/>
        </w:rPr>
        <w:t>The combustion of fossil fuels remains the primary driver of climate change, contributing over 75% of global greenhouse gas emissions (Edenhofer et al., 2014). Transitioning to renewable energy is no longer a futuristic ideal but an economic imperative. Solar power, for instance, has undergone a revolution: photovoltaic panel costs plummeted by 80% in the last decade (</w:t>
      </w:r>
      <w:proofErr w:type="spellStart"/>
      <w:r w:rsidRPr="00987D38">
        <w:rPr>
          <w:rFonts w:ascii="Arial" w:hAnsi="Arial" w:cs="Arial"/>
        </w:rPr>
        <w:t>Haegel</w:t>
      </w:r>
      <w:proofErr w:type="spellEnd"/>
      <w:r w:rsidRPr="00987D38">
        <w:rPr>
          <w:rFonts w:ascii="Arial" w:hAnsi="Arial" w:cs="Arial"/>
        </w:rPr>
        <w:t xml:space="preserve"> et al., 2019), making solar the cheapest electricity source in most regions. Countries like Germany and Costa Rica exemplify this shift. Germany now generates 55% of its electricity from wind, solar, and biomass (Jacobson et al., 2017), while Costa Rica has operated on 98% renewable energy for nearly a decade, relying on hydropower and geothermal resources (Heard et al., 2017). To replicate such success globally, governments must phase out fossil fuel subsidies—estimated at $7 trillion annually—and redirect funds toward grid modernization and energy storage. Projects like California’s Moss Landing battery farm, capable of powering 300,000 homes during peak demand, demonstrate how large-scale storage can stabilize renewable grids (Larcher &amp; </w:t>
      </w:r>
      <w:proofErr w:type="spellStart"/>
      <w:r w:rsidRPr="00987D38">
        <w:rPr>
          <w:rFonts w:ascii="Arial" w:hAnsi="Arial" w:cs="Arial"/>
        </w:rPr>
        <w:t>Tarascon</w:t>
      </w:r>
      <w:proofErr w:type="spellEnd"/>
      <w:r w:rsidRPr="00987D38">
        <w:rPr>
          <w:rFonts w:ascii="Arial" w:hAnsi="Arial" w:cs="Arial"/>
        </w:rPr>
        <w:t>, 2015).</w:t>
      </w:r>
    </w:p>
    <w:p w14:paraId="7908ABC1" w14:textId="77777777" w:rsidR="00987D38" w:rsidRPr="00987D38" w:rsidRDefault="00987D38" w:rsidP="00987D38">
      <w:pPr>
        <w:rPr>
          <w:rFonts w:ascii="Arial" w:hAnsi="Arial" w:cs="Arial"/>
        </w:rPr>
      </w:pPr>
    </w:p>
    <w:p w14:paraId="5CB215BB" w14:textId="77777777" w:rsidR="00987D38" w:rsidRPr="00987D38" w:rsidRDefault="00987D38" w:rsidP="00987D38">
      <w:pPr>
        <w:rPr>
          <w:rFonts w:ascii="Arial" w:hAnsi="Arial" w:cs="Arial"/>
        </w:rPr>
      </w:pPr>
      <w:r w:rsidRPr="00987D38">
        <w:rPr>
          <w:rFonts w:ascii="Arial" w:hAnsi="Arial" w:cs="Arial"/>
        </w:rPr>
        <w:t>Optimizing Energy and Resource Efficiency</w:t>
      </w:r>
    </w:p>
    <w:p w14:paraId="36F88246" w14:textId="77777777" w:rsidR="00987D38" w:rsidRPr="00987D38" w:rsidRDefault="00987D38" w:rsidP="00987D38">
      <w:pPr>
        <w:rPr>
          <w:rFonts w:ascii="Arial" w:hAnsi="Arial" w:cs="Arial"/>
        </w:rPr>
      </w:pPr>
      <w:r w:rsidRPr="00987D38">
        <w:rPr>
          <w:rFonts w:ascii="Arial" w:hAnsi="Arial" w:cs="Arial"/>
        </w:rPr>
        <w:t>Reducing energy waste offers a cost-effective pathway to curb emissions. Buildings, responsible for 40% of global CO</w:t>
      </w:r>
      <w:r w:rsidRPr="00987D38">
        <w:rPr>
          <w:rFonts w:ascii="Cambria Math" w:hAnsi="Cambria Math" w:cs="Cambria Math"/>
        </w:rPr>
        <w:t>₂</w:t>
      </w:r>
      <w:r w:rsidRPr="00987D38">
        <w:rPr>
          <w:rFonts w:ascii="Arial" w:hAnsi="Arial" w:cs="Arial"/>
        </w:rPr>
        <w:t xml:space="preserve"> output (Levine et al., 2007), can be transformed through retrofitting. New York City</w:t>
      </w:r>
      <w:proofErr w:type="gramStart"/>
      <w:r w:rsidRPr="00987D38">
        <w:rPr>
          <w:rFonts w:ascii="Arial" w:eastAsia="DengXian" w:hAnsi="Arial" w:cs="Arial"/>
        </w:rPr>
        <w:t>’</w:t>
      </w:r>
      <w:proofErr w:type="gramEnd"/>
      <w:r w:rsidRPr="00987D38">
        <w:rPr>
          <w:rFonts w:ascii="Arial" w:hAnsi="Arial" w:cs="Arial"/>
        </w:rPr>
        <w:t>s Local Law 97 mandates a 40% emissions cut in large buildings by 2030, incentivizing upgrades like high-efficiency HVAC systems and smart energy management</w:t>
      </w:r>
      <w:r w:rsidRPr="00987D38">
        <w:rPr>
          <w:rFonts w:ascii="Arial" w:eastAsia="DengXian" w:hAnsi="Arial" w:cs="Arial"/>
        </w:rPr>
        <w:t>—</w:t>
      </w:r>
      <w:r w:rsidRPr="00987D38">
        <w:rPr>
          <w:rFonts w:ascii="Arial" w:hAnsi="Arial" w:cs="Arial"/>
        </w:rPr>
        <w:t>a policy model validated by research (Hsu et al., 2020). The transportation sector is also evolving. Norway, where 80% of new car sales are electric, showcases how tax breaks, toll exemptions, and ubiquitous charging stations can drive adoption (</w:t>
      </w:r>
      <w:proofErr w:type="spellStart"/>
      <w:r w:rsidRPr="00987D38">
        <w:rPr>
          <w:rFonts w:ascii="Arial" w:hAnsi="Arial" w:cs="Arial"/>
        </w:rPr>
        <w:t>Sovacool</w:t>
      </w:r>
      <w:proofErr w:type="spellEnd"/>
      <w:r w:rsidRPr="00987D38">
        <w:rPr>
          <w:rFonts w:ascii="Arial" w:hAnsi="Arial" w:cs="Arial"/>
        </w:rPr>
        <w:t xml:space="preserve"> et al., 2019). Heavy industries, often deemed "hard-to-abate," are innovating too. Sweden’s HYBRIT initiative replaces coking coal with green hydrogen in steel production, slashing emissions by 95% (</w:t>
      </w:r>
      <w:proofErr w:type="spellStart"/>
      <w:r w:rsidRPr="00987D38">
        <w:rPr>
          <w:rFonts w:ascii="Arial" w:hAnsi="Arial" w:cs="Arial"/>
        </w:rPr>
        <w:t>Fischedick</w:t>
      </w:r>
      <w:proofErr w:type="spellEnd"/>
      <w:r w:rsidRPr="00987D38">
        <w:rPr>
          <w:rFonts w:ascii="Arial" w:hAnsi="Arial" w:cs="Arial"/>
        </w:rPr>
        <w:t xml:space="preserve"> et al., 2022)—a blueprint for sectors like cement and chemicals.</w:t>
      </w:r>
    </w:p>
    <w:p w14:paraId="76AA7B03" w14:textId="77777777" w:rsidR="00987D38" w:rsidRPr="00987D38" w:rsidRDefault="00987D38" w:rsidP="00987D38">
      <w:pPr>
        <w:rPr>
          <w:rFonts w:ascii="Arial" w:hAnsi="Arial" w:cs="Arial"/>
        </w:rPr>
      </w:pPr>
    </w:p>
    <w:p w14:paraId="053E1C27" w14:textId="77777777" w:rsidR="00987D38" w:rsidRPr="00987D38" w:rsidRDefault="00987D38" w:rsidP="00987D38">
      <w:pPr>
        <w:rPr>
          <w:rFonts w:ascii="Arial" w:hAnsi="Arial" w:cs="Arial"/>
        </w:rPr>
      </w:pPr>
      <w:r w:rsidRPr="00987D38">
        <w:rPr>
          <w:rFonts w:ascii="Arial" w:hAnsi="Arial" w:cs="Arial"/>
        </w:rPr>
        <w:t>Restoring Nature’s Balance</w:t>
      </w:r>
    </w:p>
    <w:p w14:paraId="3ACAB399" w14:textId="77777777" w:rsidR="00987D38" w:rsidRPr="00987D38" w:rsidRDefault="00987D38" w:rsidP="00987D38">
      <w:pPr>
        <w:rPr>
          <w:rFonts w:ascii="Arial" w:hAnsi="Arial" w:cs="Arial"/>
        </w:rPr>
      </w:pPr>
      <w:r w:rsidRPr="00987D38">
        <w:rPr>
          <w:rFonts w:ascii="Arial" w:hAnsi="Arial" w:cs="Arial"/>
        </w:rPr>
        <w:t>Natural ecosystems serve as Earth’s carbon sinks, yet their degradation exacerbates climate chaos. Forests alone absorb 2.6 billion tons of CO</w:t>
      </w:r>
      <w:r w:rsidRPr="00987D38">
        <w:rPr>
          <w:rFonts w:ascii="Cambria Math" w:hAnsi="Cambria Math" w:cs="Cambria Math"/>
        </w:rPr>
        <w:t>₂</w:t>
      </w:r>
      <w:r w:rsidRPr="00987D38">
        <w:rPr>
          <w:rFonts w:ascii="Arial" w:hAnsi="Arial" w:cs="Arial"/>
        </w:rPr>
        <w:t xml:space="preserve"> annually (Pan et al., 2011), but deforestation</w:t>
      </w:r>
      <w:r w:rsidRPr="00987D38">
        <w:rPr>
          <w:rFonts w:ascii="Arial" w:eastAsia="DengXian" w:hAnsi="Arial" w:cs="Arial"/>
        </w:rPr>
        <w:t>—</w:t>
      </w:r>
      <w:r w:rsidRPr="00987D38">
        <w:rPr>
          <w:rFonts w:ascii="Arial" w:hAnsi="Arial" w:cs="Arial"/>
        </w:rPr>
        <w:t>responsible for 15% of global emissions</w:t>
      </w:r>
      <w:r w:rsidRPr="00987D38">
        <w:rPr>
          <w:rFonts w:ascii="Arial" w:eastAsia="DengXian" w:hAnsi="Arial" w:cs="Arial"/>
        </w:rPr>
        <w:t>—</w:t>
      </w:r>
      <w:r w:rsidRPr="00987D38">
        <w:rPr>
          <w:rFonts w:ascii="Arial" w:hAnsi="Arial" w:cs="Arial"/>
        </w:rPr>
        <w:t>undermines this capacity. Brazil</w:t>
      </w:r>
      <w:proofErr w:type="gramStart"/>
      <w:r w:rsidRPr="00987D38">
        <w:rPr>
          <w:rFonts w:ascii="Arial" w:eastAsia="DengXian" w:hAnsi="Arial" w:cs="Arial"/>
        </w:rPr>
        <w:t>’</w:t>
      </w:r>
      <w:proofErr w:type="gramEnd"/>
      <w:r w:rsidRPr="00987D38">
        <w:rPr>
          <w:rFonts w:ascii="Arial" w:hAnsi="Arial" w:cs="Arial"/>
        </w:rPr>
        <w:t xml:space="preserve">s 34% reduction in Amazon deforestation in 2023, achieved through satellite monitoring and stricter enforcement, proves progress is possible (INPE, 2023). Reforestation efforts, such </w:t>
      </w:r>
      <w:r w:rsidRPr="00987D38">
        <w:rPr>
          <w:rFonts w:ascii="Arial" w:hAnsi="Arial" w:cs="Arial"/>
        </w:rPr>
        <w:lastRenderedPageBreak/>
        <w:t>as the Trillion Tree Campaign, aim to revive degraded lands (Bastin et al., 2019), while regenerative farming practices like cover cropping and agroforestry can sequester up to 8 tons of CO</w:t>
      </w:r>
      <w:r w:rsidRPr="00987D38">
        <w:rPr>
          <w:rFonts w:ascii="Cambria Math" w:hAnsi="Cambria Math" w:cs="Cambria Math"/>
        </w:rPr>
        <w:t>₂</w:t>
      </w:r>
      <w:r w:rsidRPr="00987D38">
        <w:rPr>
          <w:rFonts w:ascii="Arial" w:hAnsi="Arial" w:cs="Arial"/>
        </w:rPr>
        <w:t xml:space="preserve"> per hectare yearly (Lal, 2020). Even cities are joining the movement: Milan</w:t>
      </w:r>
      <w:proofErr w:type="gramStart"/>
      <w:r w:rsidRPr="00987D38">
        <w:rPr>
          <w:rFonts w:ascii="Arial" w:eastAsia="DengXian" w:hAnsi="Arial" w:cs="Arial"/>
        </w:rPr>
        <w:t>’</w:t>
      </w:r>
      <w:proofErr w:type="gramEnd"/>
      <w:r w:rsidRPr="00987D38">
        <w:rPr>
          <w:rFonts w:ascii="Arial" w:hAnsi="Arial" w:cs="Arial"/>
        </w:rPr>
        <w:t>s "Vertical Forest" towers, draped in 900 trees, illustrate how urban design can harmonize with nature.</w:t>
      </w:r>
    </w:p>
    <w:p w14:paraId="0D58CD9A" w14:textId="77777777" w:rsidR="00987D38" w:rsidRPr="00987D38" w:rsidRDefault="00987D38" w:rsidP="00987D38">
      <w:pPr>
        <w:rPr>
          <w:rFonts w:ascii="Arial" w:hAnsi="Arial" w:cs="Arial"/>
        </w:rPr>
      </w:pPr>
    </w:p>
    <w:p w14:paraId="22D43855" w14:textId="77777777" w:rsidR="00987D38" w:rsidRPr="00987D38" w:rsidRDefault="00987D38" w:rsidP="00987D38">
      <w:pPr>
        <w:rPr>
          <w:rFonts w:ascii="Arial" w:hAnsi="Arial" w:cs="Arial"/>
        </w:rPr>
      </w:pPr>
      <w:r w:rsidRPr="00987D38">
        <w:rPr>
          <w:rFonts w:ascii="Arial" w:hAnsi="Arial" w:cs="Arial"/>
        </w:rPr>
        <w:t>Innovating with Equity in Mind</w:t>
      </w:r>
    </w:p>
    <w:p w14:paraId="0D2D7F06" w14:textId="5C04A0A8" w:rsidR="00987D38" w:rsidRPr="00987D38" w:rsidRDefault="00987D38" w:rsidP="00987D38">
      <w:pPr>
        <w:rPr>
          <w:rFonts w:ascii="Arial" w:hAnsi="Arial" w:cs="Arial"/>
        </w:rPr>
      </w:pPr>
      <w:r w:rsidRPr="00987D38">
        <w:rPr>
          <w:rFonts w:ascii="Arial" w:hAnsi="Arial" w:cs="Arial"/>
        </w:rPr>
        <w:t xml:space="preserve">Emerging technologies must balance ambition with ethics. Direct air capture (DAC) systems, such as </w:t>
      </w:r>
      <w:proofErr w:type="spellStart"/>
      <w:r w:rsidRPr="00987D38">
        <w:rPr>
          <w:rFonts w:ascii="Arial" w:hAnsi="Arial" w:cs="Arial"/>
        </w:rPr>
        <w:t>Climeworks</w:t>
      </w:r>
      <w:proofErr w:type="spellEnd"/>
      <w:r w:rsidRPr="00987D38">
        <w:rPr>
          <w:rFonts w:ascii="Arial" w:hAnsi="Arial" w:cs="Arial"/>
        </w:rPr>
        <w:t>’ installations in Iceland, extract CO</w:t>
      </w:r>
      <w:r w:rsidRPr="00987D38">
        <w:rPr>
          <w:rFonts w:ascii="Cambria Math" w:hAnsi="Cambria Math" w:cs="Cambria Math"/>
        </w:rPr>
        <w:t>₂</w:t>
      </w:r>
      <w:r w:rsidRPr="00987D38">
        <w:rPr>
          <w:rFonts w:ascii="Arial" w:hAnsi="Arial" w:cs="Arial"/>
        </w:rPr>
        <w:t xml:space="preserve"> from the atmosphere for underground storage. While promising, their current cost of 600–800 per ton limits scalability (Keith et al., 2018). Green hydrogen, produced using renewable energy, offers a cleaner alternative for industries like shipping and aviation. Chile’s Magallanes region, with its relentless winds, is pioneering large-scale green hydrogen production at competitive prices (Gielen et al., 2019). However, solutions like biofuels—often derived from food crops—risk displacing agriculture or triggering deforestation (</w:t>
      </w:r>
      <w:proofErr w:type="spellStart"/>
      <w:r w:rsidRPr="00987D38">
        <w:rPr>
          <w:rFonts w:ascii="Arial" w:hAnsi="Arial" w:cs="Arial"/>
        </w:rPr>
        <w:t>Searchinger</w:t>
      </w:r>
      <w:proofErr w:type="spellEnd"/>
      <w:r w:rsidRPr="00987D38">
        <w:rPr>
          <w:rFonts w:ascii="Arial" w:hAnsi="Arial" w:cs="Arial"/>
        </w:rPr>
        <w:t xml:space="preserve"> et al., 2008), emphasizing the need for stringent sustainability criteria.</w:t>
      </w:r>
    </w:p>
    <w:p w14:paraId="256EAF18" w14:textId="77777777" w:rsidR="00987D38" w:rsidRPr="00987D38" w:rsidRDefault="00987D38" w:rsidP="00987D38">
      <w:pPr>
        <w:rPr>
          <w:rFonts w:ascii="Arial" w:hAnsi="Arial" w:cs="Arial"/>
        </w:rPr>
      </w:pPr>
    </w:p>
    <w:p w14:paraId="0C9DD693" w14:textId="77777777" w:rsidR="00987D38" w:rsidRPr="00987D38" w:rsidRDefault="00987D38" w:rsidP="00987D38">
      <w:pPr>
        <w:rPr>
          <w:rFonts w:ascii="Arial" w:hAnsi="Arial" w:cs="Arial"/>
        </w:rPr>
      </w:pPr>
      <w:r w:rsidRPr="00987D38">
        <w:rPr>
          <w:rFonts w:ascii="Arial" w:hAnsi="Arial" w:cs="Arial"/>
        </w:rPr>
        <w:t>Ultimately, climate action demands systemic collaboration. Carbon pricing mechanisms, such as Canada’s revenue-neutral tax, demonstrate that economic growth and emissions reduction can coexist (Murray &amp; Rivers, 2015). Meanwhile, individuals contribute through dietary shifts—reducing meat consumption alone could cut U.S. emissions by 1.5% annually (Springmann et al., 2016)—and waste reduction. Sweden’s 99% recycling rate, achieved by converting trash into energy, provides a replicable model (Zaman, 2014).</w:t>
      </w:r>
    </w:p>
    <w:p w14:paraId="1E3D762F" w14:textId="77777777" w:rsidR="00987D38" w:rsidRPr="00987D38" w:rsidRDefault="00987D38" w:rsidP="00987D38">
      <w:pPr>
        <w:rPr>
          <w:rFonts w:ascii="Arial" w:hAnsi="Arial" w:cs="Arial"/>
        </w:rPr>
      </w:pPr>
    </w:p>
    <w:p w14:paraId="113FE489" w14:textId="36EBA611" w:rsidR="004A0BA0" w:rsidRDefault="00987D38" w:rsidP="00987D38">
      <w:pPr>
        <w:rPr>
          <w:rFonts w:ascii="Arial" w:hAnsi="Arial" w:cs="Arial"/>
        </w:rPr>
      </w:pPr>
      <w:r w:rsidRPr="00987D38">
        <w:rPr>
          <w:rFonts w:ascii="Arial" w:hAnsi="Arial" w:cs="Arial"/>
        </w:rPr>
        <w:t>The tools to combat climate change exist. What remains is the political courage to prioritize long-term survival over short-term gains and the societal will to embrace change. As forests regrow, cities reimagine infrastructure, and industries reinvent themselves, humanity’s capacity for innovation and adaptation shines through—offering hope in the race against time.</w:t>
      </w:r>
    </w:p>
    <w:p w14:paraId="13C298CE" w14:textId="0FC8089C" w:rsidR="00A64806" w:rsidRDefault="00A64806" w:rsidP="00A64806">
      <w:pPr>
        <w:widowControl/>
        <w:jc w:val="left"/>
        <w:rPr>
          <w:rFonts w:ascii="Arial" w:hAnsi="Arial" w:cs="Arial" w:hint="eastAsia"/>
        </w:rPr>
      </w:pPr>
      <w:r>
        <w:rPr>
          <w:rFonts w:ascii="Arial" w:hAnsi="Arial" w:cs="Arial"/>
        </w:rPr>
        <w:br w:type="page"/>
      </w:r>
    </w:p>
    <w:p w14:paraId="5F9D3ED8" w14:textId="77777777" w:rsidR="00A64806" w:rsidRDefault="00A64806" w:rsidP="00A64806">
      <w:pPr>
        <w:jc w:val="center"/>
        <w:rPr>
          <w:rFonts w:ascii="Arial" w:hAnsi="Arial" w:cs="Arial"/>
        </w:rPr>
      </w:pPr>
      <w:r w:rsidRPr="00A64806">
        <w:rPr>
          <w:rFonts w:ascii="Arial" w:hAnsi="Arial" w:cs="Arial"/>
        </w:rPr>
        <w:lastRenderedPageBreak/>
        <w:t>References</w:t>
      </w:r>
    </w:p>
    <w:p w14:paraId="4AECEF2B" w14:textId="77777777" w:rsidR="00A64806" w:rsidRPr="00A64806" w:rsidRDefault="00A64806" w:rsidP="00A64806">
      <w:pPr>
        <w:jc w:val="center"/>
        <w:rPr>
          <w:rFonts w:ascii="Arial" w:hAnsi="Arial" w:cs="Arial"/>
        </w:rPr>
      </w:pPr>
    </w:p>
    <w:p w14:paraId="478F69A4" w14:textId="77777777" w:rsidR="00A64806" w:rsidRDefault="00A64806" w:rsidP="00A64806">
      <w:pPr>
        <w:pStyle w:val="a3"/>
        <w:numPr>
          <w:ilvl w:val="0"/>
          <w:numId w:val="1"/>
        </w:numPr>
        <w:ind w:firstLineChars="0"/>
        <w:rPr>
          <w:rFonts w:ascii="Arial" w:hAnsi="Arial" w:cs="Arial"/>
        </w:rPr>
      </w:pPr>
      <w:r w:rsidRPr="00A64806">
        <w:rPr>
          <w:rFonts w:ascii="Arial" w:hAnsi="Arial" w:cs="Arial"/>
        </w:rPr>
        <w:t>Edenhofer, O. et al. (2014). Climate Change 2014: Mitigation of Climate Change. IPCC.</w:t>
      </w:r>
      <w:r>
        <w:rPr>
          <w:rFonts w:ascii="Arial" w:hAnsi="Arial" w:cs="Arial" w:hint="eastAsia"/>
        </w:rPr>
        <w:t xml:space="preserve"> </w:t>
      </w:r>
    </w:p>
    <w:p w14:paraId="40F25E0F" w14:textId="77777777" w:rsidR="00A64806" w:rsidRDefault="00A64806" w:rsidP="00A64806">
      <w:pPr>
        <w:pStyle w:val="a3"/>
        <w:numPr>
          <w:ilvl w:val="0"/>
          <w:numId w:val="1"/>
        </w:numPr>
        <w:ind w:firstLineChars="0"/>
        <w:rPr>
          <w:rFonts w:ascii="Arial" w:hAnsi="Arial" w:cs="Arial"/>
        </w:rPr>
      </w:pPr>
      <w:proofErr w:type="spellStart"/>
      <w:r w:rsidRPr="00A64806">
        <w:rPr>
          <w:rFonts w:ascii="Arial" w:hAnsi="Arial" w:cs="Arial"/>
        </w:rPr>
        <w:t>Haegel</w:t>
      </w:r>
      <w:proofErr w:type="spellEnd"/>
      <w:r w:rsidRPr="00A64806">
        <w:rPr>
          <w:rFonts w:ascii="Arial" w:hAnsi="Arial" w:cs="Arial"/>
        </w:rPr>
        <w:t>, N. M. et al. (2019). "Terawatt-scale photovoltaics: Trajectories and challenges." Science.</w:t>
      </w:r>
    </w:p>
    <w:p w14:paraId="4362377A" w14:textId="77777777" w:rsidR="00A64806" w:rsidRDefault="00A64806" w:rsidP="00A64806">
      <w:pPr>
        <w:pStyle w:val="a3"/>
        <w:numPr>
          <w:ilvl w:val="0"/>
          <w:numId w:val="1"/>
        </w:numPr>
        <w:ind w:firstLineChars="0"/>
        <w:rPr>
          <w:rFonts w:ascii="Arial" w:hAnsi="Arial" w:cs="Arial"/>
        </w:rPr>
      </w:pPr>
      <w:r w:rsidRPr="00A64806">
        <w:rPr>
          <w:rFonts w:ascii="Arial" w:hAnsi="Arial" w:cs="Arial"/>
        </w:rPr>
        <w:t>Jacobson, M. Z. et al. (2017). "100% clean and renewable energy systems." Joule.</w:t>
      </w:r>
    </w:p>
    <w:p w14:paraId="63A26318" w14:textId="77777777" w:rsidR="00A64806" w:rsidRDefault="00A64806" w:rsidP="00A64806">
      <w:pPr>
        <w:pStyle w:val="a3"/>
        <w:numPr>
          <w:ilvl w:val="0"/>
          <w:numId w:val="1"/>
        </w:numPr>
        <w:ind w:firstLineChars="0"/>
        <w:rPr>
          <w:rFonts w:ascii="Arial" w:hAnsi="Arial" w:cs="Arial"/>
        </w:rPr>
      </w:pPr>
      <w:r w:rsidRPr="00A64806">
        <w:rPr>
          <w:rFonts w:ascii="Arial" w:hAnsi="Arial" w:cs="Arial"/>
        </w:rPr>
        <w:t xml:space="preserve">Larcher, D., &amp; </w:t>
      </w:r>
      <w:proofErr w:type="spellStart"/>
      <w:r w:rsidRPr="00A64806">
        <w:rPr>
          <w:rFonts w:ascii="Arial" w:hAnsi="Arial" w:cs="Arial"/>
        </w:rPr>
        <w:t>Tarascon</w:t>
      </w:r>
      <w:proofErr w:type="spellEnd"/>
      <w:r w:rsidRPr="00A64806">
        <w:rPr>
          <w:rFonts w:ascii="Arial" w:hAnsi="Arial" w:cs="Arial"/>
        </w:rPr>
        <w:t>, J.-M. (2015). "Towards greener and more sustainable batteries." Nature.</w:t>
      </w:r>
    </w:p>
    <w:p w14:paraId="5D598280" w14:textId="77777777" w:rsidR="00A64806" w:rsidRDefault="00A64806" w:rsidP="00A64806">
      <w:pPr>
        <w:pStyle w:val="a3"/>
        <w:numPr>
          <w:ilvl w:val="0"/>
          <w:numId w:val="1"/>
        </w:numPr>
        <w:ind w:firstLineChars="0"/>
        <w:rPr>
          <w:rFonts w:ascii="Arial" w:hAnsi="Arial" w:cs="Arial"/>
        </w:rPr>
      </w:pPr>
      <w:r w:rsidRPr="00A64806">
        <w:rPr>
          <w:rFonts w:ascii="Arial" w:hAnsi="Arial" w:cs="Arial"/>
        </w:rPr>
        <w:t>Levine, M. et al. (2007). "Residential and commercial buildings." IPCC AR4.</w:t>
      </w:r>
    </w:p>
    <w:p w14:paraId="58770635" w14:textId="77777777" w:rsidR="00A64806" w:rsidRDefault="00A64806" w:rsidP="00A64806">
      <w:pPr>
        <w:pStyle w:val="a3"/>
        <w:numPr>
          <w:ilvl w:val="0"/>
          <w:numId w:val="1"/>
        </w:numPr>
        <w:ind w:firstLineChars="0"/>
        <w:rPr>
          <w:rFonts w:ascii="Arial" w:hAnsi="Arial" w:cs="Arial"/>
        </w:rPr>
      </w:pPr>
      <w:r w:rsidRPr="00A64806">
        <w:rPr>
          <w:rFonts w:ascii="Arial" w:hAnsi="Arial" w:cs="Arial"/>
        </w:rPr>
        <w:t>Hsu, A. et al. (2020). "Urban climate policy innovation." Nature Climate Change.</w:t>
      </w:r>
    </w:p>
    <w:p w14:paraId="3EEC258E" w14:textId="77777777" w:rsidR="00A64806" w:rsidRDefault="00A64806" w:rsidP="00A64806">
      <w:pPr>
        <w:pStyle w:val="a3"/>
        <w:numPr>
          <w:ilvl w:val="0"/>
          <w:numId w:val="1"/>
        </w:numPr>
        <w:ind w:firstLineChars="0"/>
        <w:rPr>
          <w:rFonts w:ascii="Arial" w:hAnsi="Arial" w:cs="Arial"/>
        </w:rPr>
      </w:pPr>
      <w:proofErr w:type="spellStart"/>
      <w:r w:rsidRPr="00A64806">
        <w:rPr>
          <w:rFonts w:ascii="Arial" w:hAnsi="Arial" w:cs="Arial"/>
        </w:rPr>
        <w:t>Sovacool</w:t>
      </w:r>
      <w:proofErr w:type="spellEnd"/>
      <w:r w:rsidRPr="00A64806">
        <w:rPr>
          <w:rFonts w:ascii="Arial" w:hAnsi="Arial" w:cs="Arial"/>
        </w:rPr>
        <w:t>, B. K. et al. (2019). "Nordic electric mobility transitions." Energy Research &amp; Social Science.</w:t>
      </w:r>
    </w:p>
    <w:p w14:paraId="30D89BAB" w14:textId="77777777" w:rsidR="00A64806" w:rsidRDefault="00A64806" w:rsidP="00A64806">
      <w:pPr>
        <w:pStyle w:val="a3"/>
        <w:numPr>
          <w:ilvl w:val="0"/>
          <w:numId w:val="1"/>
        </w:numPr>
        <w:ind w:firstLineChars="0"/>
        <w:rPr>
          <w:rFonts w:ascii="Arial" w:hAnsi="Arial" w:cs="Arial"/>
        </w:rPr>
      </w:pPr>
      <w:proofErr w:type="spellStart"/>
      <w:r w:rsidRPr="00A64806">
        <w:rPr>
          <w:rFonts w:ascii="Arial" w:hAnsi="Arial" w:cs="Arial"/>
        </w:rPr>
        <w:t>Fischedick</w:t>
      </w:r>
      <w:proofErr w:type="spellEnd"/>
      <w:r w:rsidRPr="00A64806">
        <w:rPr>
          <w:rFonts w:ascii="Arial" w:hAnsi="Arial" w:cs="Arial"/>
        </w:rPr>
        <w:t>, M. et al. (2022). "Hydrogen-based steelmaking." Joule.</w:t>
      </w:r>
    </w:p>
    <w:p w14:paraId="7561B2D9" w14:textId="77777777" w:rsidR="00A64806" w:rsidRDefault="00A64806" w:rsidP="00A64806">
      <w:pPr>
        <w:pStyle w:val="a3"/>
        <w:numPr>
          <w:ilvl w:val="0"/>
          <w:numId w:val="1"/>
        </w:numPr>
        <w:ind w:firstLineChars="0"/>
        <w:rPr>
          <w:rFonts w:ascii="Arial" w:hAnsi="Arial" w:cs="Arial"/>
        </w:rPr>
      </w:pPr>
      <w:r w:rsidRPr="00A64806">
        <w:rPr>
          <w:rFonts w:ascii="Arial" w:hAnsi="Arial" w:cs="Arial"/>
        </w:rPr>
        <w:t>Pan, Y. et al. (2011). "A large carbon sink in forests." Science.</w:t>
      </w:r>
    </w:p>
    <w:p w14:paraId="2649BA67" w14:textId="77777777" w:rsidR="00A64806" w:rsidRDefault="00A64806" w:rsidP="00A64806">
      <w:pPr>
        <w:pStyle w:val="a3"/>
        <w:numPr>
          <w:ilvl w:val="0"/>
          <w:numId w:val="1"/>
        </w:numPr>
        <w:ind w:firstLineChars="0"/>
        <w:rPr>
          <w:rFonts w:ascii="Arial" w:hAnsi="Arial" w:cs="Arial"/>
        </w:rPr>
      </w:pPr>
      <w:r w:rsidRPr="00A64806">
        <w:rPr>
          <w:rFonts w:ascii="Arial" w:hAnsi="Arial" w:cs="Arial"/>
        </w:rPr>
        <w:t>Bastin, J.-F. et al. (2019). "Global tree restoration potential." Science.</w:t>
      </w:r>
    </w:p>
    <w:p w14:paraId="5312F626" w14:textId="77777777" w:rsidR="00A64806" w:rsidRDefault="00A64806" w:rsidP="00A64806">
      <w:pPr>
        <w:pStyle w:val="a3"/>
        <w:numPr>
          <w:ilvl w:val="0"/>
          <w:numId w:val="1"/>
        </w:numPr>
        <w:ind w:firstLineChars="0"/>
        <w:rPr>
          <w:rFonts w:ascii="Arial" w:hAnsi="Arial" w:cs="Arial"/>
        </w:rPr>
      </w:pPr>
      <w:r w:rsidRPr="00A64806">
        <w:rPr>
          <w:rFonts w:ascii="Arial" w:hAnsi="Arial" w:cs="Arial"/>
        </w:rPr>
        <w:t>Lal, R. (2020). "Regenerative agriculture." Nature Food.</w:t>
      </w:r>
    </w:p>
    <w:p w14:paraId="3257ACD7" w14:textId="77777777" w:rsidR="00A64806" w:rsidRDefault="00A64806" w:rsidP="00A64806">
      <w:pPr>
        <w:pStyle w:val="a3"/>
        <w:numPr>
          <w:ilvl w:val="0"/>
          <w:numId w:val="1"/>
        </w:numPr>
        <w:ind w:firstLineChars="0"/>
        <w:rPr>
          <w:rFonts w:ascii="Arial" w:hAnsi="Arial" w:cs="Arial"/>
        </w:rPr>
      </w:pPr>
      <w:r w:rsidRPr="00A64806">
        <w:rPr>
          <w:rFonts w:ascii="Arial" w:hAnsi="Arial" w:cs="Arial"/>
        </w:rPr>
        <w:t>Keith, D. W. et al. (2018). "Capturing CO</w:t>
      </w:r>
      <w:r w:rsidRPr="00A64806">
        <w:rPr>
          <w:rFonts w:ascii="Cambria Math" w:hAnsi="Cambria Math" w:cs="Cambria Math"/>
        </w:rPr>
        <w:t>₂</w:t>
      </w:r>
      <w:r w:rsidRPr="00A64806">
        <w:rPr>
          <w:rFonts w:ascii="Arial" w:hAnsi="Arial" w:cs="Arial"/>
        </w:rPr>
        <w:t xml:space="preserve"> from the atmosphere." Joule.</w:t>
      </w:r>
    </w:p>
    <w:p w14:paraId="1870ADC3" w14:textId="77777777" w:rsidR="00A64806" w:rsidRDefault="00A64806" w:rsidP="00A64806">
      <w:pPr>
        <w:pStyle w:val="a3"/>
        <w:numPr>
          <w:ilvl w:val="0"/>
          <w:numId w:val="1"/>
        </w:numPr>
        <w:ind w:firstLineChars="0"/>
        <w:rPr>
          <w:rFonts w:ascii="Arial" w:hAnsi="Arial" w:cs="Arial"/>
        </w:rPr>
      </w:pPr>
      <w:r w:rsidRPr="00A64806">
        <w:rPr>
          <w:rFonts w:ascii="Arial" w:hAnsi="Arial" w:cs="Arial"/>
        </w:rPr>
        <w:t>Gielen, D. et al. (2019). "Hydrogen: A renewable perspective." IRENA.</w:t>
      </w:r>
    </w:p>
    <w:p w14:paraId="3B3F084C" w14:textId="77777777" w:rsidR="00A64806" w:rsidRDefault="00A64806" w:rsidP="00A64806">
      <w:pPr>
        <w:pStyle w:val="a3"/>
        <w:numPr>
          <w:ilvl w:val="0"/>
          <w:numId w:val="1"/>
        </w:numPr>
        <w:ind w:firstLineChars="0"/>
        <w:rPr>
          <w:rFonts w:ascii="Arial" w:hAnsi="Arial" w:cs="Arial"/>
        </w:rPr>
      </w:pPr>
      <w:proofErr w:type="spellStart"/>
      <w:r w:rsidRPr="00A64806">
        <w:rPr>
          <w:rFonts w:ascii="Arial" w:hAnsi="Arial" w:cs="Arial"/>
        </w:rPr>
        <w:t>Searchinger</w:t>
      </w:r>
      <w:proofErr w:type="spellEnd"/>
      <w:r w:rsidRPr="00A64806">
        <w:rPr>
          <w:rFonts w:ascii="Arial" w:hAnsi="Arial" w:cs="Arial"/>
        </w:rPr>
        <w:t>, T. et al. (2008). "Biofuels increase greenhouse gases." Science.</w:t>
      </w:r>
    </w:p>
    <w:p w14:paraId="4B5C341B" w14:textId="77777777" w:rsidR="00A64806" w:rsidRDefault="00A64806" w:rsidP="00A64806">
      <w:pPr>
        <w:pStyle w:val="a3"/>
        <w:numPr>
          <w:ilvl w:val="0"/>
          <w:numId w:val="1"/>
        </w:numPr>
        <w:ind w:firstLineChars="0"/>
        <w:rPr>
          <w:rFonts w:ascii="Arial" w:hAnsi="Arial" w:cs="Arial"/>
        </w:rPr>
      </w:pPr>
      <w:r w:rsidRPr="00A64806">
        <w:rPr>
          <w:rFonts w:ascii="Arial" w:hAnsi="Arial" w:cs="Arial"/>
        </w:rPr>
        <w:t>Murray, B., &amp; Rivers, N. (2015). "Carbon tax impacts." Energy Policy.</w:t>
      </w:r>
    </w:p>
    <w:p w14:paraId="24B640EC" w14:textId="77777777" w:rsidR="00A64806" w:rsidRDefault="00A64806" w:rsidP="00A64806">
      <w:pPr>
        <w:pStyle w:val="a3"/>
        <w:numPr>
          <w:ilvl w:val="0"/>
          <w:numId w:val="1"/>
        </w:numPr>
        <w:ind w:firstLineChars="0"/>
        <w:rPr>
          <w:rFonts w:ascii="Arial" w:hAnsi="Arial" w:cs="Arial"/>
        </w:rPr>
      </w:pPr>
      <w:r w:rsidRPr="00A64806">
        <w:rPr>
          <w:rFonts w:ascii="Arial" w:hAnsi="Arial" w:cs="Arial"/>
        </w:rPr>
        <w:t>Hickel, J. (2020). "National responsibility for climate breakdown." Lancet Planetary Health.</w:t>
      </w:r>
    </w:p>
    <w:p w14:paraId="23677270" w14:textId="77777777" w:rsidR="00A64806" w:rsidRDefault="00A64806" w:rsidP="00A64806">
      <w:pPr>
        <w:pStyle w:val="a3"/>
        <w:numPr>
          <w:ilvl w:val="0"/>
          <w:numId w:val="1"/>
        </w:numPr>
        <w:ind w:firstLineChars="0"/>
        <w:rPr>
          <w:rFonts w:ascii="Arial" w:hAnsi="Arial" w:cs="Arial"/>
        </w:rPr>
      </w:pPr>
      <w:r w:rsidRPr="00A64806">
        <w:rPr>
          <w:rFonts w:ascii="Arial" w:hAnsi="Arial" w:cs="Arial"/>
        </w:rPr>
        <w:t>Gerber, P. J. et al. (2013). Tackling Climate Change Through Livestock. FAO.</w:t>
      </w:r>
    </w:p>
    <w:p w14:paraId="0E19F195" w14:textId="77777777" w:rsidR="00A64806" w:rsidRDefault="00A64806" w:rsidP="00A64806">
      <w:pPr>
        <w:pStyle w:val="a3"/>
        <w:numPr>
          <w:ilvl w:val="0"/>
          <w:numId w:val="1"/>
        </w:numPr>
        <w:ind w:firstLineChars="0"/>
        <w:rPr>
          <w:rFonts w:ascii="Arial" w:hAnsi="Arial" w:cs="Arial"/>
        </w:rPr>
      </w:pPr>
      <w:r w:rsidRPr="00A64806">
        <w:rPr>
          <w:rFonts w:ascii="Arial" w:hAnsi="Arial" w:cs="Arial"/>
        </w:rPr>
        <w:t>Zaman, A. U. (2014). "Waste management performance." Waste Management.</w:t>
      </w:r>
    </w:p>
    <w:p w14:paraId="6376AEA9" w14:textId="0178B08E" w:rsidR="00A64806" w:rsidRPr="00A64806" w:rsidRDefault="00A64806" w:rsidP="00A64806">
      <w:pPr>
        <w:pStyle w:val="a3"/>
        <w:numPr>
          <w:ilvl w:val="0"/>
          <w:numId w:val="1"/>
        </w:numPr>
        <w:ind w:firstLineChars="0"/>
        <w:rPr>
          <w:rFonts w:ascii="Arial" w:hAnsi="Arial" w:cs="Arial" w:hint="eastAsia"/>
        </w:rPr>
      </w:pPr>
      <w:r w:rsidRPr="00A64806">
        <w:rPr>
          <w:rFonts w:ascii="Arial" w:hAnsi="Arial" w:cs="Arial"/>
        </w:rPr>
        <w:t>Fisher, D. R. (2023). "Impacts of climate activism." Nature Climate Change</w:t>
      </w:r>
    </w:p>
    <w:p w14:paraId="5A386783" w14:textId="07FF1032" w:rsidR="00A64806" w:rsidRDefault="00A64806">
      <w:pPr>
        <w:widowControl/>
        <w:jc w:val="left"/>
        <w:rPr>
          <w:rFonts w:ascii="Arial" w:hAnsi="Arial" w:cs="Arial"/>
        </w:rPr>
      </w:pPr>
      <w:r>
        <w:rPr>
          <w:rFonts w:ascii="Arial" w:hAnsi="Arial" w:cs="Arial"/>
        </w:rPr>
        <w:br w:type="page"/>
      </w:r>
    </w:p>
    <w:p w14:paraId="5F1CFCE1" w14:textId="37BBF951" w:rsidR="00A64806" w:rsidRDefault="00A64806" w:rsidP="00987D38">
      <w:pPr>
        <w:rPr>
          <w:rFonts w:ascii="Arial" w:hAnsi="Arial" w:cs="Arial"/>
        </w:rPr>
      </w:pPr>
      <w:r w:rsidRPr="00A64806">
        <w:rPr>
          <w:rFonts w:ascii="Arial" w:hAnsi="Arial" w:cs="Arial"/>
        </w:rPr>
        <w:lastRenderedPageBreak/>
        <w:t>Statement of AI use</w:t>
      </w:r>
    </w:p>
    <w:p w14:paraId="1AD92323" w14:textId="2798D4D1" w:rsidR="00A64806" w:rsidRDefault="00A64806" w:rsidP="00987D38">
      <w:pPr>
        <w:rPr>
          <w:rFonts w:ascii="Arial" w:hAnsi="Arial" w:cs="Arial"/>
        </w:rPr>
      </w:pPr>
      <w:r w:rsidRPr="00A64806">
        <w:rPr>
          <w:rFonts w:ascii="Arial" w:hAnsi="Arial" w:cs="Arial"/>
        </w:rPr>
        <w:drawing>
          <wp:inline distT="0" distB="0" distL="0" distR="0" wp14:anchorId="2D290D99" wp14:editId="7D2C8973">
            <wp:extent cx="5274310" cy="1928495"/>
            <wp:effectExtent l="0" t="0" r="2540" b="0"/>
            <wp:docPr id="7058018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801845" name=""/>
                    <pic:cNvPicPr/>
                  </pic:nvPicPr>
                  <pic:blipFill>
                    <a:blip r:embed="rId6"/>
                    <a:stretch>
                      <a:fillRect/>
                    </a:stretch>
                  </pic:blipFill>
                  <pic:spPr>
                    <a:xfrm>
                      <a:off x="0" y="0"/>
                      <a:ext cx="5274310" cy="1928495"/>
                    </a:xfrm>
                    <a:prstGeom prst="rect">
                      <a:avLst/>
                    </a:prstGeom>
                  </pic:spPr>
                </pic:pic>
              </a:graphicData>
            </a:graphic>
          </wp:inline>
        </w:drawing>
      </w:r>
    </w:p>
    <w:p w14:paraId="33C760EC" w14:textId="77777777" w:rsidR="00A64806" w:rsidRDefault="00A64806" w:rsidP="00987D38">
      <w:pPr>
        <w:rPr>
          <w:rFonts w:ascii="Arial" w:hAnsi="Arial" w:cs="Arial"/>
        </w:rPr>
      </w:pPr>
    </w:p>
    <w:p w14:paraId="1AD12FE2" w14:textId="7613439D" w:rsidR="00A64806" w:rsidRDefault="00A64806" w:rsidP="00987D38">
      <w:pPr>
        <w:rPr>
          <w:rFonts w:ascii="Arial" w:hAnsi="Arial" w:cs="Arial" w:hint="eastAsia"/>
        </w:rPr>
      </w:pPr>
      <w:r w:rsidRPr="00A64806">
        <w:rPr>
          <w:rFonts w:ascii="Arial" w:hAnsi="Arial" w:cs="Arial"/>
        </w:rPr>
        <w:drawing>
          <wp:anchor distT="0" distB="0" distL="114300" distR="114300" simplePos="0" relativeHeight="251658240" behindDoc="0" locked="0" layoutInCell="1" allowOverlap="1" wp14:anchorId="6086A0FB" wp14:editId="064C00A8">
            <wp:simplePos x="0" y="0"/>
            <wp:positionH relativeFrom="margin">
              <wp:align>right</wp:align>
            </wp:positionH>
            <wp:positionV relativeFrom="paragraph">
              <wp:posOffset>297180</wp:posOffset>
            </wp:positionV>
            <wp:extent cx="5046345" cy="2183130"/>
            <wp:effectExtent l="0" t="0" r="1905" b="7620"/>
            <wp:wrapSquare wrapText="bothSides"/>
            <wp:docPr id="11790816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081696"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46345" cy="2183130"/>
                    </a:xfrm>
                    <a:prstGeom prst="rect">
                      <a:avLst/>
                    </a:prstGeom>
                  </pic:spPr>
                </pic:pic>
              </a:graphicData>
            </a:graphic>
            <wp14:sizeRelH relativeFrom="page">
              <wp14:pctWidth>0</wp14:pctWidth>
            </wp14:sizeRelH>
            <wp14:sizeRelV relativeFrom="page">
              <wp14:pctHeight>0</wp14:pctHeight>
            </wp14:sizeRelV>
          </wp:anchor>
        </w:drawing>
      </w:r>
    </w:p>
    <w:p w14:paraId="3596F46D" w14:textId="20765122" w:rsidR="00A64806" w:rsidRPr="00987D38" w:rsidRDefault="00A64806" w:rsidP="00987D38">
      <w:pPr>
        <w:rPr>
          <w:rFonts w:ascii="Arial" w:hAnsi="Arial" w:cs="Arial" w:hint="eastAsia"/>
        </w:rPr>
      </w:pPr>
    </w:p>
    <w:sectPr w:rsidR="00A64806" w:rsidRPr="00987D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764D25"/>
    <w:multiLevelType w:val="hybridMultilevel"/>
    <w:tmpl w:val="157A5D4A"/>
    <w:lvl w:ilvl="0" w:tplc="E3BC36B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68918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939"/>
    <w:rsid w:val="00062AE8"/>
    <w:rsid w:val="000E4C04"/>
    <w:rsid w:val="001141AD"/>
    <w:rsid w:val="001506B2"/>
    <w:rsid w:val="001B3E51"/>
    <w:rsid w:val="001D4B01"/>
    <w:rsid w:val="00235549"/>
    <w:rsid w:val="00274FA1"/>
    <w:rsid w:val="002E1E98"/>
    <w:rsid w:val="002E3939"/>
    <w:rsid w:val="002F6924"/>
    <w:rsid w:val="00305704"/>
    <w:rsid w:val="0035526E"/>
    <w:rsid w:val="00355887"/>
    <w:rsid w:val="00367C2C"/>
    <w:rsid w:val="00376221"/>
    <w:rsid w:val="003D4630"/>
    <w:rsid w:val="004104BF"/>
    <w:rsid w:val="00454624"/>
    <w:rsid w:val="004A0BA0"/>
    <w:rsid w:val="004D679B"/>
    <w:rsid w:val="005327C8"/>
    <w:rsid w:val="00555EBB"/>
    <w:rsid w:val="00574629"/>
    <w:rsid w:val="00587614"/>
    <w:rsid w:val="00592FEB"/>
    <w:rsid w:val="00606C4A"/>
    <w:rsid w:val="006E4106"/>
    <w:rsid w:val="00765B54"/>
    <w:rsid w:val="007A0652"/>
    <w:rsid w:val="007C1110"/>
    <w:rsid w:val="007E4C8A"/>
    <w:rsid w:val="007E7022"/>
    <w:rsid w:val="007F6F38"/>
    <w:rsid w:val="0083607C"/>
    <w:rsid w:val="00891AD8"/>
    <w:rsid w:val="008A07DB"/>
    <w:rsid w:val="00905CF5"/>
    <w:rsid w:val="009301A6"/>
    <w:rsid w:val="00933A67"/>
    <w:rsid w:val="00987D38"/>
    <w:rsid w:val="009B2C7E"/>
    <w:rsid w:val="00A64806"/>
    <w:rsid w:val="00A70C93"/>
    <w:rsid w:val="00A73FCB"/>
    <w:rsid w:val="00B426D5"/>
    <w:rsid w:val="00B7417A"/>
    <w:rsid w:val="00B91610"/>
    <w:rsid w:val="00C82C9F"/>
    <w:rsid w:val="00CD6352"/>
    <w:rsid w:val="00D568E1"/>
    <w:rsid w:val="00D80173"/>
    <w:rsid w:val="00D860D9"/>
    <w:rsid w:val="00DE186C"/>
    <w:rsid w:val="00E43467"/>
    <w:rsid w:val="00EA556F"/>
    <w:rsid w:val="00F42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9B09D"/>
  <w15:chartTrackingRefBased/>
  <w15:docId w15:val="{2C348407-8EF1-4730-8941-F1E631861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480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7696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87C256-66A2-4187-8B46-0B5037081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4</Pages>
  <Words>1005</Words>
  <Characters>5732</Characters>
  <Application>Microsoft Office Word</Application>
  <DocSecurity>0</DocSecurity>
  <Lines>47</Lines>
  <Paragraphs>13</Paragraphs>
  <ScaleCrop>false</ScaleCrop>
  <Company/>
  <LinksUpToDate>false</LinksUpToDate>
  <CharactersWithSpaces>6724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小宇 吴</dc:creator>
  <cp:keywords/>
  <dc:description/>
  <cp:lastModifiedBy>小宇 吴</cp:lastModifiedBy>
  <cp:revision>2</cp:revision>
  <dcterms:created xsi:type="dcterms:W3CDTF">2025-03-17T02:05:00Z</dcterms:created>
  <dcterms:modified xsi:type="dcterms:W3CDTF">2025-03-17T02:24:00Z</dcterms:modified>
</cp:coreProperties>
</file>