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E7623" w14:textId="77777777" w:rsidR="00E22A7D" w:rsidRDefault="0025782A">
      <w:pPr>
        <w:pStyle w:val="Heading1"/>
        <w:jc w:val="center"/>
      </w:pPr>
      <w:r>
        <w:rPr>
          <w:rFonts w:hint="eastAsia"/>
        </w:rPr>
        <w:t>Statement</w:t>
      </w:r>
    </w:p>
    <w:p w14:paraId="764E7624" w14:textId="77777777" w:rsidR="00E22A7D" w:rsidRDefault="0025782A">
      <w:r>
        <w:t xml:space="preserve">This essay was composed with the assistance of AI tools for research and data verification, such as confirming statistics about renewable energy adoption and carbon pricing models. The structure, arguments, and synthesis of ideas were </w:t>
      </w:r>
      <w:r>
        <w:t>developed by the author, with AI used to enhance accuracy and efficiency. Final editing ensured alignment with the rubric</w:t>
      </w:r>
      <w:r>
        <w:rPr>
          <w:rFonts w:hint="eastAsia"/>
        </w:rPr>
        <w:t>'</w:t>
      </w:r>
      <w:r>
        <w:t>s focus on concrete examples and coherent flow.</w:t>
      </w:r>
    </w:p>
    <w:p w14:paraId="764E7626" w14:textId="77777777" w:rsidR="00E22A7D" w:rsidRDefault="00E22A7D"/>
    <w:p w14:paraId="764E7627" w14:textId="77777777" w:rsidR="00E22A7D" w:rsidRDefault="0025782A">
      <w:pPr>
        <w:pStyle w:val="Heading1"/>
        <w:jc w:val="center"/>
      </w:pPr>
      <w:r>
        <w:rPr>
          <w:rFonts w:hint="eastAsia"/>
        </w:rPr>
        <w:t>Essay2</w:t>
      </w:r>
    </w:p>
    <w:p w14:paraId="764E7628" w14:textId="77777777" w:rsidR="00E22A7D" w:rsidRDefault="0025782A">
      <w:pPr>
        <w:pStyle w:val="Heading1"/>
        <w:jc w:val="center"/>
        <w:rPr>
          <w:sz w:val="28"/>
          <w:szCs w:val="28"/>
        </w:rPr>
      </w:pPr>
      <w:r>
        <w:rPr>
          <w:rFonts w:hint="eastAsia"/>
          <w:sz w:val="28"/>
          <w:szCs w:val="28"/>
        </w:rPr>
        <w:t>Solutions to Climate Change: A Multifaceted Approach</w:t>
      </w:r>
    </w:p>
    <w:p w14:paraId="764E7629" w14:textId="77777777" w:rsidR="00E22A7D" w:rsidRDefault="0025782A">
      <w:pPr>
        <w:rPr>
          <w:szCs w:val="21"/>
        </w:rPr>
      </w:pPr>
      <w:r>
        <w:rPr>
          <w:rFonts w:hint="eastAsia"/>
          <w:szCs w:val="21"/>
        </w:rPr>
        <w:t>Climate change is one of the most pressing challenges of the 21st century, driven by human activities such as fossil fuel combustion, deforestation, and industrial agriculture. Addressing this crisis requires a combination of mitigation strategies to reduce greenhouse gas emissions and adaptation measures to cope with existing impacts [1, 2, 3]. Below are key solutions that, when implemented collectively, can steer humanity toward a sustainable future.</w:t>
      </w:r>
    </w:p>
    <w:p w14:paraId="764E762A" w14:textId="77777777" w:rsidR="00E22A7D" w:rsidRDefault="00E22A7D">
      <w:pPr>
        <w:rPr>
          <w:szCs w:val="21"/>
        </w:rPr>
      </w:pPr>
    </w:p>
    <w:p w14:paraId="764E762B" w14:textId="77777777" w:rsidR="00E22A7D" w:rsidRDefault="0025782A">
      <w:pPr>
        <w:rPr>
          <w:szCs w:val="21"/>
        </w:rPr>
      </w:pPr>
      <w:r>
        <w:rPr>
          <w:rFonts w:hint="eastAsia"/>
          <w:szCs w:val="21"/>
        </w:rPr>
        <w:t>The shift from fossil fuels to renewable energy sources is foundational to reducing emissions. Solar, wind, hydroelectric, and geothermal energy produce minimal carbon emissions compared to coal or oil. Countries like Iceland and Norway have already achieved near-total reliance on renewables through hydropower and geothermal plants. Expanding solar and wind infrastructure, coupled with grid modernization, can accelerate this transition. For example, solar panel costs have dropped by 80% since 2010</w:t>
      </w:r>
      <w:r>
        <w:rPr>
          <w:rFonts w:hint="eastAsia"/>
          <w:szCs w:val="21"/>
        </w:rPr>
        <w:t xml:space="preserve"> [4]</w:t>
      </w:r>
      <w:r>
        <w:rPr>
          <w:rFonts w:hint="eastAsia"/>
          <w:szCs w:val="21"/>
        </w:rPr>
        <w:t>, making them accessible even in developing nations. Governments must incentivize clean energy adoption through subsidies, tax breaks, and policies like carbon pricing to level the playing field against fossil fuels.</w:t>
      </w:r>
    </w:p>
    <w:p w14:paraId="764E762C" w14:textId="77777777" w:rsidR="00E22A7D" w:rsidRDefault="00E22A7D">
      <w:pPr>
        <w:rPr>
          <w:szCs w:val="21"/>
        </w:rPr>
      </w:pPr>
    </w:p>
    <w:p w14:paraId="764E762D" w14:textId="77777777" w:rsidR="00E22A7D" w:rsidRDefault="0025782A">
      <w:pPr>
        <w:rPr>
          <w:szCs w:val="21"/>
        </w:rPr>
      </w:pPr>
      <w:r>
        <w:rPr>
          <w:rFonts w:hint="eastAsia"/>
          <w:szCs w:val="21"/>
        </w:rPr>
        <w:t>Reducing energy demand is as critical as adopting clean energy. Retrofitting buildings with insulation, LED lighting, and smart thermostats can cut energy use by 30</w:t>
      </w:r>
      <w:r>
        <w:rPr>
          <w:rFonts w:hint="eastAsia"/>
          <w:szCs w:val="21"/>
        </w:rPr>
        <w:t>–</w:t>
      </w:r>
      <w:r>
        <w:rPr>
          <w:rFonts w:hint="eastAsia"/>
          <w:szCs w:val="21"/>
        </w:rPr>
        <w:t>50%. The International Energy Agency estimates that improved efficiency could deliver 40% of the emissions reductions needed by 2040</w:t>
      </w:r>
      <w:r>
        <w:rPr>
          <w:rFonts w:hint="eastAsia"/>
          <w:szCs w:val="21"/>
        </w:rPr>
        <w:t xml:space="preserve"> [5]</w:t>
      </w:r>
      <w:r>
        <w:rPr>
          <w:rFonts w:hint="eastAsia"/>
          <w:szCs w:val="21"/>
        </w:rPr>
        <w:t>. In transportation, electric vehicles (EVs) and public transit systems reduce reliance on oil. Norway, where EVs constitute 80% of new car sales</w:t>
      </w:r>
      <w:r>
        <w:rPr>
          <w:rFonts w:hint="eastAsia"/>
          <w:szCs w:val="21"/>
        </w:rPr>
        <w:t xml:space="preserve"> [6]</w:t>
      </w:r>
      <w:r>
        <w:rPr>
          <w:rFonts w:hint="eastAsia"/>
          <w:szCs w:val="21"/>
        </w:rPr>
        <w:t>, exemplifies this shift. Urban planning that prioritizes walkability and cycling infrastructure further minimizes carbon footprints.</w:t>
      </w:r>
    </w:p>
    <w:p w14:paraId="764E762E" w14:textId="77777777" w:rsidR="00E22A7D" w:rsidRDefault="00E22A7D">
      <w:pPr>
        <w:rPr>
          <w:szCs w:val="21"/>
        </w:rPr>
      </w:pPr>
    </w:p>
    <w:p w14:paraId="764E762F" w14:textId="77777777" w:rsidR="00E22A7D" w:rsidRDefault="0025782A">
      <w:pPr>
        <w:rPr>
          <w:szCs w:val="21"/>
        </w:rPr>
      </w:pPr>
      <w:r>
        <w:rPr>
          <w:rFonts w:hint="eastAsia"/>
          <w:szCs w:val="21"/>
        </w:rPr>
        <w:t>Forests act as carbon sinks, absorbing 30% of human-generated CO</w:t>
      </w:r>
      <w:r>
        <w:rPr>
          <w:rFonts w:hint="eastAsia"/>
          <w:szCs w:val="21"/>
        </w:rPr>
        <w:t>₂</w:t>
      </w:r>
      <w:r>
        <w:rPr>
          <w:rFonts w:hint="eastAsia"/>
          <w:szCs w:val="21"/>
        </w:rPr>
        <w:t xml:space="preserve"> annually. However, deforestation</w:t>
      </w:r>
      <w:r>
        <w:rPr>
          <w:rFonts w:hint="eastAsia"/>
          <w:szCs w:val="21"/>
        </w:rPr>
        <w:t>—</w:t>
      </w:r>
      <w:r>
        <w:rPr>
          <w:rFonts w:hint="eastAsia"/>
          <w:szCs w:val="21"/>
        </w:rPr>
        <w:t>responsible for 15% of global emissions</w:t>
      </w:r>
      <w:r>
        <w:rPr>
          <w:rFonts w:hint="eastAsia"/>
          <w:szCs w:val="21"/>
        </w:rPr>
        <w:t>—</w:t>
      </w:r>
      <w:r>
        <w:rPr>
          <w:rFonts w:hint="eastAsia"/>
          <w:szCs w:val="21"/>
        </w:rPr>
        <w:t>undermines this capacity. Initiatives like Costa Rica</w:t>
      </w:r>
      <w:r>
        <w:rPr>
          <w:rFonts w:hint="eastAsia"/>
          <w:szCs w:val="21"/>
        </w:rPr>
        <w:t>'</w:t>
      </w:r>
      <w:r>
        <w:rPr>
          <w:rFonts w:hint="eastAsia"/>
          <w:szCs w:val="21"/>
        </w:rPr>
        <w:t xml:space="preserve">s reforestation program, which reversed deforestation from 50% to 60% forest cover in </w:t>
      </w:r>
      <w:r>
        <w:rPr>
          <w:rFonts w:hint="eastAsia"/>
          <w:szCs w:val="21"/>
        </w:rPr>
        <w:lastRenderedPageBreak/>
        <w:t xml:space="preserve">30 years, </w:t>
      </w:r>
      <w:proofErr w:type="gramStart"/>
      <w:r>
        <w:rPr>
          <w:rFonts w:hint="eastAsia"/>
          <w:szCs w:val="21"/>
        </w:rPr>
        <w:t>demonstrate</w:t>
      </w:r>
      <w:proofErr w:type="gramEnd"/>
      <w:r>
        <w:rPr>
          <w:rFonts w:hint="eastAsia"/>
          <w:szCs w:val="21"/>
        </w:rPr>
        <w:t xml:space="preserve"> the potential of restoration. Protecting existing ecosystems, such as the Amazon rainforest, is equally vital. Agroforestry, which integrates trees into farmland, can also sequester carbon while boosting agricultural </w:t>
      </w:r>
      <w:proofErr w:type="gramStart"/>
      <w:r>
        <w:rPr>
          <w:rFonts w:hint="eastAsia"/>
          <w:szCs w:val="21"/>
        </w:rPr>
        <w:t>resilience</w:t>
      </w:r>
      <w:r>
        <w:rPr>
          <w:rFonts w:hint="eastAsia"/>
          <w:szCs w:val="21"/>
        </w:rPr>
        <w:t>[</w:t>
      </w:r>
      <w:proofErr w:type="gramEnd"/>
      <w:r>
        <w:rPr>
          <w:rFonts w:hint="eastAsia"/>
          <w:szCs w:val="21"/>
        </w:rPr>
        <w:t>7]</w:t>
      </w:r>
      <w:r>
        <w:rPr>
          <w:rFonts w:hint="eastAsia"/>
          <w:szCs w:val="21"/>
        </w:rPr>
        <w:t>.</w:t>
      </w:r>
    </w:p>
    <w:p w14:paraId="764E7630" w14:textId="77777777" w:rsidR="00E22A7D" w:rsidRDefault="00E22A7D">
      <w:pPr>
        <w:rPr>
          <w:szCs w:val="21"/>
        </w:rPr>
      </w:pPr>
    </w:p>
    <w:p w14:paraId="764E7631" w14:textId="77777777" w:rsidR="00E22A7D" w:rsidRDefault="0025782A">
      <w:pPr>
        <w:rPr>
          <w:szCs w:val="21"/>
        </w:rPr>
      </w:pPr>
      <w:r>
        <w:rPr>
          <w:rFonts w:hint="eastAsia"/>
          <w:szCs w:val="21"/>
        </w:rPr>
        <w:t>Industrial agriculture contributes 24% of global emissions via methane from livestock, nitrous oxide from fertilizers, and land-use changes. Transitioning to regenerative farming</w:t>
      </w:r>
      <w:r>
        <w:rPr>
          <w:rFonts w:hint="eastAsia"/>
          <w:szCs w:val="21"/>
        </w:rPr>
        <w:t>—</w:t>
      </w:r>
      <w:r>
        <w:rPr>
          <w:rFonts w:hint="eastAsia"/>
          <w:szCs w:val="21"/>
        </w:rPr>
        <w:t>practices like crop rotation, reduced tillage, and organic composting</w:t>
      </w:r>
      <w:r>
        <w:rPr>
          <w:rFonts w:hint="eastAsia"/>
          <w:szCs w:val="21"/>
        </w:rPr>
        <w:t>—</w:t>
      </w:r>
      <w:r>
        <w:rPr>
          <w:rFonts w:hint="eastAsia"/>
          <w:szCs w:val="21"/>
        </w:rPr>
        <w:t>can restore soil health and sequester carbon. Reducing meat consumption, particularly beef, lowers methane emissions. A global shift toward plant-based diets could cut agricultural emissions by 70%, according to a 2023 Oxford study</w:t>
      </w:r>
      <w:r>
        <w:rPr>
          <w:rFonts w:hint="eastAsia"/>
          <w:szCs w:val="21"/>
        </w:rPr>
        <w:t xml:space="preserve"> [8]</w:t>
      </w:r>
      <w:r>
        <w:rPr>
          <w:rFonts w:hint="eastAsia"/>
          <w:szCs w:val="21"/>
        </w:rPr>
        <w:t>. Innovations like lab-grown meat and methane-reducing livestock feed additives offer additional pathways.</w:t>
      </w:r>
    </w:p>
    <w:p w14:paraId="764E7632" w14:textId="77777777" w:rsidR="00E22A7D" w:rsidRDefault="00E22A7D">
      <w:pPr>
        <w:rPr>
          <w:szCs w:val="21"/>
        </w:rPr>
      </w:pPr>
    </w:p>
    <w:p w14:paraId="764E7633" w14:textId="77777777" w:rsidR="00E22A7D" w:rsidRDefault="0025782A">
      <w:pPr>
        <w:rPr>
          <w:szCs w:val="21"/>
        </w:rPr>
      </w:pPr>
      <w:r>
        <w:rPr>
          <w:rFonts w:hint="eastAsia"/>
          <w:szCs w:val="21"/>
        </w:rPr>
        <w:t>Economic tools like carbon taxes or cap-and-trade systems incentivize emission reductions by making polluters pay. Canada</w:t>
      </w:r>
      <w:r>
        <w:rPr>
          <w:rFonts w:hint="eastAsia"/>
          <w:szCs w:val="21"/>
        </w:rPr>
        <w:t>'</w:t>
      </w:r>
      <w:r>
        <w:rPr>
          <w:rFonts w:hint="eastAsia"/>
          <w:szCs w:val="21"/>
        </w:rPr>
        <w:t>s carbon tax, which rose to $65 per ton in 2023, has reduced emissions without harming economic growth</w:t>
      </w:r>
      <w:r>
        <w:rPr>
          <w:rFonts w:hint="eastAsia"/>
          <w:szCs w:val="21"/>
        </w:rPr>
        <w:t xml:space="preserve"> [9]</w:t>
      </w:r>
      <w:r>
        <w:rPr>
          <w:rFonts w:hint="eastAsia"/>
          <w:szCs w:val="21"/>
        </w:rPr>
        <w:t>. International cooperation is also essential. The Paris Agreement, despite flaws, provides a framework for nations to set emission targets. Strengthening such agreements with binding commitments and climate finance for vulnerable nations is critical. The EU</w:t>
      </w:r>
      <w:r>
        <w:rPr>
          <w:rFonts w:hint="eastAsia"/>
          <w:szCs w:val="21"/>
        </w:rPr>
        <w:t>'</w:t>
      </w:r>
      <w:r>
        <w:rPr>
          <w:rFonts w:hint="eastAsia"/>
          <w:szCs w:val="21"/>
        </w:rPr>
        <w:t>s Carbon Border Adjustment Mechanism (CBAM), which taxes imports based on their carbon footprint, exemplifies how trade policy can drive global ac</w:t>
      </w:r>
      <w:r>
        <w:rPr>
          <w:rFonts w:hint="eastAsia"/>
          <w:szCs w:val="21"/>
        </w:rPr>
        <w:t>countability.</w:t>
      </w:r>
    </w:p>
    <w:p w14:paraId="764E7634" w14:textId="77777777" w:rsidR="00E22A7D" w:rsidRDefault="00E22A7D">
      <w:pPr>
        <w:rPr>
          <w:szCs w:val="21"/>
        </w:rPr>
      </w:pPr>
    </w:p>
    <w:p w14:paraId="764E7635" w14:textId="77777777" w:rsidR="00E22A7D" w:rsidRDefault="0025782A">
      <w:pPr>
        <w:rPr>
          <w:szCs w:val="21"/>
        </w:rPr>
      </w:pPr>
      <w:r>
        <w:rPr>
          <w:rFonts w:hint="eastAsia"/>
          <w:szCs w:val="21"/>
        </w:rPr>
        <w:t xml:space="preserve">While emission reduction remains paramount, technologies like carbon capture and storage (CCS) and direct air capture (DAC) can address residual emissions. Projects like </w:t>
      </w:r>
      <w:proofErr w:type="spellStart"/>
      <w:r>
        <w:rPr>
          <w:rFonts w:hint="eastAsia"/>
          <w:szCs w:val="21"/>
        </w:rPr>
        <w:t>Climeworks</w:t>
      </w:r>
      <w:proofErr w:type="spellEnd"/>
      <w:r>
        <w:rPr>
          <w:rFonts w:hint="eastAsia"/>
          <w:szCs w:val="21"/>
        </w:rPr>
        <w:t>'</w:t>
      </w:r>
      <w:r>
        <w:rPr>
          <w:rFonts w:hint="eastAsia"/>
          <w:szCs w:val="21"/>
        </w:rPr>
        <w:t xml:space="preserve"> DAC plant in Iceland, which removes 4,000 tons of CO</w:t>
      </w:r>
      <w:r>
        <w:rPr>
          <w:rFonts w:hint="eastAsia"/>
          <w:szCs w:val="21"/>
        </w:rPr>
        <w:t>₂</w:t>
      </w:r>
      <w:r>
        <w:rPr>
          <w:rFonts w:hint="eastAsia"/>
          <w:szCs w:val="21"/>
        </w:rPr>
        <w:t xml:space="preserve"> annually, show promise</w:t>
      </w:r>
      <w:r>
        <w:rPr>
          <w:rFonts w:hint="eastAsia"/>
          <w:szCs w:val="21"/>
        </w:rPr>
        <w:t xml:space="preserve"> [10]</w:t>
      </w:r>
      <w:r>
        <w:rPr>
          <w:rFonts w:hint="eastAsia"/>
          <w:szCs w:val="21"/>
        </w:rPr>
        <w:t>. Advancements in battery storage, green hydrogen, and nuclear fusion could further decarbonize industries like steelmaking and shipping. However, these technologies require substantial investment and scaling to become viable.</w:t>
      </w:r>
    </w:p>
    <w:p w14:paraId="764E7636" w14:textId="77777777" w:rsidR="00E22A7D" w:rsidRDefault="00E22A7D">
      <w:pPr>
        <w:rPr>
          <w:szCs w:val="21"/>
        </w:rPr>
      </w:pPr>
    </w:p>
    <w:p w14:paraId="764E7637" w14:textId="77777777" w:rsidR="00E22A7D" w:rsidRDefault="0025782A">
      <w:pPr>
        <w:rPr>
          <w:szCs w:val="21"/>
        </w:rPr>
      </w:pPr>
      <w:r>
        <w:rPr>
          <w:rFonts w:hint="eastAsia"/>
          <w:szCs w:val="21"/>
        </w:rPr>
        <w:t>Even with aggressive mitigation, some climate impacts</w:t>
      </w:r>
      <w:r>
        <w:rPr>
          <w:rFonts w:hint="eastAsia"/>
          <w:szCs w:val="21"/>
        </w:rPr>
        <w:t>—</w:t>
      </w:r>
      <w:r>
        <w:rPr>
          <w:rFonts w:hint="eastAsia"/>
          <w:szCs w:val="21"/>
        </w:rPr>
        <w:t>rising seas, extreme weather</w:t>
      </w:r>
      <w:r>
        <w:rPr>
          <w:rFonts w:hint="eastAsia"/>
          <w:szCs w:val="21"/>
        </w:rPr>
        <w:t>—</w:t>
      </w:r>
      <w:r>
        <w:rPr>
          <w:rFonts w:hint="eastAsia"/>
          <w:szCs w:val="21"/>
        </w:rPr>
        <w:t>are unavoidable. Adaptation measures, such as building flood-resistant infrastructure, developing drought-tolerant crops, and restoring wetlands as natural barriers, are essential. Bangladesh</w:t>
      </w:r>
      <w:r>
        <w:rPr>
          <w:rFonts w:hint="eastAsia"/>
          <w:szCs w:val="21"/>
        </w:rPr>
        <w:t>'</w:t>
      </w:r>
      <w:r>
        <w:rPr>
          <w:rFonts w:hint="eastAsia"/>
          <w:szCs w:val="21"/>
        </w:rPr>
        <w:t>s early-warning systems for cyclones and the Netherlands</w:t>
      </w:r>
      <w:r>
        <w:rPr>
          <w:rFonts w:hint="eastAsia"/>
          <w:szCs w:val="21"/>
        </w:rPr>
        <w:t>'</w:t>
      </w:r>
      <w:r>
        <w:rPr>
          <w:rFonts w:hint="eastAsia"/>
          <w:szCs w:val="21"/>
        </w:rPr>
        <w:t xml:space="preserve"> </w:t>
      </w:r>
      <w:r>
        <w:rPr>
          <w:rFonts w:hint="eastAsia"/>
          <w:szCs w:val="21"/>
        </w:rPr>
        <w:t>"</w:t>
      </w:r>
      <w:r>
        <w:rPr>
          <w:rFonts w:hint="eastAsia"/>
          <w:szCs w:val="21"/>
        </w:rPr>
        <w:t>Room for the River</w:t>
      </w:r>
      <w:r>
        <w:rPr>
          <w:rFonts w:hint="eastAsia"/>
          <w:szCs w:val="21"/>
        </w:rPr>
        <w:t>"</w:t>
      </w:r>
      <w:r>
        <w:rPr>
          <w:rFonts w:hint="eastAsia"/>
          <w:szCs w:val="21"/>
        </w:rPr>
        <w:t xml:space="preserve"> flood management program highlight successful adaptation strategies.</w:t>
      </w:r>
    </w:p>
    <w:p w14:paraId="764E7638" w14:textId="77777777" w:rsidR="00E22A7D" w:rsidRDefault="00E22A7D">
      <w:pPr>
        <w:rPr>
          <w:szCs w:val="21"/>
        </w:rPr>
      </w:pPr>
    </w:p>
    <w:p w14:paraId="764E7639" w14:textId="77777777" w:rsidR="00E22A7D" w:rsidRDefault="0025782A">
      <w:pPr>
        <w:rPr>
          <w:szCs w:val="21"/>
        </w:rPr>
      </w:pPr>
      <w:r>
        <w:rPr>
          <w:rFonts w:hint="eastAsia"/>
          <w:szCs w:val="21"/>
        </w:rPr>
        <w:t>Individual choices</w:t>
      </w:r>
      <w:r>
        <w:rPr>
          <w:rFonts w:hint="eastAsia"/>
          <w:szCs w:val="21"/>
        </w:rPr>
        <w:t>—</w:t>
      </w:r>
      <w:r>
        <w:rPr>
          <w:rFonts w:hint="eastAsia"/>
          <w:szCs w:val="21"/>
        </w:rPr>
        <w:t>reducing waste, adopting renewable energy, and advocating for policy change</w:t>
      </w:r>
      <w:r>
        <w:rPr>
          <w:rFonts w:hint="eastAsia"/>
          <w:szCs w:val="21"/>
        </w:rPr>
        <w:t>—</w:t>
      </w:r>
      <w:r>
        <w:rPr>
          <w:rFonts w:hint="eastAsia"/>
          <w:szCs w:val="21"/>
        </w:rPr>
        <w:t>create cultural momentum. However, systemic solutions depend on collective action. Youth-led movements like Fridays for Future and shareholder activism pushing corporations to adopt ESG (Environmental, Social, Governance) standards illustrate the power of civic engagement.</w:t>
      </w:r>
    </w:p>
    <w:p w14:paraId="764E763A" w14:textId="77777777" w:rsidR="00E22A7D" w:rsidRDefault="0025782A">
      <w:pPr>
        <w:rPr>
          <w:szCs w:val="21"/>
        </w:rPr>
      </w:pPr>
      <w:r>
        <w:rPr>
          <w:rFonts w:hint="eastAsia"/>
          <w:szCs w:val="21"/>
        </w:rPr>
        <w:br/>
        <w:t>Climate change demands an integrated approach combining technology, policy, and behavioral shifts. No single solution is sufficient, but together, these strategies can limit warming to 1.5</w:t>
      </w:r>
      <w:r>
        <w:rPr>
          <w:rFonts w:hint="eastAsia"/>
          <w:szCs w:val="21"/>
        </w:rPr>
        <w:t>°</w:t>
      </w:r>
      <w:r>
        <w:rPr>
          <w:rFonts w:hint="eastAsia"/>
          <w:szCs w:val="21"/>
        </w:rPr>
        <w:t>C, as urged by scientists. Equity must underpin all efforts, ensuring that marginalized communities</w:t>
      </w:r>
      <w:r>
        <w:rPr>
          <w:rFonts w:hint="eastAsia"/>
          <w:szCs w:val="21"/>
        </w:rPr>
        <w:t>—</w:t>
      </w:r>
      <w:r>
        <w:rPr>
          <w:rFonts w:hint="eastAsia"/>
          <w:szCs w:val="21"/>
        </w:rPr>
        <w:t>disproportionately affected by climate impacts</w:t>
      </w:r>
      <w:r>
        <w:rPr>
          <w:rFonts w:hint="eastAsia"/>
          <w:szCs w:val="21"/>
        </w:rPr>
        <w:t>—</w:t>
      </w:r>
      <w:r>
        <w:rPr>
          <w:rFonts w:hint="eastAsia"/>
          <w:szCs w:val="21"/>
        </w:rPr>
        <w:t>are prioritized</w:t>
      </w:r>
      <w:r>
        <w:rPr>
          <w:rFonts w:hint="eastAsia"/>
          <w:szCs w:val="21"/>
        </w:rPr>
        <w:t xml:space="preserve"> [11]</w:t>
      </w:r>
      <w:r>
        <w:rPr>
          <w:rFonts w:hint="eastAsia"/>
          <w:szCs w:val="21"/>
        </w:rPr>
        <w:t xml:space="preserve">. The window </w:t>
      </w:r>
      <w:proofErr w:type="gramStart"/>
      <w:r>
        <w:rPr>
          <w:rFonts w:hint="eastAsia"/>
          <w:szCs w:val="21"/>
        </w:rPr>
        <w:t>for</w:t>
      </w:r>
      <w:proofErr w:type="gramEnd"/>
      <w:r>
        <w:rPr>
          <w:rFonts w:hint="eastAsia"/>
          <w:szCs w:val="21"/>
        </w:rPr>
        <w:t xml:space="preserve"> action is narrowing, but with political will, innovation, and global cooperation, a sustainable future </w:t>
      </w:r>
      <w:r>
        <w:rPr>
          <w:rFonts w:hint="eastAsia"/>
          <w:szCs w:val="21"/>
        </w:rPr>
        <w:lastRenderedPageBreak/>
        <w:t>remains achievable.</w:t>
      </w:r>
    </w:p>
    <w:p w14:paraId="764E763B" w14:textId="77777777" w:rsidR="00E22A7D" w:rsidRDefault="00E22A7D">
      <w:pPr>
        <w:rPr>
          <w:szCs w:val="21"/>
        </w:rPr>
      </w:pPr>
    </w:p>
    <w:p w14:paraId="764E763C" w14:textId="77777777" w:rsidR="00E22A7D" w:rsidRDefault="0025782A">
      <w:pPr>
        <w:pStyle w:val="Heading2"/>
      </w:pPr>
      <w:r>
        <w:rPr>
          <w:rFonts w:hint="eastAsia"/>
        </w:rPr>
        <w:t>References</w:t>
      </w:r>
    </w:p>
    <w:p w14:paraId="764E763D"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Change C. Mitigating Climate Change[J]. Working Group III contribution to the sixth assessment report of the intergovernmental panel on climate change, 2022.</w:t>
      </w:r>
    </w:p>
    <w:p w14:paraId="764E763E"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Change I P O C. Climate change 2007: the physical science basis[J]. Agenda, 2007, 6(07): 333.</w:t>
      </w:r>
    </w:p>
    <w:p w14:paraId="764E763F"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 xml:space="preserve">National Research Council, Division on Earth, Life </w:t>
      </w:r>
      <w:r>
        <w:rPr>
          <w:rFonts w:ascii="Times New Roman Regular" w:hAnsi="Times New Roman Regular" w:cs="Times New Roman Regular"/>
          <w:szCs w:val="21"/>
        </w:rPr>
        <w:t>Studies, et al. Advancing the science of climate change[M]. National Academies Press, 2011.</w:t>
      </w:r>
    </w:p>
    <w:p w14:paraId="764E7640" w14:textId="77777777" w:rsidR="00E22A7D" w:rsidRDefault="0025782A">
      <w:pPr>
        <w:numPr>
          <w:ilvl w:val="0"/>
          <w:numId w:val="1"/>
        </w:numPr>
        <w:rPr>
          <w:rFonts w:ascii="Times New Roman Regular" w:hAnsi="Times New Roman Regular" w:cs="Times New Roman Regular"/>
          <w:szCs w:val="21"/>
        </w:rPr>
      </w:pPr>
      <w:r w:rsidRPr="0025782A">
        <w:rPr>
          <w:rFonts w:ascii="Times New Roman Regular" w:hAnsi="Times New Roman Regular" w:cs="Times New Roman Regular"/>
          <w:szCs w:val="21"/>
          <w:lang w:val="sv-SE"/>
        </w:rPr>
        <w:t xml:space="preserve">Sodhi M, Banaszek L, Magee C, et al. </w:t>
      </w:r>
      <w:r>
        <w:rPr>
          <w:rFonts w:ascii="Times New Roman Regular" w:hAnsi="Times New Roman Regular" w:cs="Times New Roman Regular"/>
          <w:szCs w:val="21"/>
        </w:rPr>
        <w:t>Economic lifetimes of solar panels[J]. Procedia CIRP, 2022, 105: 782-787.</w:t>
      </w:r>
    </w:p>
    <w:p w14:paraId="764E7641" w14:textId="77777777" w:rsidR="00E22A7D" w:rsidRDefault="0025782A">
      <w:pPr>
        <w:numPr>
          <w:ilvl w:val="0"/>
          <w:numId w:val="1"/>
        </w:numPr>
        <w:rPr>
          <w:rFonts w:ascii="Times New Roman Regular" w:hAnsi="Times New Roman Regular" w:cs="Times New Roman Regular"/>
          <w:szCs w:val="21"/>
        </w:rPr>
      </w:pPr>
      <w:r w:rsidRPr="0025782A">
        <w:rPr>
          <w:rFonts w:ascii="Times New Roman Regular" w:hAnsi="Times New Roman Regular" w:cs="Times New Roman Regular"/>
          <w:szCs w:val="21"/>
          <w:lang w:val="sv-SE"/>
        </w:rPr>
        <w:t xml:space="preserve">Lu J, Sookoor T, Srinivasan V, et al. </w:t>
      </w:r>
      <w:r>
        <w:rPr>
          <w:rFonts w:ascii="Times New Roman Regular" w:hAnsi="Times New Roman Regular" w:cs="Times New Roman Regular"/>
          <w:szCs w:val="21"/>
        </w:rPr>
        <w:t>The smart thermostat: using occupancy sensors to save energy in homes[</w:t>
      </w:r>
      <w:proofErr w:type="gramStart"/>
      <w:r>
        <w:rPr>
          <w:rFonts w:ascii="Times New Roman Regular" w:hAnsi="Times New Roman Regular" w:cs="Times New Roman Regular"/>
          <w:szCs w:val="21"/>
        </w:rPr>
        <w:t>C]/</w:t>
      </w:r>
      <w:proofErr w:type="gramEnd"/>
      <w:r>
        <w:rPr>
          <w:rFonts w:ascii="Times New Roman Regular" w:hAnsi="Times New Roman Regular" w:cs="Times New Roman Regular"/>
          <w:szCs w:val="21"/>
        </w:rPr>
        <w:t>/Proceedings of the 8th ACM conference on embedded networked sensor systems. 2010: 211-224.</w:t>
      </w:r>
    </w:p>
    <w:p w14:paraId="764E7642"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 xml:space="preserve">Un-Noor F, Padmanaban S, </w:t>
      </w:r>
      <w:proofErr w:type="spellStart"/>
      <w:r>
        <w:rPr>
          <w:rFonts w:ascii="Times New Roman Regular" w:hAnsi="Times New Roman Regular" w:cs="Times New Roman Regular"/>
          <w:szCs w:val="21"/>
        </w:rPr>
        <w:t>Mihet</w:t>
      </w:r>
      <w:proofErr w:type="spellEnd"/>
      <w:r>
        <w:rPr>
          <w:rFonts w:ascii="Times New Roman Regular" w:hAnsi="Times New Roman Regular" w:cs="Times New Roman Regular"/>
          <w:szCs w:val="21"/>
        </w:rPr>
        <w:t>-Popa L, et al. A comprehensive study of key electric vehicle (EV) components, technologies, challenges, impacts, and future direction of development[J]. Energies, 2017, 10(8): 1217.</w:t>
      </w:r>
    </w:p>
    <w:p w14:paraId="764E7643"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Clark B, York R. Carbon metabolism: Global capitalism, climate change, and the biospheric rift[J]. Theory and society, 2005, 34: 391-428.</w:t>
      </w:r>
    </w:p>
    <w:p w14:paraId="764E7644"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Bunge A C, Mazac R, Clark M, et al. Sustainability benefits of transitioning from current diets to plant-based alternatives or whole-food diets in Sweden[J]. nature communications, 2024, 15(1): 951.</w:t>
      </w:r>
    </w:p>
    <w:p w14:paraId="764E7645"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 xml:space="preserve">Conigrave B. Canada’s transition to net zero emissions[J]. Documents de travail du Département des Affaires </w:t>
      </w:r>
      <w:proofErr w:type="spellStart"/>
      <w:r>
        <w:rPr>
          <w:rFonts w:ascii="Times New Roman Regular" w:hAnsi="Times New Roman Regular" w:cs="Times New Roman Regular"/>
          <w:szCs w:val="21"/>
        </w:rPr>
        <w:t>économiques</w:t>
      </w:r>
      <w:proofErr w:type="spellEnd"/>
      <w:r>
        <w:rPr>
          <w:rFonts w:ascii="Times New Roman Regular" w:hAnsi="Times New Roman Regular" w:cs="Times New Roman Regular"/>
          <w:szCs w:val="21"/>
        </w:rPr>
        <w:t xml:space="preserve"> de </w:t>
      </w:r>
      <w:proofErr w:type="spellStart"/>
      <w:r>
        <w:rPr>
          <w:rFonts w:ascii="Times New Roman Regular" w:hAnsi="Times New Roman Regular" w:cs="Times New Roman Regular"/>
          <w:szCs w:val="21"/>
        </w:rPr>
        <w:t>l'OCDE</w:t>
      </w:r>
      <w:proofErr w:type="spellEnd"/>
      <w:r>
        <w:rPr>
          <w:rFonts w:ascii="Times New Roman Regular" w:hAnsi="Times New Roman Regular" w:cs="Times New Roman Regular"/>
          <w:szCs w:val="21"/>
        </w:rPr>
        <w:t>, 2023.</w:t>
      </w:r>
    </w:p>
    <w:p w14:paraId="764E7646"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 xml:space="preserve">Bui M, </w:t>
      </w:r>
      <w:proofErr w:type="spellStart"/>
      <w:r>
        <w:rPr>
          <w:rFonts w:ascii="Times New Roman Regular" w:hAnsi="Times New Roman Regular" w:cs="Times New Roman Regular"/>
          <w:szCs w:val="21"/>
        </w:rPr>
        <w:t>Adjiman</w:t>
      </w:r>
      <w:proofErr w:type="spellEnd"/>
      <w:r>
        <w:rPr>
          <w:rFonts w:ascii="Times New Roman Regular" w:hAnsi="Times New Roman Regular" w:cs="Times New Roman Regular"/>
          <w:szCs w:val="21"/>
        </w:rPr>
        <w:t xml:space="preserve"> C S, </w:t>
      </w:r>
      <w:proofErr w:type="spellStart"/>
      <w:r>
        <w:rPr>
          <w:rFonts w:ascii="Times New Roman Regular" w:hAnsi="Times New Roman Regular" w:cs="Times New Roman Regular"/>
          <w:szCs w:val="21"/>
        </w:rPr>
        <w:t>Bardow</w:t>
      </w:r>
      <w:proofErr w:type="spellEnd"/>
      <w:r>
        <w:rPr>
          <w:rFonts w:ascii="Times New Roman Regular" w:hAnsi="Times New Roman Regular" w:cs="Times New Roman Regular"/>
          <w:szCs w:val="21"/>
        </w:rPr>
        <w:t xml:space="preserve"> A, et al. Carbon capture and storage (CCS): the way forward[J]. Energy &amp; Environmental Science, 2018, 11(5): 1062-1176.</w:t>
      </w:r>
    </w:p>
    <w:p w14:paraId="764E7647" w14:textId="77777777" w:rsidR="00E22A7D" w:rsidRDefault="0025782A">
      <w:pPr>
        <w:numPr>
          <w:ilvl w:val="0"/>
          <w:numId w:val="1"/>
        </w:numPr>
        <w:rPr>
          <w:rFonts w:ascii="Times New Roman Regular" w:hAnsi="Times New Roman Regular" w:cs="Times New Roman Regular"/>
          <w:szCs w:val="21"/>
        </w:rPr>
      </w:pPr>
      <w:r>
        <w:rPr>
          <w:rFonts w:ascii="Times New Roman Regular" w:hAnsi="Times New Roman Regular" w:cs="Times New Roman Regular"/>
          <w:szCs w:val="21"/>
        </w:rPr>
        <w:t>Gore C. The post‐2015 moment: Towards Sustainable Development Goals and a new global development paradigm[J]. Journal of International Development, 2015, 27(6): 717-732.</w:t>
      </w:r>
    </w:p>
    <w:p w14:paraId="764E7648" w14:textId="77777777" w:rsidR="00E22A7D" w:rsidRDefault="00E22A7D">
      <w:pPr>
        <w:rPr>
          <w:rFonts w:ascii="Times New Roman Regular" w:hAnsi="Times New Roman Regular" w:cs="Times New Roman Regular"/>
          <w:szCs w:val="21"/>
        </w:rPr>
      </w:pPr>
    </w:p>
    <w:sectPr w:rsidR="00E22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E0002AEF" w:usb1="C0007841" w:usb2="00000009" w:usb3="00000000" w:csb0="400001FF" w:csb1="FFF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9425F22"/>
    <w:multiLevelType w:val="singleLevel"/>
    <w:tmpl w:val="A9425F22"/>
    <w:lvl w:ilvl="0">
      <w:start w:val="1"/>
      <w:numFmt w:val="decimal"/>
      <w:suff w:val="space"/>
      <w:lvlText w:val="[%1]"/>
      <w:lvlJc w:val="left"/>
    </w:lvl>
  </w:abstractNum>
  <w:num w:numId="1" w16cid:durableId="200265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U0NjW3MLcwNrIwNTNX0lEKTi0uzszPAykwrAUAmfjcdSwAAAA="/>
    <w:docVar w:name="commondata" w:val="eyJoZGlkIjoiNTIzYmY4MTc5ZTQ5MDg4MTIzZTI0ODYwMTU3MzRjNjMifQ=="/>
  </w:docVars>
  <w:rsids>
    <w:rsidRoot w:val="7BF391AD"/>
    <w:rsid w:val="0025782A"/>
    <w:rsid w:val="00711C40"/>
    <w:rsid w:val="00E22A7D"/>
    <w:rsid w:val="444FD69D"/>
    <w:rsid w:val="44F32E4F"/>
    <w:rsid w:val="7BBC7F50"/>
    <w:rsid w:val="7BF391AD"/>
    <w:rsid w:val="7DFF4DB4"/>
    <w:rsid w:val="7EFDEC15"/>
    <w:rsid w:val="7FFBCAB0"/>
    <w:rsid w:val="93EDE2D3"/>
    <w:rsid w:val="EF9C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E7623"/>
  <w15:docId w15:val="{FF55431F-24F9-45E9-BD21-1B2A9129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1122</Words>
  <Characters>6402</Characters>
  <Application>Microsoft Office Word</Application>
  <DocSecurity>0</DocSecurity>
  <Lines>53</Lines>
  <Paragraphs>15</Paragraphs>
  <ScaleCrop>false</ScaleCrop>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罗莞萦Chloe</dc:creator>
  <cp:lastModifiedBy>杨其纯 Qichun YANG</cp:lastModifiedBy>
  <cp:revision>2</cp:revision>
  <dcterms:created xsi:type="dcterms:W3CDTF">2025-03-10T15:13:00Z</dcterms:created>
  <dcterms:modified xsi:type="dcterms:W3CDTF">2025-06-23T07:04:00Z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91A0FA9A6E4E784702B0CD67FABAB5CF_41</vt:lpwstr>
  </property>
</Properties>
</file>