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E4D7A" w14:textId="343D5BBC" w:rsidR="00732967" w:rsidRPr="00732967" w:rsidRDefault="00732967" w:rsidP="00732967">
      <w:pPr>
        <w:spacing w:after="0"/>
        <w:jc w:val="center"/>
        <w:rPr>
          <w:rFonts w:ascii="Times New Roman" w:hAnsi="Times New Roman" w:cs="Times New Roman" w:hint="eastAsia"/>
          <w:b/>
          <w:bCs/>
          <w:sz w:val="24"/>
          <w:szCs w:val="28"/>
        </w:rPr>
      </w:pPr>
      <w:r w:rsidRPr="00732967">
        <w:rPr>
          <w:rFonts w:ascii="Times New Roman" w:hAnsi="Times New Roman" w:cs="Times New Roman"/>
          <w:b/>
          <w:bCs/>
          <w:sz w:val="24"/>
          <w:szCs w:val="28"/>
        </w:rPr>
        <w:t>Solutions to Climate Change: A Multifaceted Approach</w:t>
      </w:r>
    </w:p>
    <w:p w14:paraId="75509B25" w14:textId="3CEFF24C" w:rsidR="00732967" w:rsidRPr="00732967" w:rsidRDefault="00732967" w:rsidP="00732967">
      <w:pPr>
        <w:spacing w:after="0"/>
        <w:jc w:val="both"/>
        <w:rPr>
          <w:rFonts w:ascii="Times New Roman" w:hAnsi="Times New Roman" w:cs="Times New Roman" w:hint="eastAsia"/>
        </w:rPr>
      </w:pPr>
      <w:r w:rsidRPr="00732967">
        <w:rPr>
          <w:rFonts w:ascii="Times New Roman" w:hAnsi="Times New Roman" w:cs="Times New Roman"/>
        </w:rPr>
        <w:t xml:space="preserve">Climate change, driven primarily by human activities such as fossil fuel combustion, deforestation, and industrial processes, poses an existential threat to ecosystems and societies worldwide. Addressing this crisis requires a comprehensive strategy that integrates technological innovation, policy reform, behavioral shifts, and global cooperation. Below is an exploration of key solutions across critical sectors.  </w:t>
      </w:r>
    </w:p>
    <w:p w14:paraId="305CD134" w14:textId="5D7650BF" w:rsidR="00732967" w:rsidRPr="00732967" w:rsidRDefault="00732967" w:rsidP="00732967">
      <w:pPr>
        <w:spacing w:after="0"/>
        <w:jc w:val="both"/>
        <w:rPr>
          <w:rFonts w:ascii="Times New Roman" w:hAnsi="Times New Roman" w:cs="Times New Roman"/>
          <w:b/>
          <w:bCs/>
        </w:rPr>
      </w:pPr>
      <w:r w:rsidRPr="00732967">
        <w:rPr>
          <w:rFonts w:ascii="Times New Roman" w:hAnsi="Times New Roman" w:cs="Times New Roman"/>
          <w:b/>
          <w:bCs/>
        </w:rPr>
        <w:t xml:space="preserve">1. Energy Transition  </w:t>
      </w:r>
    </w:p>
    <w:p w14:paraId="6F9DCB12" w14:textId="5C2F2280" w:rsidR="00732967" w:rsidRPr="00732967" w:rsidRDefault="00732967" w:rsidP="00732967">
      <w:pPr>
        <w:spacing w:after="0"/>
        <w:jc w:val="both"/>
        <w:rPr>
          <w:rFonts w:ascii="Times New Roman" w:hAnsi="Times New Roman" w:cs="Times New Roman" w:hint="eastAsia"/>
        </w:rPr>
      </w:pPr>
      <w:r w:rsidRPr="00732967">
        <w:rPr>
          <w:rFonts w:ascii="Times New Roman" w:hAnsi="Times New Roman" w:cs="Times New Roman"/>
        </w:rPr>
        <w:t xml:space="preserve">The energy sector accounts for over 75% of global greenhouse gas emissions, making its transformation a priority. Transitioning to renewable energy sources like solar, wind, hydroelectric, and geothermal power is essential. Countries like Denmark and Germany have demonstrated that aggressive renewable adoption is feasible, with Denmark aiming to generate 100% of its electricity from wind and solar by 2030. Improving energy storage technologies (e.g., advanced batteries) and modernizing grids to handle intermittent renewables will ensure reliability. Additionally, phasing out coal plants and implementing carbon pricing mechanisms can accelerate the shift away from fossil fuels.  </w:t>
      </w:r>
    </w:p>
    <w:p w14:paraId="1384592B" w14:textId="0EFF85FE" w:rsidR="00732967" w:rsidRPr="00732967" w:rsidRDefault="00732967" w:rsidP="00732967">
      <w:pPr>
        <w:spacing w:after="0"/>
        <w:jc w:val="both"/>
        <w:rPr>
          <w:rFonts w:ascii="Times New Roman" w:hAnsi="Times New Roman" w:cs="Times New Roman"/>
          <w:b/>
          <w:bCs/>
        </w:rPr>
      </w:pPr>
      <w:r w:rsidRPr="00732967">
        <w:rPr>
          <w:rFonts w:ascii="Times New Roman" w:hAnsi="Times New Roman" w:cs="Times New Roman"/>
          <w:b/>
          <w:bCs/>
        </w:rPr>
        <w:t xml:space="preserve">2. Sustainable Transportation  </w:t>
      </w:r>
    </w:p>
    <w:p w14:paraId="395854CA" w14:textId="174B80FD" w:rsidR="00732967" w:rsidRPr="00732967" w:rsidRDefault="00732967" w:rsidP="00732967">
      <w:pPr>
        <w:spacing w:after="0"/>
        <w:jc w:val="both"/>
        <w:rPr>
          <w:rFonts w:ascii="Times New Roman" w:hAnsi="Times New Roman" w:cs="Times New Roman" w:hint="eastAsia"/>
        </w:rPr>
      </w:pPr>
      <w:r w:rsidRPr="00732967">
        <w:rPr>
          <w:rFonts w:ascii="Times New Roman" w:hAnsi="Times New Roman" w:cs="Times New Roman"/>
        </w:rPr>
        <w:t>Transportation contributes nearly 20% of global emissions. Electrifying vehicles, expanding public transit, and promoting walking and cycling are critical steps. Norway</w:t>
      </w:r>
      <w:proofErr w:type="gramStart"/>
      <w:r w:rsidRPr="00732967">
        <w:rPr>
          <w:rFonts w:ascii="Times New Roman" w:hAnsi="Times New Roman" w:cs="Times New Roman"/>
        </w:rPr>
        <w:t>’</w:t>
      </w:r>
      <w:proofErr w:type="gramEnd"/>
      <w:r w:rsidRPr="00732967">
        <w:rPr>
          <w:rFonts w:ascii="Times New Roman" w:hAnsi="Times New Roman" w:cs="Times New Roman"/>
        </w:rPr>
        <w:t xml:space="preserve">s success in electrifying its car fleet—over 80% of new cars sold in 2023 were electric—shows the impact of subsidies, tax incentives, and charging infrastructure. Urban planning that prioritizes walkability and bike lanes, such as in Copenhagen, reduces reliance on cars. Hydrogen fuel cells and biofuels offer alternatives for heavy-duty transport, while high-speed rail can replace short-haul flights.  </w:t>
      </w:r>
    </w:p>
    <w:p w14:paraId="0CB98BB3" w14:textId="44C5DB2C" w:rsidR="00732967" w:rsidRPr="00732967" w:rsidRDefault="00732967" w:rsidP="00732967">
      <w:pPr>
        <w:spacing w:after="0"/>
        <w:jc w:val="both"/>
        <w:rPr>
          <w:rFonts w:ascii="Times New Roman" w:hAnsi="Times New Roman" w:cs="Times New Roman"/>
          <w:b/>
          <w:bCs/>
        </w:rPr>
      </w:pPr>
      <w:r w:rsidRPr="00732967">
        <w:rPr>
          <w:rFonts w:ascii="Times New Roman" w:hAnsi="Times New Roman" w:cs="Times New Roman"/>
          <w:b/>
          <w:bCs/>
        </w:rPr>
        <w:t xml:space="preserve">3. Industrial Innovation  </w:t>
      </w:r>
    </w:p>
    <w:p w14:paraId="033FE7F7" w14:textId="46A02062" w:rsidR="00732967" w:rsidRPr="00732967" w:rsidRDefault="00732967" w:rsidP="00732967">
      <w:pPr>
        <w:spacing w:after="0"/>
        <w:jc w:val="both"/>
        <w:rPr>
          <w:rFonts w:ascii="Times New Roman" w:hAnsi="Times New Roman" w:cs="Times New Roman" w:hint="eastAsia"/>
        </w:rPr>
      </w:pPr>
      <w:r w:rsidRPr="00732967">
        <w:rPr>
          <w:rFonts w:ascii="Times New Roman" w:hAnsi="Times New Roman" w:cs="Times New Roman"/>
        </w:rPr>
        <w:t xml:space="preserve">Industries like cement, steel, and chemicals are notoriously </w:t>
      </w:r>
      <w:proofErr w:type="gramStart"/>
      <w:r w:rsidRPr="00732967">
        <w:rPr>
          <w:rFonts w:ascii="Times New Roman" w:hAnsi="Times New Roman" w:cs="Times New Roman"/>
        </w:rPr>
        <w:t>emissions-intensive</w:t>
      </w:r>
      <w:proofErr w:type="gramEnd"/>
      <w:r w:rsidRPr="00732967">
        <w:rPr>
          <w:rFonts w:ascii="Times New Roman" w:hAnsi="Times New Roman" w:cs="Times New Roman"/>
        </w:rPr>
        <w:t xml:space="preserve">. Innovations such as carbon capture and storage (CCS), which sequesters CO₂ emissions from factories, and green hydrogen (produced using renewable energy) can decarbonize these sectors. The circular economy model, which emphasizes recycling and reusing materials, minimizes resource extraction. Companies like ArcelorMittal are piloting CCS in steel production, while startups are developing low-carbon cement alternatives.  </w:t>
      </w:r>
    </w:p>
    <w:p w14:paraId="45B2940B" w14:textId="4C69208C" w:rsidR="00732967" w:rsidRPr="00732967" w:rsidRDefault="00732967" w:rsidP="00732967">
      <w:pPr>
        <w:spacing w:after="0"/>
        <w:jc w:val="both"/>
        <w:rPr>
          <w:rFonts w:ascii="Times New Roman" w:hAnsi="Times New Roman" w:cs="Times New Roman"/>
          <w:b/>
          <w:bCs/>
        </w:rPr>
      </w:pPr>
      <w:r w:rsidRPr="00732967">
        <w:rPr>
          <w:rFonts w:ascii="Times New Roman" w:hAnsi="Times New Roman" w:cs="Times New Roman"/>
          <w:b/>
          <w:bCs/>
        </w:rPr>
        <w:t xml:space="preserve">4. Agricultural Reform  </w:t>
      </w:r>
    </w:p>
    <w:p w14:paraId="1565F328" w14:textId="08072B78" w:rsidR="00732967" w:rsidRPr="00732967" w:rsidRDefault="00732967" w:rsidP="00732967">
      <w:pPr>
        <w:spacing w:after="0"/>
        <w:jc w:val="both"/>
        <w:rPr>
          <w:rFonts w:ascii="Times New Roman" w:hAnsi="Times New Roman" w:cs="Times New Roman" w:hint="eastAsia"/>
        </w:rPr>
      </w:pPr>
      <w:r w:rsidRPr="00732967">
        <w:rPr>
          <w:rFonts w:ascii="Times New Roman" w:hAnsi="Times New Roman" w:cs="Times New Roman"/>
        </w:rPr>
        <w:t xml:space="preserve">Agriculture accounts for 12% of global emissions, largely from livestock methane, deforestation, and fertilizer use. Regenerative farming practices—such as crop rotation, reduced tillage, and agroforestry—enhance soil carbon sequestration. Reducing meat consumption and food waste (a third of global food is wasted) lowers demand for resource-intensive products. Methane capture from livestock manure and rice paddies, along with precision agriculture technologies, can further curb emissions.  </w:t>
      </w:r>
    </w:p>
    <w:p w14:paraId="032E10B0" w14:textId="76675075" w:rsidR="00732967" w:rsidRPr="00732967" w:rsidRDefault="00732967" w:rsidP="00732967">
      <w:pPr>
        <w:spacing w:after="0"/>
        <w:jc w:val="both"/>
        <w:rPr>
          <w:rFonts w:ascii="Times New Roman" w:hAnsi="Times New Roman" w:cs="Times New Roman"/>
        </w:rPr>
      </w:pPr>
      <w:r w:rsidRPr="00732967">
        <w:rPr>
          <w:rFonts w:ascii="Times New Roman" w:hAnsi="Times New Roman" w:cs="Times New Roman"/>
        </w:rPr>
        <w:t xml:space="preserve">5. Policy and Global Cooperation  </w:t>
      </w:r>
    </w:p>
    <w:p w14:paraId="372C3EE6" w14:textId="161B423C" w:rsidR="00732967" w:rsidRPr="00732967" w:rsidRDefault="00732967" w:rsidP="00732967">
      <w:pPr>
        <w:spacing w:after="0"/>
        <w:jc w:val="both"/>
        <w:rPr>
          <w:rFonts w:ascii="Times New Roman" w:hAnsi="Times New Roman" w:cs="Times New Roman" w:hint="eastAsia"/>
        </w:rPr>
      </w:pPr>
      <w:r w:rsidRPr="00732967">
        <w:rPr>
          <w:rFonts w:ascii="Times New Roman" w:hAnsi="Times New Roman" w:cs="Times New Roman"/>
        </w:rPr>
        <w:lastRenderedPageBreak/>
        <w:t>Strong policies are indispensable. Carbon pricing, such as the European Union</w:t>
      </w:r>
      <w:proofErr w:type="gramStart"/>
      <w:r w:rsidRPr="00732967">
        <w:rPr>
          <w:rFonts w:ascii="Times New Roman" w:hAnsi="Times New Roman" w:cs="Times New Roman"/>
        </w:rPr>
        <w:t>’</w:t>
      </w:r>
      <w:proofErr w:type="gramEnd"/>
      <w:r w:rsidRPr="00732967">
        <w:rPr>
          <w:rFonts w:ascii="Times New Roman" w:hAnsi="Times New Roman" w:cs="Times New Roman"/>
        </w:rPr>
        <w:t>s Emissions Trading System, incentivizes emission reductions. Subsidies for fossil fuels, which total $6 trillion annually, should be redirected to clean energy. International agreements like the Paris Accord bind nations to emission targets, while frameworks such as the UN</w:t>
      </w:r>
      <w:proofErr w:type="gramStart"/>
      <w:r w:rsidRPr="00732967">
        <w:rPr>
          <w:rFonts w:ascii="Times New Roman" w:hAnsi="Times New Roman" w:cs="Times New Roman"/>
        </w:rPr>
        <w:t>’</w:t>
      </w:r>
      <w:proofErr w:type="gramEnd"/>
      <w:r w:rsidRPr="00732967">
        <w:rPr>
          <w:rFonts w:ascii="Times New Roman" w:hAnsi="Times New Roman" w:cs="Times New Roman"/>
        </w:rPr>
        <w:t xml:space="preserve">s Sustainable Development Goals (SDGs) integrate climate action with social equity. Local policies, such as New York City’s building efficiency mandates, demonstrate how cities can drive change.  </w:t>
      </w:r>
    </w:p>
    <w:p w14:paraId="3775BFB8" w14:textId="67614EBF" w:rsidR="00732967" w:rsidRPr="00732967" w:rsidRDefault="00732967" w:rsidP="00732967">
      <w:pPr>
        <w:spacing w:after="0"/>
        <w:jc w:val="both"/>
        <w:rPr>
          <w:rFonts w:ascii="Times New Roman" w:hAnsi="Times New Roman" w:cs="Times New Roman"/>
          <w:b/>
          <w:bCs/>
        </w:rPr>
      </w:pPr>
      <w:r w:rsidRPr="00732967">
        <w:rPr>
          <w:rFonts w:ascii="Times New Roman" w:hAnsi="Times New Roman" w:cs="Times New Roman"/>
          <w:b/>
          <w:bCs/>
        </w:rPr>
        <w:t xml:space="preserve">6. Individual and Collective Action  </w:t>
      </w:r>
    </w:p>
    <w:p w14:paraId="6FD086B9" w14:textId="2EC8AEA5" w:rsidR="00732967" w:rsidRPr="00732967" w:rsidRDefault="00732967" w:rsidP="00732967">
      <w:pPr>
        <w:spacing w:after="0"/>
        <w:jc w:val="both"/>
        <w:rPr>
          <w:rFonts w:ascii="Times New Roman" w:hAnsi="Times New Roman" w:cs="Times New Roman" w:hint="eastAsia"/>
        </w:rPr>
      </w:pPr>
      <w:r w:rsidRPr="00732967">
        <w:rPr>
          <w:rFonts w:ascii="Times New Roman" w:hAnsi="Times New Roman" w:cs="Times New Roman"/>
        </w:rPr>
        <w:t xml:space="preserve">While systemic change is vital, individual choices matter. Reducing energy consumption, adopting plant-based diets, and supporting sustainable brands create demand for greener practices. Education and advocacy empower communities to pressure governments and corporations. Grassroots movements like Fridays for Future highlight the power of collective action in driving policy shifts.  </w:t>
      </w:r>
    </w:p>
    <w:p w14:paraId="2DCD5880" w14:textId="55B9AE80" w:rsidR="00732967" w:rsidRPr="00732967" w:rsidRDefault="00732967" w:rsidP="00732967">
      <w:pPr>
        <w:spacing w:after="0"/>
        <w:jc w:val="both"/>
        <w:rPr>
          <w:rFonts w:ascii="Times New Roman" w:hAnsi="Times New Roman" w:cs="Times New Roman"/>
          <w:b/>
          <w:bCs/>
        </w:rPr>
      </w:pPr>
      <w:r w:rsidRPr="00732967">
        <w:rPr>
          <w:rFonts w:ascii="Times New Roman" w:hAnsi="Times New Roman" w:cs="Times New Roman"/>
          <w:b/>
          <w:bCs/>
        </w:rPr>
        <w:t xml:space="preserve">7. Adaptation and Resilience  </w:t>
      </w:r>
    </w:p>
    <w:p w14:paraId="6D0DF312" w14:textId="63E0C848" w:rsidR="00732967" w:rsidRPr="00732967" w:rsidRDefault="00732967" w:rsidP="00732967">
      <w:pPr>
        <w:spacing w:after="0"/>
        <w:jc w:val="both"/>
        <w:rPr>
          <w:rFonts w:ascii="Times New Roman" w:hAnsi="Times New Roman" w:cs="Times New Roman" w:hint="eastAsia"/>
        </w:rPr>
      </w:pPr>
      <w:r w:rsidRPr="00732967">
        <w:rPr>
          <w:rFonts w:ascii="Times New Roman" w:hAnsi="Times New Roman" w:cs="Times New Roman"/>
        </w:rPr>
        <w:t xml:space="preserve">Even with mitigation efforts, some climate impacts are unavoidable. Building climate-resilient infrastructure, such as flood barriers and drought-resistant crops, protects vulnerable populations. Ecosystem </w:t>
      </w:r>
      <w:proofErr w:type="gramStart"/>
      <w:r w:rsidRPr="00732967">
        <w:rPr>
          <w:rFonts w:ascii="Times New Roman" w:hAnsi="Times New Roman" w:cs="Times New Roman"/>
        </w:rPr>
        <w:t>restoration—reforestation</w:t>
      </w:r>
      <w:proofErr w:type="gramEnd"/>
      <w:r w:rsidRPr="00732967">
        <w:rPr>
          <w:rFonts w:ascii="Times New Roman" w:hAnsi="Times New Roman" w:cs="Times New Roman"/>
        </w:rPr>
        <w:t xml:space="preserve">, wetland preservation—enhances natural carbon sinks while safeguarding biodiversity.  </w:t>
      </w:r>
    </w:p>
    <w:p w14:paraId="4B32F04D" w14:textId="572E509C" w:rsidR="00732967" w:rsidRPr="00732967" w:rsidRDefault="00732967" w:rsidP="00732967">
      <w:pPr>
        <w:spacing w:after="0"/>
        <w:jc w:val="both"/>
        <w:rPr>
          <w:rFonts w:ascii="Times New Roman" w:hAnsi="Times New Roman" w:cs="Times New Roman"/>
        </w:rPr>
      </w:pPr>
      <w:r w:rsidRPr="00732967">
        <w:rPr>
          <w:rFonts w:ascii="Times New Roman" w:hAnsi="Times New Roman" w:cs="Times New Roman"/>
        </w:rPr>
        <w:t xml:space="preserve">  </w:t>
      </w:r>
    </w:p>
    <w:p w14:paraId="2E4FF487" w14:textId="4A9D7B3F" w:rsidR="00732967" w:rsidRPr="00732967" w:rsidRDefault="00732967" w:rsidP="00732967">
      <w:pPr>
        <w:spacing w:after="0"/>
        <w:jc w:val="both"/>
        <w:rPr>
          <w:rFonts w:ascii="Times New Roman" w:hAnsi="Times New Roman" w:cs="Times New Roman"/>
        </w:rPr>
      </w:pPr>
      <w:r w:rsidRPr="00732967">
        <w:rPr>
          <w:rFonts w:ascii="Times New Roman" w:hAnsi="Times New Roman" w:cs="Times New Roman"/>
        </w:rPr>
        <w:t xml:space="preserve">Climate change demands a holistic response that bridges technology, policy, and societal engagement. While challenges like economic inequality and political inertia persist, solutions are within reach. Success hinges on collaboration across governments, businesses, and individuals. By prioritizing equity, innovation, and urgency, humanity can transition to a sustainable future.  </w:t>
      </w:r>
    </w:p>
    <w:p w14:paraId="54044824" w14:textId="77777777" w:rsidR="00732967" w:rsidRDefault="00732967" w:rsidP="00732967">
      <w:pPr>
        <w:spacing w:after="0"/>
        <w:jc w:val="both"/>
        <w:rPr>
          <w:rFonts w:ascii="Times New Roman" w:hAnsi="Times New Roman" w:cs="Times New Roman"/>
        </w:rPr>
      </w:pPr>
    </w:p>
    <w:p w14:paraId="2B6F3F7B" w14:textId="65E3175D" w:rsidR="00732967" w:rsidRPr="00732967" w:rsidRDefault="00732967" w:rsidP="00732967">
      <w:pPr>
        <w:spacing w:after="0"/>
        <w:jc w:val="both"/>
        <w:rPr>
          <w:rFonts w:ascii="Times New Roman" w:hAnsi="Times New Roman" w:cs="Times New Roman"/>
          <w:b/>
          <w:bCs/>
        </w:rPr>
      </w:pPr>
      <w:r w:rsidRPr="00732967">
        <w:rPr>
          <w:rFonts w:ascii="Times New Roman" w:hAnsi="Times New Roman" w:cs="Times New Roman"/>
          <w:b/>
          <w:bCs/>
        </w:rPr>
        <w:t xml:space="preserve">Statement of AI Use: </w:t>
      </w:r>
    </w:p>
    <w:p w14:paraId="4FDC09DE" w14:textId="26D74498" w:rsidR="00732967" w:rsidRPr="004B1AF9" w:rsidRDefault="00732967" w:rsidP="00732967">
      <w:pPr>
        <w:spacing w:after="0"/>
        <w:jc w:val="both"/>
        <w:rPr>
          <w:rFonts w:ascii="Times New Roman" w:hAnsi="Times New Roman" w:cs="Times New Roman"/>
          <w:sz w:val="24"/>
        </w:rPr>
      </w:pPr>
      <w:r>
        <w:rPr>
          <w:rFonts w:ascii="Times New Roman" w:hAnsi="Times New Roman" w:cs="Times New Roman" w:hint="eastAsia"/>
          <w:sz w:val="24"/>
        </w:rPr>
        <w:t xml:space="preserve">I used ChatGPT to help refine and polish the context. </w:t>
      </w:r>
      <w:proofErr w:type="gramStart"/>
      <w:r>
        <w:rPr>
          <w:rFonts w:ascii="Times New Roman" w:hAnsi="Times New Roman" w:cs="Times New Roman" w:hint="eastAsia"/>
          <w:sz w:val="24"/>
        </w:rPr>
        <w:t>By the way, I</w:t>
      </w:r>
      <w:proofErr w:type="gramEnd"/>
      <w:r>
        <w:rPr>
          <w:rFonts w:ascii="Times New Roman" w:hAnsi="Times New Roman" w:cs="Times New Roman" w:hint="eastAsia"/>
          <w:sz w:val="24"/>
        </w:rPr>
        <w:t xml:space="preserve"> also applied it to help me organize the structure of this essay.</w:t>
      </w:r>
    </w:p>
    <w:p w14:paraId="3426504D" w14:textId="47737ADD" w:rsidR="00732967" w:rsidRPr="00732967" w:rsidRDefault="00732967" w:rsidP="00732967">
      <w:pPr>
        <w:spacing w:after="0"/>
        <w:jc w:val="both"/>
        <w:rPr>
          <w:rFonts w:ascii="Times New Roman" w:hAnsi="Times New Roman" w:cs="Times New Roman"/>
        </w:rPr>
      </w:pPr>
    </w:p>
    <w:sectPr w:rsidR="00732967" w:rsidRPr="00732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67"/>
    <w:rsid w:val="00732967"/>
    <w:rsid w:val="00B9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F501"/>
  <w15:chartTrackingRefBased/>
  <w15:docId w15:val="{62FB53DB-0F9E-4E21-A77E-633D89F0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3296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3296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3296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3296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3296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3296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3296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3296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3296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296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3296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3296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32967"/>
    <w:rPr>
      <w:rFonts w:cstheme="majorBidi"/>
      <w:color w:val="0F4761" w:themeColor="accent1" w:themeShade="BF"/>
      <w:sz w:val="28"/>
      <w:szCs w:val="28"/>
    </w:rPr>
  </w:style>
  <w:style w:type="character" w:customStyle="1" w:styleId="50">
    <w:name w:val="标题 5 字符"/>
    <w:basedOn w:val="a0"/>
    <w:link w:val="5"/>
    <w:uiPriority w:val="9"/>
    <w:semiHidden/>
    <w:rsid w:val="00732967"/>
    <w:rPr>
      <w:rFonts w:cstheme="majorBidi"/>
      <w:color w:val="0F4761" w:themeColor="accent1" w:themeShade="BF"/>
      <w:sz w:val="24"/>
    </w:rPr>
  </w:style>
  <w:style w:type="character" w:customStyle="1" w:styleId="60">
    <w:name w:val="标题 6 字符"/>
    <w:basedOn w:val="a0"/>
    <w:link w:val="6"/>
    <w:uiPriority w:val="9"/>
    <w:semiHidden/>
    <w:rsid w:val="00732967"/>
    <w:rPr>
      <w:rFonts w:cstheme="majorBidi"/>
      <w:b/>
      <w:bCs/>
      <w:color w:val="0F4761" w:themeColor="accent1" w:themeShade="BF"/>
    </w:rPr>
  </w:style>
  <w:style w:type="character" w:customStyle="1" w:styleId="70">
    <w:name w:val="标题 7 字符"/>
    <w:basedOn w:val="a0"/>
    <w:link w:val="7"/>
    <w:uiPriority w:val="9"/>
    <w:semiHidden/>
    <w:rsid w:val="00732967"/>
    <w:rPr>
      <w:rFonts w:cstheme="majorBidi"/>
      <w:b/>
      <w:bCs/>
      <w:color w:val="595959" w:themeColor="text1" w:themeTint="A6"/>
    </w:rPr>
  </w:style>
  <w:style w:type="character" w:customStyle="1" w:styleId="80">
    <w:name w:val="标题 8 字符"/>
    <w:basedOn w:val="a0"/>
    <w:link w:val="8"/>
    <w:uiPriority w:val="9"/>
    <w:semiHidden/>
    <w:rsid w:val="00732967"/>
    <w:rPr>
      <w:rFonts w:cstheme="majorBidi"/>
      <w:color w:val="595959" w:themeColor="text1" w:themeTint="A6"/>
    </w:rPr>
  </w:style>
  <w:style w:type="character" w:customStyle="1" w:styleId="90">
    <w:name w:val="标题 9 字符"/>
    <w:basedOn w:val="a0"/>
    <w:link w:val="9"/>
    <w:uiPriority w:val="9"/>
    <w:semiHidden/>
    <w:rsid w:val="00732967"/>
    <w:rPr>
      <w:rFonts w:eastAsiaTheme="majorEastAsia" w:cstheme="majorBidi"/>
      <w:color w:val="595959" w:themeColor="text1" w:themeTint="A6"/>
    </w:rPr>
  </w:style>
  <w:style w:type="paragraph" w:styleId="a3">
    <w:name w:val="Title"/>
    <w:basedOn w:val="a"/>
    <w:next w:val="a"/>
    <w:link w:val="a4"/>
    <w:uiPriority w:val="10"/>
    <w:qFormat/>
    <w:rsid w:val="0073296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29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296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329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32967"/>
    <w:pPr>
      <w:spacing w:before="160"/>
      <w:jc w:val="center"/>
    </w:pPr>
    <w:rPr>
      <w:i/>
      <w:iCs/>
      <w:color w:val="404040" w:themeColor="text1" w:themeTint="BF"/>
    </w:rPr>
  </w:style>
  <w:style w:type="character" w:customStyle="1" w:styleId="a8">
    <w:name w:val="引用 字符"/>
    <w:basedOn w:val="a0"/>
    <w:link w:val="a7"/>
    <w:uiPriority w:val="29"/>
    <w:rsid w:val="00732967"/>
    <w:rPr>
      <w:i/>
      <w:iCs/>
      <w:color w:val="404040" w:themeColor="text1" w:themeTint="BF"/>
    </w:rPr>
  </w:style>
  <w:style w:type="paragraph" w:styleId="a9">
    <w:name w:val="List Paragraph"/>
    <w:basedOn w:val="a"/>
    <w:uiPriority w:val="34"/>
    <w:qFormat/>
    <w:rsid w:val="00732967"/>
    <w:pPr>
      <w:ind w:left="720"/>
      <w:contextualSpacing/>
    </w:pPr>
  </w:style>
  <w:style w:type="character" w:styleId="aa">
    <w:name w:val="Intense Emphasis"/>
    <w:basedOn w:val="a0"/>
    <w:uiPriority w:val="21"/>
    <w:qFormat/>
    <w:rsid w:val="00732967"/>
    <w:rPr>
      <w:i/>
      <w:iCs/>
      <w:color w:val="0F4761" w:themeColor="accent1" w:themeShade="BF"/>
    </w:rPr>
  </w:style>
  <w:style w:type="paragraph" w:styleId="ab">
    <w:name w:val="Intense Quote"/>
    <w:basedOn w:val="a"/>
    <w:next w:val="a"/>
    <w:link w:val="ac"/>
    <w:uiPriority w:val="30"/>
    <w:qFormat/>
    <w:rsid w:val="00732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2967"/>
    <w:rPr>
      <w:i/>
      <w:iCs/>
      <w:color w:val="0F4761" w:themeColor="accent1" w:themeShade="BF"/>
    </w:rPr>
  </w:style>
  <w:style w:type="character" w:styleId="ad">
    <w:name w:val="Intense Reference"/>
    <w:basedOn w:val="a0"/>
    <w:uiPriority w:val="32"/>
    <w:qFormat/>
    <w:rsid w:val="007329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Linxiao CAO</dc:creator>
  <cp:keywords/>
  <dc:description/>
  <cp:lastModifiedBy>Linxiao CAO</cp:lastModifiedBy>
  <cp:revision>1</cp:revision>
  <dcterms:created xsi:type="dcterms:W3CDTF">2025-04-12T14:04:00Z</dcterms:created>
  <dcterms:modified xsi:type="dcterms:W3CDTF">2025-04-12T14:09:00Z</dcterms:modified>
</cp:coreProperties>
</file>