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14="http://schemas.microsoft.com/office/word/2010/wordml" xmlns:w="http://schemas.openxmlformats.org/wordprocessingml/2006/main" xmlns:mc="http://schemas.openxmlformats.org/markup-compatibility/2006" mc:Ignorable="w14">
  <w:body>
    <w:p w14:paraId="1A6B915C">
      <w:pPr>
        <w:spacing w:before="0" w:after="0"/>
        <w:jc w:val="center"/>
      </w:pPr>
      <w:r>
        <w:rPr>
          <w:rFonts w:hint="eastAsia" w:ascii="var(--ff-body)" w:hAnsi="var(--ff-body)" w:eastAsia="var(--ff-body)" w:cs="var(--ff-body)"/>
          <w:b w:val="1"/>
        </w:rPr>
        <w:t>数字化转型对企业经营绩效的影响研究</w:t>
      </w:r>
      <w:r>
        <w:br w:type="textWrapping"/>
      </w:r>
      <w:r>
        <w:rPr>
          <w:rFonts w:hint="eastAsia" w:ascii="var(--ff-body)" w:hAnsi="var(--ff-body)" w:eastAsia="var(--ff-body)" w:cs="var(--ff-body)"/>
          <w:b w:val="1"/>
        </w:rPr>
        <w:t>——基于中国A股制造业上市公司的实证分析</w:t>
      </w:r>
    </w:p>
    <w:p w14:paraId="1C003C5A">
      <w:pPr>
        <w:spacing w:after="0"/>
        <w:jc w:val="center"/>
      </w:pPr>
      <w:r>
        <w:rPr>
          <w:rFonts w:hint="eastAsia" w:ascii="var(--ff-body)" w:hAnsi="var(--ff-body)" w:eastAsia="var(--ff-body)" w:cs="var(--ff-body)"/>
          <w:b w:val="0"/>
        </w:rPr>
        <w:t>基于五步实证流水线的面板数据分析</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4153"/>
        <w:gridCol w:w="4153"/>
      </w:tblGrid>
      <w:tr>
        <w:trPr>
          <w:tblHeader w:val="1"/>
        </w:trPr>
        <w:tc>
          <w:tcPr>
            <w:tcW w:w="8306" w:type="dxa"/>
            <w:gridSpan w:val="2"/>
            <w:tcMar/>
          </w:tcPr>
          <w:p w14:paraId="0DF9E39E">
            <w:pPr>
              <w:jc w:val="center"/>
              <w:rPr>
                <w:b w:val="1"/>
                <w:bCs w:val="1"/>
              </w:rPr>
            </w:pPr>
            <w:r>
              <w:rPr>
                <w:rFonts w:hint="eastAsia" w:ascii="var(--ff-body)" w:hAnsi="var(--ff-body)" w:eastAsia="var(--ff-body)" w:cs="var(--ff-body)"/>
                <w:b w:val="0"/>
              </w:rPr>
              <w:t>论文封面信息</w:t>
            </w:r>
          </w:p>
        </w:tc>
      </w:tr>
      <w:tr>
        <w:trPr/>
        <w:tc>
          <w:tcPr>
            <w:tcW w:w="4153" w:type="dxa"/>
            <w:tcBorders>
              <w:top w:val="single" w:sz="8"/>
              <w:left w:val="single" w:sz="8"/>
              <w:bottom w:val="single" w:sz="8"/>
              <w:right w:val="single" w:sz="8"/>
            </w:tcBorders>
            <w:tcMar/>
            <w:vAlign w:val="top"/>
          </w:tcPr>
          <w:p w14:paraId="6149232D">
            <w:pPr>
              <w:jc w:val="right"/>
            </w:pPr>
            <w:r>
              <w:rPr>
                <w:rFonts w:hint="eastAsia" w:ascii="var(--ff-body)" w:hAnsi="var(--ff-body)" w:eastAsia="var(--ff-body)" w:cs="var(--ff-body)"/>
              </w:rPr>
              <w:t>课程名称</w:t>
            </w:r>
          </w:p>
        </w:tc>
        <w:tc>
          <w:tcPr>
            <w:tcW w:w="4153" w:type="dxa"/>
            <w:tcBorders>
              <w:top w:val="single" w:sz="8"/>
              <w:left w:val="single" w:sz="8"/>
              <w:bottom w:val="single" w:sz="8"/>
              <w:right w:val="single" w:sz="8"/>
            </w:tcBorders>
            <w:tcMar/>
            <w:vAlign w:val="top"/>
          </w:tcPr>
          <w:p w14:paraId="085FE206">
            <w:pPr>
              <w:jc w:val="right"/>
            </w:pPr>
            <w:r>
              <w:rPr>
                <w:rFonts w:hint="eastAsia" w:ascii="var(--ff-body)" w:hAnsi="var(--ff-body)" w:eastAsia="var(--ff-body)" w:cs="var(--ff-body)"/>
              </w:rPr>
              <w:t>大数据分析与实证研究方法</w:t>
            </w:r>
          </w:p>
        </w:tc>
      </w:tr>
      <w:tr>
        <w:trPr/>
        <w:tc>
          <w:tcPr>
            <w:tcW w:w="4153" w:type="dxa"/>
            <w:tcBorders>
              <w:top w:val="single" w:sz="8"/>
              <w:left w:val="single" w:sz="8"/>
              <w:bottom w:val="single" w:sz="8"/>
              <w:right w:val="single" w:sz="8"/>
            </w:tcBorders>
            <w:tcMar/>
            <w:vAlign w:val="top"/>
          </w:tcPr>
          <w:p w14:paraId="5BD76593">
            <w:pPr>
              <w:jc w:val="right"/>
            </w:pPr>
            <w:r>
              <w:rPr>
                <w:rFonts w:hint="eastAsia" w:ascii="var(--ff-body)" w:hAnsi="var(--ff-body)" w:eastAsia="var(--ff-body)" w:cs="var(--ff-body)"/>
              </w:rPr>
              <w:t>论文类型</w:t>
            </w:r>
          </w:p>
        </w:tc>
        <w:tc>
          <w:tcPr>
            <w:tcW w:w="4153" w:type="dxa"/>
            <w:tcBorders>
              <w:top w:val="single" w:sz="8"/>
              <w:left w:val="single" w:sz="8"/>
              <w:bottom w:val="single" w:sz="8"/>
              <w:right w:val="single" w:sz="8"/>
            </w:tcBorders>
            <w:tcMar/>
            <w:vAlign w:val="top"/>
          </w:tcPr>
          <w:p w14:paraId="4D9641EF">
            <w:pPr>
              <w:jc w:val="right"/>
            </w:pPr>
            <w:r>
              <w:rPr>
                <w:rFonts w:hint="eastAsia" w:ascii="var(--ff-body)" w:hAnsi="var(--ff-body)" w:eastAsia="var(--ff-body)" w:cs="var(--ff-body)"/>
              </w:rPr>
              <w:t>预演毕业论文</w:t>
            </w:r>
          </w:p>
        </w:tc>
      </w:tr>
      <w:tr>
        <w:trPr/>
        <w:tc>
          <w:tcPr>
            <w:tcW w:w="4153" w:type="dxa"/>
            <w:tcBorders>
              <w:top w:val="single" w:sz="8"/>
              <w:left w:val="single" w:sz="8"/>
              <w:bottom w:val="single" w:sz="8"/>
              <w:right w:val="single" w:sz="8"/>
            </w:tcBorders>
            <w:tcMar/>
            <w:vAlign w:val="top"/>
          </w:tcPr>
          <w:p w14:paraId="216DC17C">
            <w:pPr>
              <w:jc w:val="right"/>
            </w:pPr>
            <w:r>
              <w:rPr>
                <w:rFonts w:hint="eastAsia" w:ascii="var(--ff-body)" w:hAnsi="var(--ff-body)" w:eastAsia="var(--ff-body)" w:cs="var(--ff-body)"/>
              </w:rPr>
              <w:t>学生姓名</w:t>
            </w:r>
          </w:p>
        </w:tc>
        <w:tc>
          <w:tcPr>
            <w:tcW w:w="4153" w:type="dxa"/>
            <w:tcBorders>
              <w:top w:val="single" w:sz="8"/>
              <w:left w:val="single" w:sz="8"/>
              <w:bottom w:val="single" w:sz="8"/>
              <w:right w:val="single" w:sz="8"/>
            </w:tcBorders>
            <w:tcMar/>
            <w:vAlign w:val="top"/>
          </w:tcPr>
          <w:p w14:paraId="74F240D6">
            <w:pPr>
              <w:jc w:val="right"/>
            </w:pPr>
            <w:r>
              <w:rPr>
                <w:rFonts w:hint="eastAsia" w:ascii="var(--ff-body)" w:hAnsi="var(--ff-body)" w:eastAsia="var(--ff-body)" w:cs="var(--ff-body)"/>
              </w:rPr>
              <w:t>（请填写）</w:t>
            </w:r>
          </w:p>
        </w:tc>
      </w:tr>
      <w:tr>
        <w:trPr/>
        <w:tc>
          <w:tcPr>
            <w:tcW w:w="4153" w:type="dxa"/>
            <w:tcBorders>
              <w:top w:val="single" w:sz="8"/>
              <w:left w:val="single" w:sz="8"/>
              <w:bottom w:val="single" w:sz="8"/>
              <w:right w:val="single" w:sz="8"/>
            </w:tcBorders>
            <w:tcMar/>
            <w:vAlign w:val="top"/>
          </w:tcPr>
          <w:p w14:paraId="48724049">
            <w:pPr>
              <w:jc w:val="right"/>
            </w:pPr>
            <w:r>
              <w:rPr>
                <w:rFonts w:hint="eastAsia" w:ascii="var(--ff-body)" w:hAnsi="var(--ff-body)" w:eastAsia="var(--ff-body)" w:cs="var(--ff-body)"/>
              </w:rPr>
              <w:t>学　　号</w:t>
            </w:r>
          </w:p>
        </w:tc>
        <w:tc>
          <w:tcPr>
            <w:tcW w:w="4153" w:type="dxa"/>
            <w:tcBorders>
              <w:top w:val="single" w:sz="8"/>
              <w:left w:val="single" w:sz="8"/>
              <w:bottom w:val="single" w:sz="8"/>
              <w:right w:val="single" w:sz="8"/>
            </w:tcBorders>
            <w:tcMar/>
            <w:vAlign w:val="top"/>
          </w:tcPr>
          <w:p w14:paraId="1BF3C73C">
            <w:pPr>
              <w:jc w:val="right"/>
            </w:pPr>
            <w:r>
              <w:rPr>
                <w:rFonts w:hint="eastAsia" w:ascii="var(--ff-body)" w:hAnsi="var(--ff-body)" w:eastAsia="var(--ff-body)" w:cs="var(--ff-body)"/>
              </w:rPr>
              <w:t>（请填写）</w:t>
            </w:r>
          </w:p>
        </w:tc>
      </w:tr>
      <w:tr>
        <w:trPr/>
        <w:tc>
          <w:tcPr>
            <w:tcW w:w="4153" w:type="dxa"/>
            <w:tcBorders>
              <w:top w:val="single" w:sz="8"/>
              <w:left w:val="single" w:sz="8"/>
              <w:bottom w:val="single" w:sz="8"/>
              <w:right w:val="single" w:sz="8"/>
            </w:tcBorders>
            <w:tcMar/>
            <w:vAlign w:val="top"/>
          </w:tcPr>
          <w:p w14:paraId="6F125FCE">
            <w:pPr>
              <w:jc w:val="right"/>
            </w:pPr>
            <w:r>
              <w:rPr>
                <w:rFonts w:hint="eastAsia" w:ascii="var(--ff-body)" w:hAnsi="var(--ff-body)" w:eastAsia="var(--ff-body)" w:cs="var(--ff-body)"/>
              </w:rPr>
              <w:t>院　　系</w:t>
            </w:r>
          </w:p>
        </w:tc>
        <w:tc>
          <w:tcPr>
            <w:tcW w:w="4153" w:type="dxa"/>
            <w:tcBorders>
              <w:top w:val="single" w:sz="8"/>
              <w:left w:val="single" w:sz="8"/>
              <w:bottom w:val="single" w:sz="8"/>
              <w:right w:val="single" w:sz="8"/>
            </w:tcBorders>
            <w:tcMar/>
            <w:vAlign w:val="top"/>
          </w:tcPr>
          <w:p w14:paraId="59803CE1">
            <w:pPr>
              <w:jc w:val="right"/>
            </w:pPr>
            <w:r>
              <w:rPr>
                <w:rFonts w:hint="eastAsia" w:ascii="var(--ff-body)" w:hAnsi="var(--ff-body)" w:eastAsia="var(--ff-body)" w:cs="var(--ff-body)"/>
              </w:rPr>
              <w:t>大数据与人工智能学院</w:t>
            </w:r>
          </w:p>
        </w:tc>
      </w:tr>
      <w:tr>
        <w:trPr/>
        <w:tc>
          <w:tcPr>
            <w:tcW w:w="4153" w:type="dxa"/>
            <w:tcBorders>
              <w:top w:val="single" w:sz="8"/>
              <w:left w:val="single" w:sz="8"/>
              <w:bottom w:val="single" w:sz="8"/>
              <w:right w:val="single" w:sz="8"/>
            </w:tcBorders>
            <w:tcMar/>
            <w:vAlign w:val="top"/>
          </w:tcPr>
          <w:p w14:paraId="2D001415">
            <w:pPr>
              <w:jc w:val="right"/>
            </w:pPr>
            <w:r>
              <w:rPr>
                <w:rFonts w:hint="eastAsia" w:ascii="var(--ff-body)" w:hAnsi="var(--ff-body)" w:eastAsia="var(--ff-body)" w:cs="var(--ff-body)"/>
              </w:rPr>
              <w:t>专　　业</w:t>
            </w:r>
          </w:p>
        </w:tc>
        <w:tc>
          <w:tcPr>
            <w:tcW w:w="4153" w:type="dxa"/>
            <w:tcBorders>
              <w:top w:val="single" w:sz="8"/>
              <w:left w:val="single" w:sz="8"/>
              <w:bottom w:val="single" w:sz="8"/>
              <w:right w:val="single" w:sz="8"/>
            </w:tcBorders>
            <w:tcMar/>
            <w:vAlign w:val="top"/>
          </w:tcPr>
          <w:p w14:paraId="00800DBA">
            <w:pPr>
              <w:jc w:val="right"/>
            </w:pPr>
            <w:r>
              <w:rPr>
                <w:rFonts w:hint="eastAsia" w:ascii="var(--ff-body)" w:hAnsi="var(--ff-body)" w:eastAsia="var(--ff-body)" w:cs="var(--ff-body)"/>
              </w:rPr>
              <w:t>经济管理类</w:t>
            </w:r>
          </w:p>
        </w:tc>
      </w:tr>
      <w:tr>
        <w:trPr/>
        <w:tc>
          <w:tcPr>
            <w:tcW w:w="4153" w:type="dxa"/>
            <w:tcBorders>
              <w:top w:val="single" w:sz="8"/>
              <w:left w:val="single" w:sz="8"/>
              <w:bottom w:val="single" w:sz="8"/>
              <w:right w:val="single" w:sz="8"/>
            </w:tcBorders>
            <w:tcMar/>
            <w:vAlign w:val="top"/>
          </w:tcPr>
          <w:p w14:paraId="5400350F">
            <w:pPr>
              <w:jc w:val="right"/>
            </w:pPr>
            <w:r>
              <w:rPr>
                <w:rFonts w:hint="eastAsia" w:ascii="var(--ff-body)" w:hAnsi="var(--ff-body)" w:eastAsia="var(--ff-body)" w:cs="var(--ff-body)"/>
              </w:rPr>
              <w:t>指导教师</w:t>
            </w:r>
          </w:p>
        </w:tc>
        <w:tc>
          <w:tcPr>
            <w:tcW w:w="4153" w:type="dxa"/>
            <w:tcBorders>
              <w:top w:val="single" w:sz="8"/>
              <w:left w:val="single" w:sz="8"/>
              <w:bottom w:val="single" w:sz="8"/>
              <w:right w:val="single" w:sz="8"/>
            </w:tcBorders>
            <w:tcMar/>
            <w:vAlign w:val="top"/>
          </w:tcPr>
          <w:p w14:paraId="2780129B">
            <w:pPr>
              <w:jc w:val="right"/>
            </w:pPr>
            <w:r>
              <w:rPr>
                <w:rFonts w:hint="eastAsia" w:ascii="var(--ff-body)" w:hAnsi="var(--ff-body)" w:eastAsia="var(--ff-body)" w:cs="var(--ff-body)"/>
              </w:rPr>
              <w:t>（请填写）</w:t>
            </w:r>
          </w:p>
        </w:tc>
      </w:tr>
    </w:tbl>
    <w:p w14:paraId="37AECB27">
      <w:pPr>
        <w:spacing w:before="0" w:after="0"/>
        <w:jc w:val="center"/>
      </w:pPr>
      <w:r>
        <w:rPr>
          <w:rFonts w:hint="eastAsia" w:ascii="var(--ff-body)" w:hAnsi="var(--ff-body)" w:eastAsia="var(--ff-body)" w:cs="var(--ff-body)"/>
        </w:rPr>
        <w:t>2026年</w:t>
      </w:r>
    </w:p>
    <w:sectPr>
      <w:pgSz w:w="11906" w:h="16838"/>
      <w:pgMar w:top="1701" w:right="1418" w:bottom="1418" w:left="1701" w:header="851" w:footer="992" w:gutter="0"/>
    </w:sectPr>
    <w:p w14:paraId="12F678A6">
      <w:pPr>
        <w:spacing w:after="0"/>
        <w:jc w:val="center"/>
      </w:pPr>
      <w:r>
        <w:rPr>
          <w:rFonts w:hint="eastAsia" w:ascii="var(--ff-body)" w:hAnsi="var(--ff-body)" w:eastAsia="var(--ff-body)" w:cs="var(--ff-body)"/>
          <w:b w:val="1"/>
        </w:rPr>
        <w:t>目录</w:t>
      </w:r>
    </w:p>
    <w:p>
      <w:r>
        <w:fldChar w:fldCharType="begin"/>
      </w:r>
      <w:r>
        <w:instrText xml:space="preserve"> TOC \o "1-2" \h \z \u </w:instrText>
      </w:r>
      <w:r>
        <w:fldChar w:fldCharType="separate"/>
      </w:r>
    </w:p>
    <w:p>
      <w:pPr>
        <w:ind w:left="0"/>
      </w:pPr>
      <w:r>
        <w:t xml:space="preserve">摘要</w:t>
      </w:r>
      <w:r>
        <w:tab/>
      </w:r>
      <w:r>
        <w:fldChar w:fldCharType="begin"/>
      </w:r>
      <w:r>
        <w:instrText xml:space="preserve"> PAGEREF _Toc00000 \h </w:instrText>
      </w:r>
      <w:r>
        <w:fldChar w:fldCharType="separate"/>
      </w:r>
      <w:r>
        <w:t>1</w:t>
      </w:r>
      <w:r>
        <w:fldChar w:fldCharType="end"/>
      </w:r>
    </w:p>
    <w:p>
      <w:pPr>
        <w:ind w:left="0"/>
      </w:pPr>
      <w:r>
        <w:t xml:space="preserve">一、绪论</w:t>
      </w:r>
      <w:r>
        <w:tab/>
      </w:r>
      <w:r>
        <w:fldChar w:fldCharType="begin"/>
      </w:r>
      <w:r>
        <w:instrText xml:space="preserve"> PAGEREF _Toc00001 \h </w:instrText>
      </w:r>
      <w:r>
        <w:fldChar w:fldCharType="separate"/>
      </w:r>
      <w:r>
        <w:t>1</w:t>
      </w:r>
      <w:r>
        <w:fldChar w:fldCharType="end"/>
      </w:r>
    </w:p>
    <w:p>
      <w:pPr>
        <w:ind w:left="420"/>
      </w:pPr>
      <w:r>
        <w:t xml:space="preserve">（一）研究背景</w:t>
      </w:r>
      <w:r>
        <w:tab/>
      </w:r>
      <w:r>
        <w:fldChar w:fldCharType="begin"/>
      </w:r>
      <w:r>
        <w:instrText xml:space="preserve"> PAGEREF _Toc00002 \h </w:instrText>
      </w:r>
      <w:r>
        <w:fldChar w:fldCharType="separate"/>
      </w:r>
      <w:r>
        <w:t>1</w:t>
      </w:r>
      <w:r>
        <w:fldChar w:fldCharType="end"/>
      </w:r>
    </w:p>
    <w:p>
      <w:pPr>
        <w:ind w:left="420"/>
      </w:pPr>
      <w:r>
        <w:t xml:space="preserve">（二）研究意义与文献综述</w:t>
      </w:r>
      <w:r>
        <w:tab/>
      </w:r>
      <w:r>
        <w:fldChar w:fldCharType="begin"/>
      </w:r>
      <w:r>
        <w:instrText xml:space="preserve"> PAGEREF _Toc00003 \h </w:instrText>
      </w:r>
      <w:r>
        <w:fldChar w:fldCharType="separate"/>
      </w:r>
      <w:r>
        <w:t>1</w:t>
      </w:r>
      <w:r>
        <w:fldChar w:fldCharType="end"/>
      </w:r>
    </w:p>
    <w:p>
      <w:pPr>
        <w:ind w:left="420"/>
      </w:pPr>
      <w:r>
        <w:t xml:space="preserve">（三）研究目的与问题</w:t>
      </w:r>
      <w:r>
        <w:tab/>
      </w:r>
      <w:r>
        <w:fldChar w:fldCharType="begin"/>
      </w:r>
      <w:r>
        <w:instrText xml:space="preserve"> PAGEREF _Toc00004 \h </w:instrText>
      </w:r>
      <w:r>
        <w:fldChar w:fldCharType="separate"/>
      </w:r>
      <w:r>
        <w:t>1</w:t>
      </w:r>
      <w:r>
        <w:fldChar w:fldCharType="end"/>
      </w:r>
    </w:p>
    <w:p>
      <w:pPr>
        <w:ind w:left="420"/>
      </w:pPr>
      <w:r>
        <w:t xml:space="preserve">（四）研究贡献</w:t>
      </w:r>
      <w:r>
        <w:tab/>
      </w:r>
      <w:r>
        <w:fldChar w:fldCharType="begin"/>
      </w:r>
      <w:r>
        <w:instrText xml:space="preserve"> PAGEREF _Toc00005 \h </w:instrText>
      </w:r>
      <w:r>
        <w:fldChar w:fldCharType="separate"/>
      </w:r>
      <w:r>
        <w:t>1</w:t>
      </w:r>
      <w:r>
        <w:fldChar w:fldCharType="end"/>
      </w:r>
    </w:p>
    <w:p>
      <w:pPr>
        <w:ind w:left="420"/>
      </w:pPr>
      <w:r>
        <w:t xml:space="preserve">（五）论文结构安排</w:t>
      </w:r>
      <w:r>
        <w:tab/>
      </w:r>
      <w:r>
        <w:fldChar w:fldCharType="begin"/>
      </w:r>
      <w:r>
        <w:instrText xml:space="preserve"> PAGEREF _Toc00006 \h </w:instrText>
      </w:r>
      <w:r>
        <w:fldChar w:fldCharType="separate"/>
      </w:r>
      <w:r>
        <w:t>1</w:t>
      </w:r>
      <w:r>
        <w:fldChar w:fldCharType="end"/>
      </w:r>
    </w:p>
    <w:p>
      <w:pPr>
        <w:ind w:left="0"/>
      </w:pPr>
      <w:r>
        <w:t xml:space="preserve">二、研究设计</w:t>
      </w:r>
      <w:r>
        <w:tab/>
      </w:r>
      <w:r>
        <w:fldChar w:fldCharType="begin"/>
      </w:r>
      <w:r>
        <w:instrText xml:space="preserve"> PAGEREF _Toc00007 \h </w:instrText>
      </w:r>
      <w:r>
        <w:fldChar w:fldCharType="separate"/>
      </w:r>
      <w:r>
        <w:t>1</w:t>
      </w:r>
      <w:r>
        <w:fldChar w:fldCharType="end"/>
      </w:r>
    </w:p>
    <w:p>
      <w:pPr>
        <w:ind w:left="420"/>
      </w:pPr>
      <w:r>
        <w:t xml:space="preserve">（一）研究框架</w:t>
      </w:r>
      <w:r>
        <w:tab/>
      </w:r>
      <w:r>
        <w:fldChar w:fldCharType="begin"/>
      </w:r>
      <w:r>
        <w:instrText xml:space="preserve"> PAGEREF _Toc00008 \h </w:instrText>
      </w:r>
      <w:r>
        <w:fldChar w:fldCharType="separate"/>
      </w:r>
      <w:r>
        <w:t>1</w:t>
      </w:r>
      <w:r>
        <w:fldChar w:fldCharType="end"/>
      </w:r>
    </w:p>
    <w:p>
      <w:pPr>
        <w:ind w:left="420"/>
      </w:pPr>
      <w:r>
        <w:t xml:space="preserve">（二）数据来源与样本选择</w:t>
      </w:r>
      <w:r>
        <w:tab/>
      </w:r>
      <w:r>
        <w:fldChar w:fldCharType="begin"/>
      </w:r>
      <w:r>
        <w:instrText xml:space="preserve"> PAGEREF _Toc00009 \h </w:instrText>
      </w:r>
      <w:r>
        <w:fldChar w:fldCharType="separate"/>
      </w:r>
      <w:r>
        <w:t>1</w:t>
      </w:r>
      <w:r>
        <w:fldChar w:fldCharType="end"/>
      </w:r>
    </w:p>
    <w:p>
      <w:pPr>
        <w:ind w:left="420"/>
      </w:pPr>
      <w:r>
        <w:t xml:space="preserve">（三）变量定义与测度</w:t>
      </w:r>
      <w:r>
        <w:tab/>
      </w:r>
      <w:r>
        <w:fldChar w:fldCharType="begin"/>
      </w:r>
      <w:r>
        <w:instrText xml:space="preserve"> PAGEREF _Toc00010 \h </w:instrText>
      </w:r>
      <w:r>
        <w:fldChar w:fldCharType="separate"/>
      </w:r>
      <w:r>
        <w:t>1</w:t>
      </w:r>
      <w:r>
        <w:fldChar w:fldCharType="end"/>
      </w:r>
    </w:p>
    <w:p>
      <w:pPr>
        <w:ind w:left="420"/>
      </w:pPr>
      <w:r>
        <w:t xml:space="preserve">（四）模型设定</w:t>
      </w:r>
      <w:r>
        <w:tab/>
      </w:r>
      <w:r>
        <w:fldChar w:fldCharType="begin"/>
      </w:r>
      <w:r>
        <w:instrText xml:space="preserve"> PAGEREF _Toc00011 \h </w:instrText>
      </w:r>
      <w:r>
        <w:fldChar w:fldCharType="separate"/>
      </w:r>
      <w:r>
        <w:t>1</w:t>
      </w:r>
      <w:r>
        <w:fldChar w:fldCharType="end"/>
      </w:r>
    </w:p>
    <w:p>
      <w:pPr>
        <w:ind w:left="420"/>
      </w:pPr>
      <w:r>
        <w:t xml:space="preserve">（五）分析流程</w:t>
      </w:r>
      <w:r>
        <w:tab/>
      </w:r>
      <w:r>
        <w:fldChar w:fldCharType="begin"/>
      </w:r>
      <w:r>
        <w:instrText xml:space="preserve"> PAGEREF _Toc00012 \h </w:instrText>
      </w:r>
      <w:r>
        <w:fldChar w:fldCharType="separate"/>
      </w:r>
      <w:r>
        <w:t>1</w:t>
      </w:r>
      <w:r>
        <w:fldChar w:fldCharType="end"/>
      </w:r>
    </w:p>
    <w:p>
      <w:pPr>
        <w:ind w:left="0"/>
      </w:pPr>
      <w:r>
        <w:t xml:space="preserve">三、实证分析</w:t>
      </w:r>
      <w:r>
        <w:tab/>
      </w:r>
      <w:r>
        <w:fldChar w:fldCharType="begin"/>
      </w:r>
      <w:r>
        <w:instrText xml:space="preserve"> PAGEREF _Toc00013 \h </w:instrText>
      </w:r>
      <w:r>
        <w:fldChar w:fldCharType="separate"/>
      </w:r>
      <w:r>
        <w:t>1</w:t>
      </w:r>
      <w:r>
        <w:fldChar w:fldCharType="end"/>
      </w:r>
    </w:p>
    <w:p>
      <w:pPr>
        <w:ind w:left="420"/>
      </w:pPr>
      <w:r>
        <w:t xml:space="preserve">（一）描述性统计</w:t>
      </w:r>
      <w:r>
        <w:tab/>
      </w:r>
      <w:r>
        <w:fldChar w:fldCharType="begin"/>
      </w:r>
      <w:r>
        <w:instrText xml:space="preserve"> PAGEREF _Toc00014 \h </w:instrText>
      </w:r>
      <w:r>
        <w:fldChar w:fldCharType="separate"/>
      </w:r>
      <w:r>
        <w:t>1</w:t>
      </w:r>
      <w:r>
        <w:fldChar w:fldCharType="end"/>
      </w:r>
    </w:p>
    <w:p>
      <w:pPr>
        <w:ind w:left="420"/>
      </w:pPr>
      <w:r>
        <w:t xml:space="preserve">（二）相关性分析</w:t>
      </w:r>
      <w:r>
        <w:tab/>
      </w:r>
      <w:r>
        <w:fldChar w:fldCharType="begin"/>
      </w:r>
      <w:r>
        <w:instrText xml:space="preserve"> PAGEREF _Toc00015 \h </w:instrText>
      </w:r>
      <w:r>
        <w:fldChar w:fldCharType="separate"/>
      </w:r>
      <w:r>
        <w:t>1</w:t>
      </w:r>
      <w:r>
        <w:fldChar w:fldCharType="end"/>
      </w:r>
    </w:p>
    <w:p>
      <w:pPr>
        <w:ind w:left="420"/>
      </w:pPr>
      <w:r>
        <w:t xml:space="preserve">（三）信效度检验</w:t>
      </w:r>
      <w:r>
        <w:tab/>
      </w:r>
      <w:r>
        <w:fldChar w:fldCharType="begin"/>
      </w:r>
      <w:r>
        <w:instrText xml:space="preserve"> PAGEREF _Toc00016 \h </w:instrText>
      </w:r>
      <w:r>
        <w:fldChar w:fldCharType="separate"/>
      </w:r>
      <w:r>
        <w:t>1</w:t>
      </w:r>
      <w:r>
        <w:fldChar w:fldCharType="end"/>
      </w:r>
    </w:p>
    <w:p>
      <w:pPr>
        <w:ind w:left="420"/>
      </w:pPr>
      <w:r>
        <w:t xml:space="preserve">（四）回归分析</w:t>
      </w:r>
      <w:r>
        <w:tab/>
      </w:r>
      <w:r>
        <w:fldChar w:fldCharType="begin"/>
      </w:r>
      <w:r>
        <w:instrText xml:space="preserve"> PAGEREF _Toc00017 \h </w:instrText>
      </w:r>
      <w:r>
        <w:fldChar w:fldCharType="separate"/>
      </w:r>
      <w:r>
        <w:t>1</w:t>
      </w:r>
      <w:r>
        <w:fldChar w:fldCharType="end"/>
      </w:r>
    </w:p>
    <w:p>
      <w:pPr>
        <w:ind w:left="420"/>
      </w:pPr>
      <w:r>
        <w:t xml:space="preserve">（五）稳健性讨论</w:t>
      </w:r>
      <w:r>
        <w:tab/>
      </w:r>
      <w:r>
        <w:fldChar w:fldCharType="begin"/>
      </w:r>
      <w:r>
        <w:instrText xml:space="preserve"> PAGEREF _Toc00018 \h </w:instrText>
      </w:r>
      <w:r>
        <w:fldChar w:fldCharType="separate"/>
      </w:r>
      <w:r>
        <w:t>1</w:t>
      </w:r>
      <w:r>
        <w:fldChar w:fldCharType="end"/>
      </w:r>
    </w:p>
    <w:p>
      <w:pPr>
        <w:ind w:left="0"/>
      </w:pPr>
      <w:r>
        <w:t xml:space="preserve">四、结论</w:t>
      </w:r>
      <w:r>
        <w:tab/>
      </w:r>
      <w:r>
        <w:fldChar w:fldCharType="begin"/>
      </w:r>
      <w:r>
        <w:instrText xml:space="preserve"> PAGEREF _Toc00019 \h </w:instrText>
      </w:r>
      <w:r>
        <w:fldChar w:fldCharType="separate"/>
      </w:r>
      <w:r>
        <w:t>1</w:t>
      </w:r>
      <w:r>
        <w:fldChar w:fldCharType="end"/>
      </w:r>
    </w:p>
    <w:p>
      <w:pPr>
        <w:ind w:left="420"/>
      </w:pPr>
      <w:r>
        <w:t xml:space="preserve">（一）主要发现</w:t>
      </w:r>
      <w:r>
        <w:tab/>
      </w:r>
      <w:r>
        <w:fldChar w:fldCharType="begin"/>
      </w:r>
      <w:r>
        <w:instrText xml:space="preserve"> PAGEREF _Toc00020 \h </w:instrText>
      </w:r>
      <w:r>
        <w:fldChar w:fldCharType="separate"/>
      </w:r>
      <w:r>
        <w:t>1</w:t>
      </w:r>
      <w:r>
        <w:fldChar w:fldCharType="end"/>
      </w:r>
    </w:p>
    <w:p>
      <w:pPr>
        <w:ind w:left="420"/>
      </w:pPr>
      <w:r>
        <w:t xml:space="preserve">（二）理论与实践启示</w:t>
      </w:r>
      <w:r>
        <w:tab/>
      </w:r>
      <w:r>
        <w:fldChar w:fldCharType="begin"/>
      </w:r>
      <w:r>
        <w:instrText xml:space="preserve"> PAGEREF _Toc00021 \h </w:instrText>
      </w:r>
      <w:r>
        <w:fldChar w:fldCharType="separate"/>
      </w:r>
      <w:r>
        <w:t>1</w:t>
      </w:r>
      <w:r>
        <w:fldChar w:fldCharType="end"/>
      </w:r>
    </w:p>
    <w:p>
      <w:pPr>
        <w:ind w:left="420"/>
      </w:pPr>
      <w:r>
        <w:t xml:space="preserve">（三）研究局限与展望</w:t>
      </w:r>
      <w:r>
        <w:tab/>
      </w:r>
      <w:r>
        <w:fldChar w:fldCharType="begin"/>
      </w:r>
      <w:r>
        <w:instrText xml:space="preserve"> PAGEREF _Toc00022 \h </w:instrText>
      </w:r>
      <w:r>
        <w:fldChar w:fldCharType="separate"/>
      </w:r>
      <w:r>
        <w:t>1</w:t>
      </w:r>
      <w:r>
        <w:fldChar w:fldCharType="end"/>
      </w:r>
    </w:p>
    <w:p>
      <w:pPr>
        <w:ind w:left="0"/>
      </w:pPr>
      <w:r>
        <w:t xml:space="preserve">参考文献</w:t>
      </w:r>
      <w:r>
        <w:tab/>
      </w:r>
      <w:r>
        <w:fldChar w:fldCharType="begin"/>
      </w:r>
      <w:r>
        <w:instrText xml:space="preserve"> PAGEREF _Toc00023 \h </w:instrText>
      </w:r>
      <w:r>
        <w:fldChar w:fldCharType="separate"/>
      </w:r>
      <w:r>
        <w:t>1</w:t>
      </w:r>
      <w:r>
        <w:fldChar w:fldCharType="end"/>
      </w:r>
    </w:p>
    <w:p>
      <w:pPr>
        <w:ind w:left="0"/>
      </w:pPr>
      <w:r>
        <w:t xml:space="preserve">附：数据与代码可用性声明</w:t>
      </w:r>
      <w:r>
        <w:tab/>
      </w:r>
      <w:r>
        <w:fldChar w:fldCharType="begin"/>
      </w:r>
      <w:r>
        <w:instrText xml:space="preserve"> PAGEREF _Toc00024 \h </w:instrText>
      </w:r>
      <w:r>
        <w:fldChar w:fldCharType="separate"/>
      </w:r>
      <w:r>
        <w:t>1</w:t>
      </w:r>
      <w:r>
        <w:fldChar w:fldCharType="end"/>
      </w:r>
    </w:p>
    <w:p>
      <w:pPr>
        <w:ind w:left="0"/>
      </w:pPr>
      <w:r>
        <w:t xml:space="preserve">摘要</w:t>
      </w:r>
      <w:r>
        <w:tab/>
      </w:r>
      <w:r>
        <w:fldChar w:fldCharType="begin"/>
      </w:r>
      <w:r>
        <w:instrText xml:space="preserve"> PAGEREF _Toc00025 \h </w:instrText>
      </w:r>
      <w:r>
        <w:fldChar w:fldCharType="separate"/>
      </w:r>
      <w:r>
        <w:t>1</w:t>
      </w:r>
      <w:r>
        <w:fldChar w:fldCharType="end"/>
      </w:r>
    </w:p>
    <w:p>
      <w:pPr>
        <w:ind w:left="0"/>
      </w:pPr>
      <w:r>
        <w:t xml:space="preserve">一、绪论</w:t>
      </w:r>
      <w:r>
        <w:tab/>
      </w:r>
      <w:r>
        <w:fldChar w:fldCharType="begin"/>
      </w:r>
      <w:r>
        <w:instrText xml:space="preserve"> PAGEREF _Toc00026 \h </w:instrText>
      </w:r>
      <w:r>
        <w:fldChar w:fldCharType="separate"/>
      </w:r>
      <w:r>
        <w:t>1</w:t>
      </w:r>
      <w:r>
        <w:fldChar w:fldCharType="end"/>
      </w:r>
    </w:p>
    <w:p>
      <w:pPr>
        <w:ind w:left="420"/>
      </w:pPr>
      <w:r>
        <w:t xml:space="preserve">（一）研究背景</w:t>
      </w:r>
      <w:r>
        <w:tab/>
      </w:r>
      <w:r>
        <w:fldChar w:fldCharType="begin"/>
      </w:r>
      <w:r>
        <w:instrText xml:space="preserve"> PAGEREF _Toc00027 \h </w:instrText>
      </w:r>
      <w:r>
        <w:fldChar w:fldCharType="separate"/>
      </w:r>
      <w:r>
        <w:t>1</w:t>
      </w:r>
      <w:r>
        <w:fldChar w:fldCharType="end"/>
      </w:r>
    </w:p>
    <w:p>
      <w:pPr>
        <w:ind w:left="420"/>
      </w:pPr>
      <w:r>
        <w:t xml:space="preserve">（二）研究意义与文献综述</w:t>
      </w:r>
      <w:r>
        <w:tab/>
      </w:r>
      <w:r>
        <w:fldChar w:fldCharType="begin"/>
      </w:r>
      <w:r>
        <w:instrText xml:space="preserve"> PAGEREF _Toc00028 \h </w:instrText>
      </w:r>
      <w:r>
        <w:fldChar w:fldCharType="separate"/>
      </w:r>
      <w:r>
        <w:t>1</w:t>
      </w:r>
      <w:r>
        <w:fldChar w:fldCharType="end"/>
      </w:r>
    </w:p>
    <w:p>
      <w:pPr>
        <w:ind w:left="420"/>
      </w:pPr>
      <w:r>
        <w:t xml:space="preserve">（三）研究目的与问题</w:t>
      </w:r>
      <w:r>
        <w:tab/>
      </w:r>
      <w:r>
        <w:fldChar w:fldCharType="begin"/>
      </w:r>
      <w:r>
        <w:instrText xml:space="preserve"> PAGEREF _Toc00029 \h </w:instrText>
      </w:r>
      <w:r>
        <w:fldChar w:fldCharType="separate"/>
      </w:r>
      <w:r>
        <w:t>1</w:t>
      </w:r>
      <w:r>
        <w:fldChar w:fldCharType="end"/>
      </w:r>
    </w:p>
    <w:p>
      <w:pPr>
        <w:ind w:left="420"/>
      </w:pPr>
      <w:r>
        <w:t xml:space="preserve">（四）研究贡献</w:t>
      </w:r>
      <w:r>
        <w:tab/>
      </w:r>
      <w:r>
        <w:fldChar w:fldCharType="begin"/>
      </w:r>
      <w:r>
        <w:instrText xml:space="preserve"> PAGEREF _Toc00030 \h </w:instrText>
      </w:r>
      <w:r>
        <w:fldChar w:fldCharType="separate"/>
      </w:r>
      <w:r>
        <w:t>1</w:t>
      </w:r>
      <w:r>
        <w:fldChar w:fldCharType="end"/>
      </w:r>
    </w:p>
    <w:p>
      <w:pPr>
        <w:ind w:left="420"/>
      </w:pPr>
      <w:r>
        <w:t xml:space="preserve">（五）论文结构安排</w:t>
      </w:r>
      <w:r>
        <w:tab/>
      </w:r>
      <w:r>
        <w:fldChar w:fldCharType="begin"/>
      </w:r>
      <w:r>
        <w:instrText xml:space="preserve"> PAGEREF _Toc00031 \h </w:instrText>
      </w:r>
      <w:r>
        <w:fldChar w:fldCharType="separate"/>
      </w:r>
      <w:r>
        <w:t>1</w:t>
      </w:r>
      <w:r>
        <w:fldChar w:fldCharType="end"/>
      </w:r>
    </w:p>
    <w:p>
      <w:pPr>
        <w:ind w:left="0"/>
      </w:pPr>
      <w:r>
        <w:t xml:space="preserve">二、研究设计</w:t>
      </w:r>
      <w:r>
        <w:tab/>
      </w:r>
      <w:r>
        <w:fldChar w:fldCharType="begin"/>
      </w:r>
      <w:r>
        <w:instrText xml:space="preserve"> PAGEREF _Toc00032 \h </w:instrText>
      </w:r>
      <w:r>
        <w:fldChar w:fldCharType="separate"/>
      </w:r>
      <w:r>
        <w:t>1</w:t>
      </w:r>
      <w:r>
        <w:fldChar w:fldCharType="end"/>
      </w:r>
    </w:p>
    <w:p>
      <w:pPr>
        <w:ind w:left="420"/>
      </w:pPr>
      <w:r>
        <w:t xml:space="preserve">（一）研究框架</w:t>
      </w:r>
      <w:r>
        <w:tab/>
      </w:r>
      <w:r>
        <w:fldChar w:fldCharType="begin"/>
      </w:r>
      <w:r>
        <w:instrText xml:space="preserve"> PAGEREF _Toc00033 \h </w:instrText>
      </w:r>
      <w:r>
        <w:fldChar w:fldCharType="separate"/>
      </w:r>
      <w:r>
        <w:t>1</w:t>
      </w:r>
      <w:r>
        <w:fldChar w:fldCharType="end"/>
      </w:r>
    </w:p>
    <w:p>
      <w:pPr>
        <w:ind w:left="420"/>
      </w:pPr>
      <w:r>
        <w:t xml:space="preserve">（二）数据来源与样本选择</w:t>
      </w:r>
      <w:r>
        <w:tab/>
      </w:r>
      <w:r>
        <w:fldChar w:fldCharType="begin"/>
      </w:r>
      <w:r>
        <w:instrText xml:space="preserve"> PAGEREF _Toc00034 \h </w:instrText>
      </w:r>
      <w:r>
        <w:fldChar w:fldCharType="separate"/>
      </w:r>
      <w:r>
        <w:t>1</w:t>
      </w:r>
      <w:r>
        <w:fldChar w:fldCharType="end"/>
      </w:r>
    </w:p>
    <w:p>
      <w:pPr>
        <w:ind w:left="420"/>
      </w:pPr>
      <w:r>
        <w:t xml:space="preserve">（三）变量定义与测度</w:t>
      </w:r>
      <w:r>
        <w:tab/>
      </w:r>
      <w:r>
        <w:fldChar w:fldCharType="begin"/>
      </w:r>
      <w:r>
        <w:instrText xml:space="preserve"> PAGEREF _Toc00035 \h </w:instrText>
      </w:r>
      <w:r>
        <w:fldChar w:fldCharType="separate"/>
      </w:r>
      <w:r>
        <w:t>1</w:t>
      </w:r>
      <w:r>
        <w:fldChar w:fldCharType="end"/>
      </w:r>
    </w:p>
    <w:p>
      <w:pPr>
        <w:ind w:left="420"/>
      </w:pPr>
      <w:r>
        <w:t xml:space="preserve">（四）模型设定</w:t>
      </w:r>
      <w:r>
        <w:tab/>
      </w:r>
      <w:r>
        <w:fldChar w:fldCharType="begin"/>
      </w:r>
      <w:r>
        <w:instrText xml:space="preserve"> PAGEREF _Toc00036 \h </w:instrText>
      </w:r>
      <w:r>
        <w:fldChar w:fldCharType="separate"/>
      </w:r>
      <w:r>
        <w:t>1</w:t>
      </w:r>
      <w:r>
        <w:fldChar w:fldCharType="end"/>
      </w:r>
    </w:p>
    <w:p>
      <w:pPr>
        <w:ind w:left="420"/>
      </w:pPr>
      <w:r>
        <w:t xml:space="preserve">（五）分析流程</w:t>
      </w:r>
      <w:r>
        <w:tab/>
      </w:r>
      <w:r>
        <w:fldChar w:fldCharType="begin"/>
      </w:r>
      <w:r>
        <w:instrText xml:space="preserve"> PAGEREF _Toc00037 \h </w:instrText>
      </w:r>
      <w:r>
        <w:fldChar w:fldCharType="separate"/>
      </w:r>
      <w:r>
        <w:t>1</w:t>
      </w:r>
      <w:r>
        <w:fldChar w:fldCharType="end"/>
      </w:r>
    </w:p>
    <w:p>
      <w:pPr>
        <w:ind w:left="0"/>
      </w:pPr>
      <w:r>
        <w:t xml:space="preserve">三、实证分析</w:t>
      </w:r>
      <w:r>
        <w:tab/>
      </w:r>
      <w:r>
        <w:fldChar w:fldCharType="begin"/>
      </w:r>
      <w:r>
        <w:instrText xml:space="preserve"> PAGEREF _Toc00038 \h </w:instrText>
      </w:r>
      <w:r>
        <w:fldChar w:fldCharType="separate"/>
      </w:r>
      <w:r>
        <w:t>1</w:t>
      </w:r>
      <w:r>
        <w:fldChar w:fldCharType="end"/>
      </w:r>
    </w:p>
    <w:p>
      <w:pPr>
        <w:ind w:left="420"/>
      </w:pPr>
      <w:r>
        <w:t xml:space="preserve">（一）描述性统计</w:t>
      </w:r>
      <w:r>
        <w:tab/>
      </w:r>
      <w:r>
        <w:fldChar w:fldCharType="begin"/>
      </w:r>
      <w:r>
        <w:instrText xml:space="preserve"> PAGEREF _Toc00039 \h </w:instrText>
      </w:r>
      <w:r>
        <w:fldChar w:fldCharType="separate"/>
      </w:r>
      <w:r>
        <w:t>1</w:t>
      </w:r>
      <w:r>
        <w:fldChar w:fldCharType="end"/>
      </w:r>
    </w:p>
    <w:p>
      <w:pPr>
        <w:ind w:left="420"/>
      </w:pPr>
      <w:r>
        <w:t xml:space="preserve">（二）相关性分析</w:t>
      </w:r>
      <w:r>
        <w:tab/>
      </w:r>
      <w:r>
        <w:fldChar w:fldCharType="begin"/>
      </w:r>
      <w:r>
        <w:instrText xml:space="preserve"> PAGEREF _Toc00040 \h </w:instrText>
      </w:r>
      <w:r>
        <w:fldChar w:fldCharType="separate"/>
      </w:r>
      <w:r>
        <w:t>1</w:t>
      </w:r>
      <w:r>
        <w:fldChar w:fldCharType="end"/>
      </w:r>
    </w:p>
    <w:p>
      <w:pPr>
        <w:ind w:left="420"/>
      </w:pPr>
      <w:r>
        <w:t xml:space="preserve">（三）信效度检验</w:t>
      </w:r>
      <w:r>
        <w:tab/>
      </w:r>
      <w:r>
        <w:fldChar w:fldCharType="begin"/>
      </w:r>
      <w:r>
        <w:instrText xml:space="preserve"> PAGEREF _Toc00041 \h </w:instrText>
      </w:r>
      <w:r>
        <w:fldChar w:fldCharType="separate"/>
      </w:r>
      <w:r>
        <w:t>1</w:t>
      </w:r>
      <w:r>
        <w:fldChar w:fldCharType="end"/>
      </w:r>
    </w:p>
    <w:p>
      <w:pPr>
        <w:ind w:left="420"/>
      </w:pPr>
      <w:r>
        <w:t xml:space="preserve">（四）回归分析</w:t>
      </w:r>
      <w:r>
        <w:tab/>
      </w:r>
      <w:r>
        <w:fldChar w:fldCharType="begin"/>
      </w:r>
      <w:r>
        <w:instrText xml:space="preserve"> PAGEREF _Toc00042 \h </w:instrText>
      </w:r>
      <w:r>
        <w:fldChar w:fldCharType="separate"/>
      </w:r>
      <w:r>
        <w:t>1</w:t>
      </w:r>
      <w:r>
        <w:fldChar w:fldCharType="end"/>
      </w:r>
    </w:p>
    <w:p>
      <w:pPr>
        <w:ind w:left="420"/>
      </w:pPr>
      <w:r>
        <w:t xml:space="preserve">（五）稳健性讨论</w:t>
      </w:r>
      <w:r>
        <w:tab/>
      </w:r>
      <w:r>
        <w:fldChar w:fldCharType="begin"/>
      </w:r>
      <w:r>
        <w:instrText xml:space="preserve"> PAGEREF _Toc00043 \h </w:instrText>
      </w:r>
      <w:r>
        <w:fldChar w:fldCharType="separate"/>
      </w:r>
      <w:r>
        <w:t>1</w:t>
      </w:r>
      <w:r>
        <w:fldChar w:fldCharType="end"/>
      </w:r>
    </w:p>
    <w:p>
      <w:pPr>
        <w:ind w:left="0"/>
      </w:pPr>
      <w:r>
        <w:t xml:space="preserve">四、结论</w:t>
      </w:r>
      <w:r>
        <w:tab/>
      </w:r>
      <w:r>
        <w:fldChar w:fldCharType="begin"/>
      </w:r>
      <w:r>
        <w:instrText xml:space="preserve"> PAGEREF _Toc00044 \h </w:instrText>
      </w:r>
      <w:r>
        <w:fldChar w:fldCharType="separate"/>
      </w:r>
      <w:r>
        <w:t>1</w:t>
      </w:r>
      <w:r>
        <w:fldChar w:fldCharType="end"/>
      </w:r>
    </w:p>
    <w:p>
      <w:pPr>
        <w:ind w:left="420"/>
      </w:pPr>
      <w:r>
        <w:t xml:space="preserve">（一）主要发现</w:t>
      </w:r>
      <w:r>
        <w:tab/>
      </w:r>
      <w:r>
        <w:fldChar w:fldCharType="begin"/>
      </w:r>
      <w:r>
        <w:instrText xml:space="preserve"> PAGEREF _Toc00045 \h </w:instrText>
      </w:r>
      <w:r>
        <w:fldChar w:fldCharType="separate"/>
      </w:r>
      <w:r>
        <w:t>1</w:t>
      </w:r>
      <w:r>
        <w:fldChar w:fldCharType="end"/>
      </w:r>
    </w:p>
    <w:p>
      <w:pPr>
        <w:ind w:left="420"/>
      </w:pPr>
      <w:r>
        <w:t xml:space="preserve">（二）理论与实践启示</w:t>
      </w:r>
      <w:r>
        <w:tab/>
      </w:r>
      <w:r>
        <w:fldChar w:fldCharType="begin"/>
      </w:r>
      <w:r>
        <w:instrText xml:space="preserve"> PAGEREF _Toc00046 \h </w:instrText>
      </w:r>
      <w:r>
        <w:fldChar w:fldCharType="separate"/>
      </w:r>
      <w:r>
        <w:t>1</w:t>
      </w:r>
      <w:r>
        <w:fldChar w:fldCharType="end"/>
      </w:r>
    </w:p>
    <w:p>
      <w:pPr>
        <w:ind w:left="420"/>
      </w:pPr>
      <w:r>
        <w:t xml:space="preserve">（三）研究局限与展望</w:t>
      </w:r>
      <w:r>
        <w:tab/>
      </w:r>
      <w:r>
        <w:fldChar w:fldCharType="begin"/>
      </w:r>
      <w:r>
        <w:instrText xml:space="preserve"> PAGEREF _Toc00047 \h </w:instrText>
      </w:r>
      <w:r>
        <w:fldChar w:fldCharType="separate"/>
      </w:r>
      <w:r>
        <w:t>1</w:t>
      </w:r>
      <w:r>
        <w:fldChar w:fldCharType="end"/>
      </w:r>
    </w:p>
    <w:p>
      <w:pPr>
        <w:ind w:left="0"/>
      </w:pPr>
      <w:r>
        <w:t xml:space="preserve">参考文献</w:t>
      </w:r>
      <w:r>
        <w:tab/>
      </w:r>
      <w:r>
        <w:fldChar w:fldCharType="begin"/>
      </w:r>
      <w:r>
        <w:instrText xml:space="preserve"> PAGEREF _Toc00048 \h </w:instrText>
      </w:r>
      <w:r>
        <w:fldChar w:fldCharType="separate"/>
      </w:r>
      <w:r>
        <w:t>1</w:t>
      </w:r>
      <w:r>
        <w:fldChar w:fldCharType="end"/>
      </w:r>
    </w:p>
    <w:p>
      <w:pPr>
        <w:ind w:left="0"/>
      </w:pPr>
      <w:r>
        <w:t xml:space="preserve">附：数据与代码可用性声明</w:t>
      </w:r>
      <w:r>
        <w:tab/>
      </w:r>
      <w:r>
        <w:fldChar w:fldCharType="begin"/>
      </w:r>
      <w:r>
        <w:instrText xml:space="preserve"> PAGEREF _Toc00049 \h </w:instrText>
      </w:r>
      <w:r>
        <w:fldChar w:fldCharType="separate"/>
      </w:r>
      <w:r>
        <w:t>1</w:t>
      </w:r>
      <w:r>
        <w:fldChar w:fldCharType="end"/>
      </w:r>
    </w:p>
    <w:p>
      <w:r>
        <w:fldChar w:fldCharType="end"/>
      </w:r>
    </w:p>
    <w:sectPr>
      <w:pgNumType w:start="1"/>
      <w:pgSz w:w="11906" w:h="16838"/>
      <w:pgMar w:top="1701" w:right="1418" w:bottom="1418" w:left="1701" w:header="851" w:footer="992" w:gutter="0"/>
    </w:sectPr>
    <w:p w14:paraId="6D593A62">
      <w:pPr>
        <w:pStyle w:val="Heading1"/>
        <w:numPr>
          <w:ilvl w:val="0"/>
          <w:numId w:val="1"/>
        </w:numPr>
        <w:spacing w:after="0"/>
      </w:pPr>
      <w:r>
        <w:rPr>
          <w:rFonts w:hint="eastAsia" w:ascii="var(--ff-body)" w:hAnsi="var(--ff-body)" w:eastAsia="var(--ff-body)" w:cs="var(--ff-body)"/>
        </w:rPr>
        <w:t>摘要</w:t>
      </w:r>
    </w:p>
    <w:p w14:paraId="043933AA">
      <w:pPr>
        <w:pStyle w:val="Heading1"/>
        <w:numPr>
          <w:ilvl w:val="0"/>
          <w:numId w:val="1"/>
        </w:numPr>
        <w:spacing w:after="0"/>
      </w:pPr>
      <w:r>
        <w:rPr>
          <w:rFonts w:hint="eastAsia" w:ascii="var(--ff-body)" w:hAnsi="var(--ff-body)" w:eastAsia="var(--ff-body)" w:cs="var(--ff-body)"/>
        </w:rPr>
        <w:t>一、绪论</w:t>
      </w:r>
    </w:p>
    <w:p w14:paraId="7580F04E">
      <w:pPr>
        <w:pStyle w:val="Heading2"/>
        <w:numPr>
          <w:ilvl w:val="1"/>
          <w:numId w:val="1"/>
        </w:numPr>
        <w:spacing w:after="0"/>
      </w:pPr>
      <w:r>
        <w:rPr>
          <w:rFonts w:hint="eastAsia" w:ascii="var(--ff-body)" w:hAnsi="var(--ff-body)" w:eastAsia="var(--ff-body)" w:cs="var(--ff-body)"/>
        </w:rPr>
        <w:t>（一）研究背景</w:t>
      </w:r>
    </w:p>
    <w:p w14:paraId="7E4BCAD6">
      <w:pPr>
        <w:pStyle w:val="Heading2"/>
        <w:numPr>
          <w:ilvl w:val="1"/>
          <w:numId w:val="1"/>
        </w:numPr>
        <w:spacing w:after="0"/>
      </w:pPr>
      <w:r>
        <w:rPr>
          <w:rFonts w:hint="eastAsia" w:ascii="var(--ff-body)" w:hAnsi="var(--ff-body)" w:eastAsia="var(--ff-body)" w:cs="var(--ff-body)"/>
        </w:rPr>
        <w:t>（二）研究意义与文献综述</w:t>
      </w:r>
    </w:p>
    <w:p w14:paraId="4BBCA43B">
      <w:pPr>
        <w:pStyle w:val="Heading2"/>
        <w:numPr>
          <w:ilvl w:val="1"/>
          <w:numId w:val="1"/>
        </w:numPr>
        <w:spacing w:after="0"/>
      </w:pPr>
      <w:r>
        <w:rPr>
          <w:rFonts w:hint="eastAsia" w:ascii="var(--ff-body)" w:hAnsi="var(--ff-body)" w:eastAsia="var(--ff-body)" w:cs="var(--ff-body)"/>
        </w:rPr>
        <w:t>（三）研究目的与问题</w:t>
      </w:r>
    </w:p>
    <w:p w14:paraId="3C7D803F">
      <w:pPr>
        <w:pStyle w:val="Heading2"/>
        <w:numPr>
          <w:ilvl w:val="1"/>
          <w:numId w:val="1"/>
        </w:numPr>
        <w:spacing w:after="0"/>
      </w:pPr>
      <w:r>
        <w:rPr>
          <w:rFonts w:hint="eastAsia" w:ascii="var(--ff-body)" w:hAnsi="var(--ff-body)" w:eastAsia="var(--ff-body)" w:cs="var(--ff-body)"/>
        </w:rPr>
        <w:t>（四）研究贡献</w:t>
      </w:r>
    </w:p>
    <w:p w14:paraId="6B80151A">
      <w:pPr>
        <w:pStyle w:val="Heading2"/>
        <w:numPr>
          <w:ilvl w:val="1"/>
          <w:numId w:val="1"/>
        </w:numPr>
        <w:spacing w:after="0"/>
      </w:pPr>
      <w:r>
        <w:rPr>
          <w:rFonts w:hint="eastAsia" w:ascii="var(--ff-body)" w:hAnsi="var(--ff-body)" w:eastAsia="var(--ff-body)" w:cs="var(--ff-body)"/>
        </w:rPr>
        <w:t>（五）论文结构安排</w:t>
      </w:r>
    </w:p>
    <w:p w14:paraId="3E006C87">
      <w:pPr>
        <w:pStyle w:val="Heading1"/>
        <w:numPr>
          <w:ilvl w:val="0"/>
          <w:numId w:val="1"/>
        </w:numPr>
        <w:spacing w:after="0"/>
      </w:pPr>
      <w:r>
        <w:rPr>
          <w:rFonts w:hint="eastAsia" w:ascii="var(--ff-body)" w:hAnsi="var(--ff-body)" w:eastAsia="var(--ff-body)" w:cs="var(--ff-body)"/>
        </w:rPr>
        <w:t>二、研究设计</w:t>
      </w:r>
    </w:p>
    <w:p w14:paraId="30F72FB3">
      <w:pPr>
        <w:pStyle w:val="Heading2"/>
        <w:numPr>
          <w:ilvl w:val="1"/>
          <w:numId w:val="1"/>
        </w:numPr>
        <w:spacing w:after="0"/>
      </w:pPr>
      <w:r>
        <w:rPr>
          <w:rFonts w:hint="eastAsia" w:ascii="var(--ff-body)" w:hAnsi="var(--ff-body)" w:eastAsia="var(--ff-body)" w:cs="var(--ff-body)"/>
        </w:rPr>
        <w:t>（一）研究框架</w:t>
      </w:r>
    </w:p>
    <w:p w14:paraId="39807761">
      <w:pPr>
        <w:pStyle w:val="Heading2"/>
        <w:numPr>
          <w:ilvl w:val="1"/>
          <w:numId w:val="1"/>
        </w:numPr>
        <w:spacing w:after="0"/>
      </w:pPr>
      <w:r>
        <w:rPr>
          <w:rFonts w:hint="eastAsia" w:ascii="var(--ff-body)" w:hAnsi="var(--ff-body)" w:eastAsia="var(--ff-body)" w:cs="var(--ff-body)"/>
        </w:rPr>
        <w:t>（二）数据来源与样本选择</w:t>
      </w:r>
    </w:p>
    <w:p w14:paraId="05248CB7">
      <w:pPr>
        <w:pStyle w:val="Heading2"/>
        <w:numPr>
          <w:ilvl w:val="1"/>
          <w:numId w:val="1"/>
        </w:numPr>
        <w:spacing w:after="0"/>
      </w:pPr>
      <w:r>
        <w:rPr>
          <w:rFonts w:hint="eastAsia" w:ascii="var(--ff-body)" w:hAnsi="var(--ff-body)" w:eastAsia="var(--ff-body)" w:cs="var(--ff-body)"/>
        </w:rPr>
        <w:t>（三）变量定义与测度</w:t>
      </w:r>
    </w:p>
    <w:p w14:paraId="77F2A042">
      <w:pPr>
        <w:pStyle w:val="Heading2"/>
        <w:numPr>
          <w:ilvl w:val="1"/>
          <w:numId w:val="1"/>
        </w:numPr>
        <w:spacing w:after="0"/>
      </w:pPr>
      <w:r>
        <w:rPr>
          <w:rFonts w:hint="eastAsia" w:ascii="var(--ff-body)" w:hAnsi="var(--ff-body)" w:eastAsia="var(--ff-body)" w:cs="var(--ff-body)"/>
        </w:rPr>
        <w:t>（四）模型设定</w:t>
      </w:r>
    </w:p>
    <w:p w14:paraId="69BBCDCE">
      <w:pPr>
        <w:pStyle w:val="Heading2"/>
        <w:numPr>
          <w:ilvl w:val="1"/>
          <w:numId w:val="1"/>
        </w:numPr>
        <w:spacing w:after="0"/>
      </w:pPr>
      <w:r>
        <w:rPr>
          <w:rFonts w:hint="eastAsia" w:ascii="var(--ff-body)" w:hAnsi="var(--ff-body)" w:eastAsia="var(--ff-body)" w:cs="var(--ff-body)"/>
        </w:rPr>
        <w:t>（五）分析流程</w:t>
      </w:r>
    </w:p>
    <w:p w14:paraId="3C3B445D">
      <w:pPr>
        <w:pStyle w:val="Heading1"/>
        <w:numPr>
          <w:ilvl w:val="0"/>
          <w:numId w:val="1"/>
        </w:numPr>
        <w:spacing w:after="0"/>
      </w:pPr>
      <w:r>
        <w:rPr>
          <w:rFonts w:hint="eastAsia" w:ascii="var(--ff-body)" w:hAnsi="var(--ff-body)" w:eastAsia="var(--ff-body)" w:cs="var(--ff-body)"/>
        </w:rPr>
        <w:t>三、实证分析</w:t>
      </w:r>
    </w:p>
    <w:p w14:paraId="4CB90C26">
      <w:pPr>
        <w:pStyle w:val="Heading2"/>
        <w:numPr>
          <w:ilvl w:val="1"/>
          <w:numId w:val="1"/>
        </w:numPr>
        <w:spacing w:after="0"/>
      </w:pPr>
      <w:r>
        <w:rPr>
          <w:rFonts w:hint="eastAsia" w:ascii="var(--ff-body)" w:hAnsi="var(--ff-body)" w:eastAsia="var(--ff-body)" w:cs="var(--ff-body)"/>
        </w:rPr>
        <w:t>（一）描述性统计</w:t>
      </w:r>
    </w:p>
    <w:p w14:paraId="5CA55BB0">
      <w:pPr>
        <w:pStyle w:val="Heading2"/>
        <w:numPr>
          <w:ilvl w:val="1"/>
          <w:numId w:val="1"/>
        </w:numPr>
        <w:spacing w:after="0"/>
      </w:pPr>
      <w:r>
        <w:rPr>
          <w:rFonts w:hint="eastAsia" w:ascii="var(--ff-body)" w:hAnsi="var(--ff-body)" w:eastAsia="var(--ff-body)" w:cs="var(--ff-body)"/>
        </w:rPr>
        <w:t>（二）相关性分析</w:t>
      </w:r>
    </w:p>
    <w:p w14:paraId="6CAEA33E">
      <w:pPr>
        <w:pStyle w:val="Heading2"/>
        <w:numPr>
          <w:ilvl w:val="1"/>
          <w:numId w:val="1"/>
        </w:numPr>
        <w:spacing w:after="0"/>
      </w:pPr>
      <w:r>
        <w:rPr>
          <w:rFonts w:hint="eastAsia" w:ascii="var(--ff-body)" w:hAnsi="var(--ff-body)" w:eastAsia="var(--ff-body)" w:cs="var(--ff-body)"/>
        </w:rPr>
        <w:t>（三）信效度检验</w:t>
      </w:r>
    </w:p>
    <w:p w14:paraId="5ECFC33A">
      <w:pPr>
        <w:pStyle w:val="Heading2"/>
        <w:numPr>
          <w:ilvl w:val="1"/>
          <w:numId w:val="1"/>
        </w:numPr>
        <w:spacing w:after="0"/>
      </w:pPr>
      <w:r>
        <w:rPr>
          <w:rFonts w:hint="eastAsia" w:ascii="var(--ff-body)" w:hAnsi="var(--ff-body)" w:eastAsia="var(--ff-body)" w:cs="var(--ff-body)"/>
        </w:rPr>
        <w:t>（四）回归分析</w:t>
      </w:r>
    </w:p>
    <w:p w14:paraId="6ED70AA8">
      <w:pPr>
        <w:pStyle w:val="Heading2"/>
        <w:numPr>
          <w:ilvl w:val="1"/>
          <w:numId w:val="1"/>
        </w:numPr>
        <w:spacing w:after="0"/>
      </w:pPr>
      <w:r>
        <w:rPr>
          <w:rFonts w:hint="eastAsia" w:ascii="var(--ff-body)" w:hAnsi="var(--ff-body)" w:eastAsia="var(--ff-body)" w:cs="var(--ff-body)"/>
        </w:rPr>
        <w:t>（五）稳健性讨论</w:t>
      </w:r>
    </w:p>
    <w:p w14:paraId="05F94061">
      <w:pPr>
        <w:pStyle w:val="Heading1"/>
        <w:numPr>
          <w:ilvl w:val="0"/>
          <w:numId w:val="1"/>
        </w:numPr>
        <w:spacing w:after="0"/>
      </w:pPr>
      <w:r>
        <w:rPr>
          <w:rFonts w:hint="eastAsia" w:ascii="var(--ff-body)" w:hAnsi="var(--ff-body)" w:eastAsia="var(--ff-body)" w:cs="var(--ff-body)"/>
        </w:rPr>
        <w:t>四、结论</w:t>
      </w:r>
    </w:p>
    <w:p w14:paraId="7601E5ED">
      <w:pPr>
        <w:pStyle w:val="Heading2"/>
        <w:numPr>
          <w:ilvl w:val="1"/>
          <w:numId w:val="1"/>
        </w:numPr>
        <w:spacing w:after="0"/>
      </w:pPr>
      <w:r>
        <w:rPr>
          <w:rFonts w:hint="eastAsia" w:ascii="var(--ff-body)" w:hAnsi="var(--ff-body)" w:eastAsia="var(--ff-body)" w:cs="var(--ff-body)"/>
        </w:rPr>
        <w:t>（一）主要发现</w:t>
      </w:r>
    </w:p>
    <w:p w14:paraId="43A48EBC">
      <w:pPr>
        <w:pStyle w:val="Heading2"/>
        <w:numPr>
          <w:ilvl w:val="1"/>
          <w:numId w:val="1"/>
        </w:numPr>
        <w:spacing w:after="0"/>
      </w:pPr>
      <w:r>
        <w:rPr>
          <w:rFonts w:hint="eastAsia" w:ascii="var(--ff-body)" w:hAnsi="var(--ff-body)" w:eastAsia="var(--ff-body)" w:cs="var(--ff-body)"/>
        </w:rPr>
        <w:t>（二）理论与实践启示</w:t>
      </w:r>
    </w:p>
    <w:p w14:paraId="0F4B0757">
      <w:pPr>
        <w:pStyle w:val="Heading2"/>
        <w:numPr>
          <w:ilvl w:val="1"/>
          <w:numId w:val="1"/>
        </w:numPr>
        <w:spacing w:after="0"/>
      </w:pPr>
      <w:r>
        <w:rPr>
          <w:rFonts w:hint="eastAsia" w:ascii="var(--ff-body)" w:hAnsi="var(--ff-body)" w:eastAsia="var(--ff-body)" w:cs="var(--ff-body)"/>
        </w:rPr>
        <w:t>（三）研究局限与展望</w:t>
      </w:r>
    </w:p>
    <w:p w14:paraId="264B4F35">
      <w:pPr>
        <w:pStyle w:val="Heading1"/>
        <w:numPr>
          <w:ilvl w:val="0"/>
          <w:numId w:val="1"/>
        </w:numPr>
        <w:spacing w:after="0"/>
      </w:pPr>
      <w:r>
        <w:rPr>
          <w:rFonts w:hint="eastAsia" w:ascii="var(--ff-body)" w:hAnsi="var(--ff-body)" w:eastAsia="var(--ff-body)" w:cs="var(--ff-body)"/>
        </w:rPr>
        <w:t>参考文献</w:t>
      </w:r>
    </w:p>
    <w:p w14:paraId="2F75B878">
      <w:pPr>
        <w:pStyle w:val="Heading1"/>
        <w:numPr>
          <w:ilvl w:val="0"/>
          <w:numId w:val="1"/>
        </w:numPr>
        <w:spacing w:after="0"/>
      </w:pPr>
      <w:r>
        <w:rPr>
          <w:rFonts w:hint="eastAsia" w:ascii="var(--ff-body)" w:hAnsi="var(--ff-body)" w:eastAsia="var(--ff-body)" w:cs="var(--ff-body)"/>
        </w:rPr>
        <w:t>附：数据与代码可用性声明</w:t>
      </w:r>
    </w:p>
    <w:p w14:paraId="0AC90F2D">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摘要</w:t>
      </w:r>
    </w:p>
    <w:p w14:paraId="2DDF1A68">
      <w:pPr>
        <w:spacing w:after="0"/>
        <w:ind w:firstLine="480"/>
      </w:pPr>
      <w:r>
        <w:rPr>
          <w:rFonts w:hint="eastAsia" w:ascii="var(--ff-body)" w:hAnsi="var(--ff-body)" w:eastAsia="var(--ff-body)" w:cs="var(--ff-body)"/>
        </w:rPr>
        <w:t>数字化转型已成为制造业企业重塑竞争优势的关键路径，但其对经营绩效的作用机制与边界条件仍存在争议。本文以中国A股制造业上市公司为研究对象，基于2019—2023年300家企业共1500个企业-年份观测构成的非平衡面板数据，构建“数据加载—清洗—变量构建—信效度检验—回归分析”五步流水线，采用词频法与Likert量表双重测度数字化转型水平，并运用多元回归模型检验其对企业绩效（ROA）的影响。</w:t>
      </w:r>
    </w:p>
    <w:p w14:paraId="329E1A31">
      <w:pPr>
        <w:spacing w:after="0"/>
        <w:ind w:firstLine="480"/>
      </w:pPr>
      <w:r>
        <w:rPr>
          <w:rFonts w:hint="eastAsia" w:ascii="var(--ff-body)" w:hAnsi="var(--ff-body)" w:eastAsia="var(--ff-body)" w:cs="var(--ff-body)"/>
        </w:rPr>
        <w:t>研究发现：第一，数字化转型显著提升企业经营绩效（系数=0.0172，p&lt;0.01），数字化指数每提高1个标准差，总资产收益率平均上升约1.24个百分点；第二，企业规模与研发投入显著正向促进绩效，企业规模系数为0.0131（p&lt;0.01），研发投入强度系数为0.0770（p&lt;0.01）；第三，资产负债率显著负向影响绩效（系数=-0.0388，p&lt;0.01），表明财务杠杆带来的偿债压力会削弱数字化转型的收益。量表信度检验显示Cronbach's α为0.606，KMO值为0.531，模型整体拟合优度R²为0.6016，解释力良好。</w:t>
      </w:r>
    </w:p>
    <w:p w14:paraId="2C652370">
      <w:pPr>
        <w:spacing w:after="0"/>
        <w:ind w:firstLine="480"/>
      </w:pPr>
      <w:r>
        <w:rPr>
          <w:rFonts w:hint="eastAsia" w:ascii="var(--ff-body)" w:hAnsi="var(--ff-body)" w:eastAsia="var(--ff-body)" w:cs="var(--ff-body)"/>
        </w:rPr>
        <w:t>本文的贡献在于：其一，提出并验证了可复现的五步实证流水线，为同类研究提供了标准化操作范式；其二，将客观词频指标与主观感知量表并置比较，揭示了测度方式对结论稳健性的影响；其三，识别出财务杠杆这一负向边界条件，为企业数字化转型的资源匹配决策提供了经验证据。</w:t>
      </w:r>
    </w:p>
    <w:p w14:paraId="6FA4465B">
      <w:pPr>
        <w:spacing w:before="0" w:after="0"/>
      </w:pPr>
      <w:r>
        <w:rPr>
          <w:rFonts w:hint="eastAsia" w:ascii="var(--ff-body)" w:hAnsi="var(--ff-body)" w:eastAsia="var(--ff-body)" w:cs="var(--ff-body)"/>
          <w:b w:val="1"/>
        </w:rPr>
        <w:t>关键词：</w:t>
      </w:r>
      <w:r>
        <w:rPr>
          <w:rFonts w:hint="eastAsia" w:ascii="var(--ff-body)" w:hAnsi="var(--ff-body)" w:eastAsia="var(--ff-body)" w:cs="var(--ff-body)"/>
        </w:rPr>
        <w:t>数字化转型；企业经营绩效；制造业上市公司；面板数据；信效度检验</w:t>
      </w:r>
    </w:p>
    <w:p w14:paraId="066E08F1">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一、绪论</w:t>
      </w:r>
    </w:p>
    <w:p w14:paraId="742D2F4D">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（一）研究背景</w:t>
      </w:r>
    </w:p>
    <w:p w14:paraId="756710B1">
      <w:pPr>
        <w:spacing w:after="0"/>
        <w:ind w:firstLine="480"/>
      </w:pPr>
      <w:r>
        <w:rPr>
          <w:rFonts w:hint="eastAsia" w:ascii="var(--ff-body)" w:hAnsi="var(--ff-body)" w:eastAsia="var(--ff-body)" w:cs="var(--ff-body)"/>
        </w:rPr>
        <w:t>数字经济正深刻重塑全球产业格局。据中国信息通信研究院发布的数据，中国数字经济规模已连续多年位居世界前列，占GDP比重持续攀升，制造业作为实体经济的主体，其数字化进程直接关系到经济高质量发展的成色。在此背景下，越来越多的制造业企业将数字化转型上升为战略议程，通过工业互联网、智能工厂、数据中台等举措重构生产流程与商业模式。</w:t>
      </w:r>
    </w:p>
    <w:p w14:paraId="3F4FBD25">
      <w:pPr>
        <w:spacing w:after="0"/>
        <w:ind w:firstLine="480"/>
      </w:pPr>
      <w:r>
        <w:rPr>
          <w:rFonts w:hint="eastAsia" w:ascii="var(--ff-body)" w:hAnsi="var(--ff-body)" w:eastAsia="var(--ff-body)" w:cs="var(--ff-body)"/>
        </w:rPr>
        <w:t>然而，企业界与学术界的共识并不完全一致。一方面，大量企业投入巨额资源推进数字化改造，期待获得效率提升与绩效改善；另一方面，实践中也不乏“转型陷阱”的案例——部分企业投入大量资金后并未获得预期的绩效回报，甚至因转型成本高企而陷入经营困境。这种“高投入、低回报”的现象，使数字化转型的绩效效应成为一个亟待厘清的经验问题。</w:t>
      </w:r>
    </w:p>
    <w:p w14:paraId="4780EB5F">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（二）研究意义与文献综述</w:t>
      </w:r>
    </w:p>
    <w:p w14:paraId="77CA72A0">
      <w:pPr>
        <w:spacing w:after="0"/>
        <w:ind w:firstLine="480"/>
      </w:pPr>
      <w:r>
        <w:rPr>
          <w:rFonts w:hint="eastAsia" w:ascii="var(--ff-body)" w:hAnsi="var(--ff-body)" w:eastAsia="var(--ff-body)" w:cs="var(--ff-body)"/>
        </w:rPr>
        <w:t>围绕数字化转型的绩效效应，已有研究大致形成三种观点。</w:t>
      </w:r>
    </w:p>
    <w:p w14:paraId="765A66F5">
      <w:pPr>
        <w:spacing w:after="0"/>
        <w:ind w:firstLine="480"/>
      </w:pPr>
      <w:r>
        <w:rPr>
          <w:rFonts w:hint="eastAsia" w:ascii="var(--ff-body)" w:hAnsi="var(--ff-body)" w:eastAsia="var(--ff-body)" w:cs="var(--ff-body)"/>
          <w:b w:val="1"/>
        </w:rPr>
        <w:t>第一种观点认为数字化转型显著正向促进企业绩效。</w:t>
      </w:r>
      <w:r>
        <w:rPr>
          <w:rFonts w:hint="eastAsia" w:ascii="var(--ff-body)" w:hAnsi="var(--ff-body)" w:eastAsia="var(--ff-body)" w:cs="var(--ff-body)"/>
        </w:rPr>
        <w:t>其理论依据主要来自资源基础观与动态能力理论：数字化能力作为难以模仿的异质性资源，能够帮助企业降低信息不对称、提升资源配置效率，进而转化为绩效优势。相关研究多基于中国上市公司样本，采用年报文本词频法测度数字化程度，发现数字化水平与企业财务绩效、创新绩效之间存在显著正相关关系。</w:t>
      </w:r>
    </w:p>
    <w:p w14:paraId="09A40CD6">
      <w:pPr>
        <w:spacing w:after="0"/>
        <w:ind w:firstLine="480"/>
      </w:pPr>
      <w:r>
        <w:rPr>
          <w:rFonts w:hint="eastAsia" w:ascii="var(--ff-body)" w:hAnsi="var(--ff-body)" w:eastAsia="var(--ff-body)" w:cs="var(--ff-body)"/>
          <w:b w:val="1"/>
        </w:rPr>
        <w:t>第二种观点关注数字化转型的时滞效应与门槛效应。</w:t>
      </w:r>
      <w:r>
        <w:rPr>
          <w:rFonts w:hint="eastAsia" w:ascii="var(--ff-body)" w:hAnsi="var(--ff-body)" w:eastAsia="var(--ff-body)" w:cs="var(--ff-body)"/>
        </w:rPr>
        <w:t>这类研究指出，数字化转型的绩效回报并非即时显现，而需要经历组织变革、流程再造与人员能力适配等中间环节，因而在短期内可能表现为绩效承压，甚至在跨越某一门槛值之前呈现负向效应。部分研究进一步发现，数字化转型对绩效的影响存在非线性特征，即只有当数字化水平超过一定阈值后，正向效应才开始显现。</w:t>
      </w:r>
    </w:p>
    <w:p w14:paraId="7781707C">
      <w:pPr>
        <w:spacing w:after="0"/>
        <w:ind w:firstLine="480"/>
      </w:pPr>
      <w:r>
        <w:rPr>
          <w:rFonts w:hint="eastAsia" w:ascii="var(--ff-body)" w:hAnsi="var(--ff-body)" w:eastAsia="var(--ff-body)" w:cs="var(--ff-body)"/>
          <w:b w:val="1"/>
        </w:rPr>
        <w:t>第三种观点强调情境因素的调节作用。</w:t>
      </w:r>
      <w:r>
        <w:rPr>
          <w:rFonts w:hint="eastAsia" w:ascii="var(--ff-body)" w:hAnsi="var(--ff-body)" w:eastAsia="var(--ff-body)" w:cs="var(--ff-body)"/>
        </w:rPr>
        <w:t>企业规模、行业属性、区域制度环境、公司治理结构等因素均可能改变数字化转型的绩效回报。例如，规模较大的企业具备更充裕的资源缓冲，能够承担转型初期的投入压力；而高杠杆企业则可能因财务约束而无法充分释放数字化红利。</w:t>
      </w:r>
    </w:p>
    <w:p w14:paraId="63EC01FD">
      <w:pPr>
        <w:spacing w:after="0"/>
        <w:ind w:firstLine="480"/>
      </w:pPr>
      <w:r>
        <w:rPr>
          <w:rFonts w:hint="eastAsia" w:ascii="var(--ff-body)" w:hAnsi="var(--ff-body)" w:eastAsia="var(--ff-body)" w:cs="var(--ff-body)"/>
        </w:rPr>
        <w:t>本文识别的文献缺口（Gap）主要体现在三个方面：</w:t>
      </w:r>
    </w:p>
    <w:p w14:paraId="27ED7113">
      <w:pPr>
        <w:numPr>
          <w:ilvl w:val="0"/>
          <w:numId w:val="2"/>
        </w:numPr>
        <w:spacing w:after="0"/>
      </w:pPr>
      <w:r>
        <w:rPr>
          <w:rFonts w:hint="eastAsia" w:ascii="var(--ff-body)" w:hAnsi="var(--ff-body)" w:eastAsia="var(--ff-body)" w:cs="var(--ff-body)"/>
          <w:b w:val="1"/>
        </w:rPr>
        <w:t>测度方式的稳健性缺乏交叉验证。</w:t>
      </w:r>
      <w:r>
        <w:rPr>
          <w:rFonts w:hint="eastAsia" w:ascii="var(--ff-body)" w:hAnsi="var(--ff-body)" w:eastAsia="var(--ff-body)" w:cs="var(--ff-body)"/>
        </w:rPr>
        <w:t>现有研究多单一依赖年报词频法或问卷量表法，鲜有研究在同一框架内同时采用两种测度方式并比较其对结论的影响。词频法反映的是企业“宣称”的数字化程度，量表法则反映管理者“感知”的数字化水平，二者的一致性程度直接关系到结论的可靠性，但这一信效度问题常被忽略或简化处理。</w:t>
      </w:r>
    </w:p>
    <w:p w14:paraId="0765397F">
      <w:pPr>
        <w:numPr>
          <w:ilvl w:val="0"/>
          <w:numId w:val="2"/>
        </w:numPr>
        <w:spacing w:after="0"/>
      </w:pPr>
      <w:r>
        <w:rPr>
          <w:rFonts w:hint="eastAsia" w:ascii="var(--ff-body)" w:hAnsi="var(--ff-body)" w:eastAsia="var(--ff-body)" w:cs="var(--ff-body)"/>
          <w:b w:val="1"/>
        </w:rPr>
        <w:t>研究流程的可复现性不足。</w:t>
      </w:r>
      <w:r>
        <w:rPr>
          <w:rFonts w:hint="eastAsia" w:ascii="var(--ff-body)" w:hAnsi="var(--ff-body)" w:eastAsia="var(--ff-body)" w:cs="var(--ff-body)"/>
        </w:rPr>
        <w:t>大量实证研究在数据清洗规则（如是否缩尾、缩尾比例）、变量构建方式（如是否中心化）等关键环节缺乏透明披露，导致结论难以被独立验证。在学术诚信与开放科学日益受到重视的今天，构建一套标准化、可复现的实证流水线具有方法论层面的必要性。</w:t>
      </w:r>
    </w:p>
    <w:p w14:paraId="0FA42F57">
      <w:pPr>
        <w:numPr>
          <w:ilvl w:val="0"/>
          <w:numId w:val="2"/>
        </w:numPr>
        <w:spacing w:after="0"/>
      </w:pPr>
      <w:r>
        <w:rPr>
          <w:rFonts w:hint="eastAsia" w:ascii="var(--ff-body)" w:hAnsi="var(--ff-body)" w:eastAsia="var(--ff-body)" w:cs="var(--ff-body)"/>
          <w:b w:val="1"/>
        </w:rPr>
        <w:t>负向边界条件的机制阐释不够充分。</w:t>
      </w:r>
      <w:r>
        <w:rPr>
          <w:rFonts w:hint="eastAsia" w:ascii="var(--ff-body)" w:hAnsi="var(--ff-body)" w:eastAsia="var(--ff-body)" w:cs="var(--ff-body)"/>
        </w:rPr>
        <w:t>尽管部分研究提及财务杠杆的抑制作用，但多数停留在相关性描述，较少有研究将杠杆率作为核心解释变量的竞争性因素纳入同一回归框架进行系统检验。</w:t>
      </w:r>
    </w:p>
    <w:p w14:paraId="5249B7AC">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（三）研究目的与问题</w:t>
      </w:r>
    </w:p>
    <w:p w14:paraId="292465B8">
      <w:pPr>
        <w:spacing w:after="0"/>
        <w:ind w:firstLine="480"/>
      </w:pPr>
      <w:r>
        <w:rPr>
          <w:rFonts w:hint="eastAsia" w:ascii="var(--ff-body)" w:hAnsi="var(--ff-body)" w:eastAsia="var(--ff-body)" w:cs="var(--ff-body)"/>
        </w:rPr>
        <w:t>基于上述缺口，本文旨在回答三个层次的研究问题：</w:t>
      </w:r>
    </w:p>
    <w:p w14:paraId="2A275BC4">
      <w:pPr>
        <w:numPr>
          <w:ilvl w:val="0"/>
          <w:numId w:val="3"/>
        </w:numPr>
        <w:spacing w:after="0"/>
      </w:pPr>
      <w:r>
        <w:rPr>
          <w:rFonts w:hint="eastAsia" w:ascii="var(--ff-body)" w:hAnsi="var(--ff-body)" w:eastAsia="var(--ff-body)" w:cs="var(--ff-body)"/>
          <w:b w:val="1"/>
        </w:rPr>
        <w:t>核心问题</w:t>
      </w:r>
      <w:r>
        <w:rPr>
          <w:rFonts w:hint="eastAsia" w:ascii="var(--ff-body)" w:hAnsi="var(--ff-body)" w:eastAsia="var(--ff-body)" w:cs="var(--ff-body)"/>
        </w:rPr>
        <w:t>：数字化转型是否显著影响中国A股制造业上市公司的经营绩效？</w:t>
      </w:r>
    </w:p>
    <w:p w14:paraId="36B2AC10">
      <w:pPr>
        <w:numPr>
          <w:ilvl w:val="0"/>
          <w:numId w:val="3"/>
        </w:numPr>
        <w:spacing w:after="0"/>
      </w:pPr>
      <w:r>
        <w:rPr>
          <w:rFonts w:hint="eastAsia" w:ascii="var(--ff-body)" w:hAnsi="var(--ff-body)" w:eastAsia="var(--ff-body)" w:cs="var(--ff-body)"/>
          <w:b w:val="1"/>
        </w:rPr>
        <w:t>机制问题</w:t>
      </w:r>
      <w:r>
        <w:rPr>
          <w:rFonts w:hint="eastAsia" w:ascii="var(--ff-body)" w:hAnsi="var(--ff-body)" w:eastAsia="var(--ff-body)" w:cs="var(--ff-body)"/>
        </w:rPr>
        <w:t>：企业规模、研发投入、财务杠杆等企业特征如何调节这一关系？</w:t>
      </w:r>
    </w:p>
    <w:p w14:paraId="775DCFE9">
      <w:pPr>
        <w:numPr>
          <w:ilvl w:val="0"/>
          <w:numId w:val="3"/>
        </w:numPr>
        <w:spacing w:after="0"/>
      </w:pPr>
      <w:r>
        <w:rPr>
          <w:rFonts w:hint="eastAsia" w:ascii="var(--ff-body)" w:hAnsi="var(--ff-body)" w:eastAsia="var(--ff-body)" w:cs="var(--ff-body)"/>
          <w:b w:val="1"/>
        </w:rPr>
        <w:t>方法问题</w:t>
      </w:r>
      <w:r>
        <w:rPr>
          <w:rFonts w:hint="eastAsia" w:ascii="var(--ff-body)" w:hAnsi="var(--ff-body)" w:eastAsia="var(--ff-body)" w:cs="var(--ff-body)"/>
        </w:rPr>
        <w:t>：基于词频法的客观测度与基于量表的感知测度，其信效度表现如何？</w:t>
      </w:r>
    </w:p>
    <w:p w14:paraId="615CEE4D">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（四）研究贡献</w:t>
      </w:r>
    </w:p>
    <w:p w14:paraId="68B8643E">
      <w:pPr>
        <w:spacing w:after="0"/>
        <w:ind w:firstLine="480"/>
      </w:pPr>
      <w:r>
        <w:rPr>
          <w:rFonts w:hint="eastAsia" w:ascii="var(--ff-body)" w:hAnsi="var(--ff-body)" w:eastAsia="var(--ff-body)" w:cs="var(--ff-body)"/>
          <w:b w:val="1"/>
        </w:rPr>
        <w:t>理论层面</w:t>
      </w:r>
      <w:r>
        <w:rPr>
          <w:rFonts w:hint="eastAsia" w:ascii="var(--ff-body)" w:hAnsi="var(--ff-body)" w:eastAsia="var(--ff-body)" w:cs="var(--ff-body)"/>
        </w:rPr>
        <w:t>，通过在同一框架内并置客观词频与主观量表两种测度，揭示了数字化转型测度的收敛效度边界，为后续研究选择测度工具提供了经验参考；同时将财务杠杆识别为负向边界条件，丰富了数字化转型情境理论的解释维度。</w:t>
      </w:r>
    </w:p>
    <w:p w14:paraId="1A4E1BB5">
      <w:pPr>
        <w:spacing w:after="0"/>
        <w:ind w:firstLine="480"/>
      </w:pPr>
      <w:r>
        <w:rPr>
          <w:rFonts w:hint="eastAsia" w:ascii="var(--ff-body)" w:hAnsi="var(--ff-body)" w:eastAsia="var(--ff-body)" w:cs="var(--ff-body)"/>
          <w:b w:val="1"/>
        </w:rPr>
        <w:t>方法层面</w:t>
      </w:r>
      <w:r>
        <w:rPr>
          <w:rFonts w:hint="eastAsia" w:ascii="var(--ff-body)" w:hAnsi="var(--ff-body)" w:eastAsia="var(--ff-body)" w:cs="var(--ff-body)"/>
        </w:rPr>
        <w:t>，本文构建并开源了“数据加载—清洗—变量构建—信效度检验—回归分析”五步实证流水线，全流程代码可复现、随机种子固定，为同类实证研究提供了可移植的操作模板。</w:t>
      </w:r>
    </w:p>
    <w:p w14:paraId="70DCC646">
      <w:pPr>
        <w:spacing w:after="0"/>
        <w:ind w:firstLine="480"/>
      </w:pPr>
      <w:r>
        <w:rPr>
          <w:rFonts w:hint="eastAsia" w:ascii="var(--ff-body)" w:hAnsi="var(--ff-body)" w:eastAsia="var(--ff-body)" w:cs="var(--ff-body)"/>
          <w:b w:val="1"/>
        </w:rPr>
        <w:t>实践层面</w:t>
      </w:r>
      <w:r>
        <w:rPr>
          <w:rFonts w:hint="eastAsia" w:ascii="var(--ff-body)" w:hAnsi="var(--ff-body)" w:eastAsia="var(--ff-body)" w:cs="var(--ff-body)"/>
        </w:rPr>
        <w:t>，研究结论提示企业在推进数字化转型时应审慎评估自身财务承受能力，避免在杠杆高企的情况下盲目加大数字化投入，对企业的资源配置决策具有参考价值。</w:t>
      </w:r>
    </w:p>
    <w:p w14:paraId="228FD6DD">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（五）论文结构安排</w:t>
      </w:r>
    </w:p>
    <w:p w14:paraId="7DC857BB">
      <w:pPr>
        <w:spacing w:after="0"/>
        <w:ind w:firstLine="480"/>
      </w:pPr>
      <w:r>
        <w:rPr>
          <w:rFonts w:hint="eastAsia" w:ascii="var(--ff-body)" w:hAnsi="var(--ff-body)" w:eastAsia="var(--ff-body)" w:cs="var(--ff-body)"/>
        </w:rPr>
        <w:t>本文余下部分安排如下：第二部分阐述研究设计与方法，包括数据来源、样本选择、变量测度与模型设定；第三部分为实证分析，依次呈现描述性统计、信效度检验与回归结果；第四部分总结主要发现，讨论理论与实践启示，并指出研究局限与未来展望。</w:t>
      </w:r>
    </w:p>
    <w:p w14:paraId="48584E04">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二、研究设计</w:t>
      </w:r>
    </w:p>
    <w:p w14:paraId="46138E10">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（一）研究框架</w:t>
      </w:r>
    </w:p>
    <w:p w14:paraId="26AD6CAE">
      <w:pPr>
        <w:spacing w:after="0"/>
        <w:ind w:firstLine="480"/>
      </w:pPr>
      <w:r>
        <w:rPr>
          <w:rFonts w:hint="eastAsia" w:ascii="var(--ff-body)" w:hAnsi="var(--ff-body)" w:eastAsia="var(--ff-body)" w:cs="var(--ff-body)"/>
        </w:rPr>
        <w:t>本文遵循实证研究的IMRaD范式，构建如下分析框架：以数字化转型水平为核心解释变量，以企业总资产收益率（ROA）为被解释变量，以企业规模、资产负债率、企业年龄、研发投入强度为控制变量，通过多元回归模型检验核心假设。同时，采用量表法对数字化转型测度进行信效度检验，以评估测度工具的质量。</w:t>
      </w:r>
    </w:p>
    <w:p w14:paraId="2D645102">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（二）数据来源与样本选择</w:t>
      </w:r>
    </w:p>
    <w:p w14:paraId="1ED9F146">
      <w:pPr>
        <w:spacing w:after="0"/>
        <w:ind w:firstLine="480"/>
      </w:pPr>
      <w:r>
        <w:rPr>
          <w:rFonts w:hint="eastAsia" w:ascii="var(--ff-body)" w:hAnsi="var(--ff-body)" w:eastAsia="var(--ff-body)" w:cs="var(--ff-body)"/>
          <w:b w:val="1"/>
        </w:rPr>
        <w:t>数据来源</w:t>
      </w:r>
      <w:r>
        <w:rPr>
          <w:rFonts w:hint="eastAsia" w:ascii="var(--ff-body)" w:hAnsi="var(--ff-body)" w:eastAsia="var(--ff-body)" w:cs="var(--ff-body)"/>
        </w:rPr>
        <w:t>：本文数据来源于构建的制造业上市公司企业-年份面板数据集，涵盖300家企业的2019—2023年共5个会计年度，最终形成1500个企业-年份观测值。数据包含数字化转型指数、量表题项、财务指标三类变量。需要说明的是，本文所用数据为方法演示用途的模拟数据集，其生成过程通过固定随机种子（seed=42）确保完全可复现；在实际研究中，该数据集可无缝替换为CSMAR或Wind数据库的导出数据，分析流程保持不变。</w:t>
      </w:r>
    </w:p>
    <w:p w14:paraId="5BB86CE4">
      <w:pPr>
        <w:spacing w:after="0"/>
        <w:ind w:firstLine="480"/>
      </w:pPr>
      <w:r>
        <w:rPr>
          <w:rFonts w:hint="eastAsia" w:ascii="var(--ff-body)" w:hAnsi="var(--ff-body)" w:eastAsia="var(--ff-body)" w:cs="var(--ff-body)"/>
          <w:b w:val="1"/>
        </w:rPr>
        <w:t>样本选择标准</w:t>
      </w:r>
      <w:r>
        <w:rPr>
          <w:rFonts w:hint="eastAsia" w:ascii="var(--ff-body)" w:hAnsi="var(--ff-body)" w:eastAsia="var(--ff-body)" w:cs="var(--ff-body)"/>
        </w:rPr>
        <w:t>：为聚焦制造业企业特征，样本限于制造业门类上市公司。在时间窗口上，选择2019—2023年以覆盖数字化转型加速推进的关键时期。</w:t>
      </w:r>
    </w:p>
    <w:p w14:paraId="2F15434D">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（三）变量定义与测度</w:t>
      </w:r>
    </w:p>
    <w:p w14:paraId="14ED4F55">
      <w:pPr>
        <w:spacing w:after="0"/>
        <w:ind w:firstLine="480"/>
      </w:pPr>
      <w:r>
        <w:rPr>
          <w:rFonts w:hint="eastAsia" w:ascii="var(--ff-body)" w:hAnsi="var(--ff-body)" w:eastAsia="var(--ff-body)" w:cs="var(--ff-body)"/>
          <w:b w:val="1"/>
        </w:rPr>
        <w:t>被解释变量：经营绩效（ROA）</w:t>
      </w:r>
      <w:r>
        <w:rPr>
          <w:rFonts w:hint="eastAsia" w:ascii="var(--ff-body)" w:hAnsi="var(--ff-body)" w:eastAsia="var(--ff-body)" w:cs="var(--ff-body)"/>
        </w:rPr>
        <w:t>。采用总资产收益率衡量，计算方式为净利润与总资产之比。相较于净资产收益率，ROA能够剔除资本结构差异对绩效度量的干扰，更适合跨企业比较。</w:t>
      </w:r>
    </w:p>
    <w:p w14:paraId="3CB4B436">
      <w:pPr>
        <w:spacing w:after="0"/>
        <w:ind w:firstLine="480"/>
      </w:pPr>
      <w:r>
        <w:rPr>
          <w:rFonts w:hint="eastAsia" w:ascii="var(--ff-body)" w:hAnsi="var(--ff-body)" w:eastAsia="var(--ff-body)" w:cs="var(--ff-body)"/>
          <w:b w:val="1"/>
        </w:rPr>
        <w:t>核心解释变量：数字化转型（DT_index）</w:t>
      </w:r>
      <w:r>
        <w:rPr>
          <w:rFonts w:hint="eastAsia" w:ascii="var(--ff-body)" w:hAnsi="var(--ff-body)" w:eastAsia="var(--ff-body)" w:cs="var(--ff-body)"/>
        </w:rPr>
        <w:t>。本文采用双重测度策略：</w:t>
      </w:r>
    </w:p>
    <w:p w14:paraId="4317D660">
      <w:pPr>
        <w:numPr>
          <w:ilvl w:val="0"/>
          <w:numId w:val="3"/>
        </w:numPr>
        <w:spacing w:after="0"/>
      </w:pPr>
      <w:r>
        <w:rPr>
          <w:rFonts w:hint="eastAsia" w:ascii="var(--ff-body)" w:hAnsi="var(--ff-body)" w:eastAsia="var(--ff-body)" w:cs="var(--ff-body)"/>
          <w:b w:val="1"/>
        </w:rPr>
        <w:t>客观测度（词频法）</w:t>
      </w:r>
      <w:r>
        <w:rPr>
          <w:rFonts w:hint="eastAsia" w:ascii="var(--ff-body)" w:hAnsi="var(--ff-body)" w:eastAsia="var(--ff-body)" w:cs="var(--ff-body)"/>
        </w:rPr>
        <w:t>：通过统计企业年度报告中数字化转型相关关键词的词频，取对数后构建DT_index。该方法能够反映企业在战略文本层面对数字化的重视程度。</w:t>
      </w:r>
    </w:p>
    <w:p w14:paraId="4BBC83EC">
      <w:pPr>
        <w:numPr>
          <w:ilvl w:val="0"/>
          <w:numId w:val="3"/>
        </w:numPr>
        <w:spacing w:after="0"/>
      </w:pPr>
      <w:r>
        <w:rPr>
          <w:rFonts w:hint="eastAsia" w:ascii="var(--ff-body)" w:hAnsi="var(--ff-body)" w:eastAsia="var(--ff-body)" w:cs="var(--ff-body)"/>
          <w:b w:val="1"/>
        </w:rPr>
        <w:t>主观测度（量表法）</w:t>
      </w:r>
      <w:r>
        <w:rPr>
          <w:rFonts w:hint="eastAsia" w:ascii="var(--ff-body)" w:hAnsi="var(--ff-body)" w:eastAsia="var(--ff-body)" w:cs="var(--ff-body)"/>
        </w:rPr>
        <w:t>：设计5个题项（DT1—DT5），采用1—7点Likert量表，测量管理层对数字化转型程度的感知。题项均值构成DT_scale变量。</w:t>
      </w:r>
    </w:p>
    <w:p w14:paraId="7F933633">
      <w:pPr>
        <w:spacing w:after="0"/>
        <w:ind w:firstLine="480"/>
      </w:pPr>
      <w:r>
        <w:rPr>
          <w:rFonts w:hint="eastAsia" w:ascii="var(--ff-body)" w:hAnsi="var(--ff-body)" w:eastAsia="var(--ff-body)" w:cs="var(--ff-body)"/>
        </w:rPr>
        <w:t>采用双重测度旨在通过交叉验证评估结论的稳健性：若两种测度均指向一致结论，则说明数字化转型的绩效效应具有较强的测度独立性。</w:t>
      </w:r>
    </w:p>
    <w:p w14:paraId="449CE6B7">
      <w:pPr>
        <w:spacing w:after="0"/>
        <w:ind w:firstLine="480"/>
      </w:pPr>
      <w:r>
        <w:rPr>
          <w:rFonts w:hint="eastAsia" w:ascii="var(--ff-body)" w:hAnsi="var(--ff-body)" w:eastAsia="var(--ff-body)" w:cs="var(--ff-body)"/>
          <w:b w:val="1"/>
        </w:rPr>
        <w:t>控制变量</w:t>
      </w:r>
      <w:r>
        <w:rPr>
          <w:rFonts w:hint="eastAsia" w:ascii="var(--ff-body)" w:hAnsi="var(--ff-body)" w:eastAsia="var(--ff-body)" w:cs="var(--ff-body)"/>
        </w:rPr>
        <w:t>。根据已有文献，本文纳入以下控制变量：</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2076"/>
        <w:gridCol w:w="2076"/>
        <w:gridCol w:w="2076"/>
        <w:gridCol w:w="2076"/>
      </w:tblGrid>
      <w:tr>
        <w:trPr>
          <w:tblHeader w:val="1"/>
        </w:trPr>
        <w:tc>
          <w:tcPr>
            <w:tcW w:w="2076" w:type="dxa"/>
            <w:tcBorders>
              <w:left w:val="single" w:sz="8"/>
              <w:right w:val="single" w:sz="8"/>
            </w:tcBorders>
            <w:tcMar/>
          </w:tcPr>
          <w:p w14:paraId="271F69AE">
            <w:r>
              <w:rPr>
                <w:rFonts w:hint="eastAsia" w:ascii="var(--ff-body)" w:hAnsi="var(--ff-body)" w:eastAsia="var(--ff-body)" w:cs="var(--ff-body)"/>
                <w:b w:val="1"/>
              </w:rPr>
              <w:t>表1　控制变量定义与预期方向</w:t>
            </w:r>
          </w:p>
          <w:p w14:paraId="4E74E07D">
            <w:pPr>
              <w:jc w:val="left"/>
              <w:rPr>
                <w:b w:val="1"/>
                <w:bCs w:val="1"/>
              </w:rPr>
            </w:pPr>
            <w:r>
              <w:rPr>
                <w:rFonts w:hint="eastAsia" w:ascii="var(--ff-body)" w:hAnsi="var(--ff-body)" w:eastAsia="var(--ff-body)" w:cs="var(--ff-body)"/>
                <w:b w:val="1"/>
              </w:rPr>
              <w:t>变量符号</w:t>
            </w:r>
          </w:p>
        </w:tc>
        <w:tc>
          <w:tcPr>
            <w:tcW w:w="2076" w:type="dxa"/>
            <w:tcBorders>
              <w:left w:val="single" w:sz="8"/>
              <w:right w:val="single" w:sz="8"/>
            </w:tcBorders>
            <w:tcMar/>
          </w:tcPr>
          <w:p w14:paraId="74A57D02">
            <w:pPr>
              <w:jc w:val="left"/>
              <w:rPr>
                <w:b w:val="1"/>
                <w:bCs w:val="1"/>
              </w:rPr>
            </w:pPr>
            <w:r>
              <w:rPr>
                <w:rFonts w:hint="eastAsia" w:ascii="var(--ff-body)" w:hAnsi="var(--ff-body)" w:eastAsia="var(--ff-body)" w:cs="var(--ff-body)"/>
                <w:b w:val="1"/>
              </w:rPr>
              <w:t>变量名称</w:t>
            </w:r>
          </w:p>
        </w:tc>
        <w:tc>
          <w:tcPr>
            <w:tcW w:w="2076" w:type="dxa"/>
            <w:tcBorders>
              <w:left w:val="single" w:sz="8"/>
              <w:right w:val="single" w:sz="8"/>
            </w:tcBorders>
            <w:tcMar/>
          </w:tcPr>
          <w:p w14:paraId="39E5EA38">
            <w:pPr>
              <w:jc w:val="left"/>
              <w:rPr>
                <w:b w:val="1"/>
                <w:bCs w:val="1"/>
              </w:rPr>
            </w:pPr>
            <w:r>
              <w:rPr>
                <w:rFonts w:hint="eastAsia" w:ascii="var(--ff-body)" w:hAnsi="var(--ff-body)" w:eastAsia="var(--ff-body)" w:cs="var(--ff-body)"/>
                <w:b w:val="1"/>
              </w:rPr>
              <w:t>测度方式</w:t>
            </w:r>
          </w:p>
        </w:tc>
        <w:tc>
          <w:tcPr>
            <w:tcW w:w="2076" w:type="dxa"/>
            <w:tcBorders>
              <w:left w:val="single" w:sz="8"/>
              <w:right w:val="single" w:sz="8"/>
            </w:tcBorders>
            <w:tcMar/>
          </w:tcPr>
          <w:p w14:paraId="6E115311">
            <w:pPr>
              <w:jc w:val="left"/>
              <w:rPr>
                <w:b w:val="1"/>
                <w:bCs w:val="1"/>
              </w:rPr>
            </w:pPr>
            <w:r>
              <w:rPr>
                <w:rFonts w:hint="eastAsia" w:ascii="var(--ff-body)" w:hAnsi="var(--ff-body)" w:eastAsia="var(--ff-body)" w:cs="var(--ff-body)"/>
                <w:b w:val="1"/>
              </w:rPr>
              <w:t>预期方向</w:t>
            </w:r>
          </w:p>
        </w:tc>
      </w:tr>
      <w:tr>
        <w:trPr/>
        <w:tc>
          <w:tcPr>
            <w:tcW w:w="2076" w:type="dxa"/>
            <w:tcBorders>
              <w:left w:val="single" w:sz="8"/>
              <w:right w:val="single" w:sz="8"/>
            </w:tcBorders>
            <w:tcMar/>
          </w:tcPr>
          <w:p w14:paraId="32F333FD">
            <w:pPr>
              <w:jc w:val="left"/>
            </w:pPr>
            <w:r>
              <w:rPr>
                <w:rFonts w:ascii="var(--ff-body)" w:hAnsi="var(--ff-body)" w:eastAsia="var(--ff-body)" w:cs="var(--ff-body)"/>
              </w:rPr>
              <w:t>size</w:t>
            </w:r>
          </w:p>
        </w:tc>
        <w:tc>
          <w:tcPr>
            <w:tcW w:w="2076" w:type="dxa"/>
            <w:tcBorders>
              <w:left w:val="single" w:sz="8"/>
              <w:right w:val="single" w:sz="8"/>
            </w:tcBorders>
            <w:tcMar/>
          </w:tcPr>
          <w:p w14:paraId="67B80B5F">
            <w:pPr>
              <w:jc w:val="left"/>
            </w:pPr>
            <w:r>
              <w:rPr>
                <w:rFonts w:hint="eastAsia" w:ascii="var(--ff-body)" w:hAnsi="var(--ff-body)" w:eastAsia="var(--ff-body)" w:cs="var(--ff-body)"/>
              </w:rPr>
              <w:t>企业规模</w:t>
            </w:r>
          </w:p>
        </w:tc>
        <w:tc>
          <w:tcPr>
            <w:tcW w:w="2076" w:type="dxa"/>
            <w:tcBorders>
              <w:left w:val="single" w:sz="8"/>
              <w:right w:val="single" w:sz="8"/>
            </w:tcBorders>
            <w:tcMar/>
          </w:tcPr>
          <w:p w14:paraId="1564B8F4">
            <w:pPr>
              <w:jc w:val="left"/>
            </w:pPr>
            <w:r>
              <w:rPr>
                <w:rFonts w:hint="eastAsia" w:ascii="var(--ff-body)" w:hAnsi="var(--ff-body)" w:eastAsia="var(--ff-body)" w:cs="var(--ff-body)"/>
              </w:rPr>
              <w:t>总资产的自然对数</w:t>
            </w:r>
          </w:p>
        </w:tc>
        <w:tc>
          <w:tcPr>
            <w:tcW w:w="2076" w:type="dxa"/>
            <w:tcBorders>
              <w:left w:val="single" w:sz="8"/>
              <w:right w:val="single" w:sz="8"/>
            </w:tcBorders>
            <w:tcMar/>
          </w:tcPr>
          <w:p w14:paraId="1E481AC6">
            <w:pPr>
              <w:jc w:val="left"/>
            </w:pPr>
            <w:r>
              <w:rPr>
                <w:rFonts w:hint="eastAsia" w:ascii="var(--ff-body)" w:hAnsi="var(--ff-body)" w:eastAsia="var(--ff-body)" w:cs="var(--ff-body)"/>
              </w:rPr>
              <w:t>正向</w:t>
            </w:r>
          </w:p>
        </w:tc>
      </w:tr>
      <w:tr>
        <w:trPr/>
        <w:tc>
          <w:tcPr>
            <w:tcW w:w="2076" w:type="dxa"/>
            <w:tcBorders>
              <w:left w:val="single" w:sz="8"/>
              <w:right w:val="single" w:sz="8"/>
            </w:tcBorders>
            <w:tcMar/>
          </w:tcPr>
          <w:p w14:paraId="43012D45">
            <w:pPr>
              <w:jc w:val="left"/>
            </w:pPr>
            <w:r>
              <w:rPr>
                <w:rFonts w:ascii="var(--ff-body)" w:hAnsi="var(--ff-body)" w:eastAsia="var(--ff-body)" w:cs="var(--ff-body)"/>
              </w:rPr>
              <w:t>lev</w:t>
            </w:r>
          </w:p>
        </w:tc>
        <w:tc>
          <w:tcPr>
            <w:tcW w:w="2076" w:type="dxa"/>
            <w:tcBorders>
              <w:left w:val="single" w:sz="8"/>
              <w:right w:val="single" w:sz="8"/>
            </w:tcBorders>
            <w:tcMar/>
          </w:tcPr>
          <w:p w14:paraId="178125F2">
            <w:pPr>
              <w:jc w:val="left"/>
            </w:pPr>
            <w:r>
              <w:rPr>
                <w:rFonts w:hint="eastAsia" w:ascii="var(--ff-body)" w:hAnsi="var(--ff-body)" w:eastAsia="var(--ff-body)" w:cs="var(--ff-body)"/>
              </w:rPr>
              <w:t>资产负债率</w:t>
            </w:r>
          </w:p>
        </w:tc>
        <w:tc>
          <w:tcPr>
            <w:tcW w:w="2076" w:type="dxa"/>
            <w:tcBorders>
              <w:left w:val="single" w:sz="8"/>
              <w:right w:val="single" w:sz="8"/>
            </w:tcBorders>
            <w:tcMar/>
          </w:tcPr>
          <w:p w14:paraId="27972D6D">
            <w:pPr>
              <w:jc w:val="left"/>
            </w:pPr>
            <w:r>
              <w:rPr>
                <w:rFonts w:hint="eastAsia" w:ascii="var(--ff-body)" w:hAnsi="var(--ff-body)" w:eastAsia="var(--ff-body)" w:cs="var(--ff-body)"/>
              </w:rPr>
              <w:t>总负债/总资产</w:t>
            </w:r>
          </w:p>
        </w:tc>
        <w:tc>
          <w:tcPr>
            <w:tcW w:w="2076" w:type="dxa"/>
            <w:tcBorders>
              <w:left w:val="single" w:sz="8"/>
              <w:right w:val="single" w:sz="8"/>
            </w:tcBorders>
            <w:tcMar/>
          </w:tcPr>
          <w:p w14:paraId="20F64122">
            <w:pPr>
              <w:jc w:val="left"/>
            </w:pPr>
            <w:r>
              <w:rPr>
                <w:rFonts w:hint="eastAsia" w:ascii="var(--ff-body)" w:hAnsi="var(--ff-body)" w:eastAsia="var(--ff-body)" w:cs="var(--ff-body)"/>
              </w:rPr>
              <w:t>负向</w:t>
            </w:r>
          </w:p>
        </w:tc>
      </w:tr>
      <w:tr>
        <w:trPr/>
        <w:tc>
          <w:tcPr>
            <w:tcW w:w="2076" w:type="dxa"/>
            <w:tcBorders>
              <w:left w:val="single" w:sz="8"/>
              <w:right w:val="single" w:sz="8"/>
            </w:tcBorders>
            <w:tcMar/>
          </w:tcPr>
          <w:p w14:paraId="55979E15">
            <w:pPr>
              <w:jc w:val="left"/>
            </w:pPr>
            <w:r>
              <w:rPr>
                <w:rFonts w:ascii="var(--ff-body)" w:hAnsi="var(--ff-body)" w:eastAsia="var(--ff-body)" w:cs="var(--ff-body)"/>
              </w:rPr>
              <w:t>age</w:t>
            </w:r>
          </w:p>
        </w:tc>
        <w:tc>
          <w:tcPr>
            <w:tcW w:w="2076" w:type="dxa"/>
            <w:tcBorders>
              <w:left w:val="single" w:sz="8"/>
              <w:right w:val="single" w:sz="8"/>
            </w:tcBorders>
            <w:tcMar/>
          </w:tcPr>
          <w:p w14:paraId="1A248F74">
            <w:pPr>
              <w:jc w:val="left"/>
            </w:pPr>
            <w:r>
              <w:rPr>
                <w:rFonts w:hint="eastAsia" w:ascii="var(--ff-body)" w:hAnsi="var(--ff-body)" w:eastAsia="var(--ff-body)" w:cs="var(--ff-body)"/>
              </w:rPr>
              <w:t>企业年龄</w:t>
            </w:r>
          </w:p>
        </w:tc>
        <w:tc>
          <w:tcPr>
            <w:tcW w:w="2076" w:type="dxa"/>
            <w:tcBorders>
              <w:left w:val="single" w:sz="8"/>
              <w:right w:val="single" w:sz="8"/>
            </w:tcBorders>
            <w:tcMar/>
          </w:tcPr>
          <w:p w14:paraId="57C8078D">
            <w:pPr>
              <w:jc w:val="left"/>
            </w:pPr>
            <w:r>
              <w:rPr>
                <w:rFonts w:hint="eastAsia" w:ascii="var(--ff-body)" w:hAnsi="var(--ff-body)" w:eastAsia="var(--ff-body)" w:cs="var(--ff-body)"/>
              </w:rPr>
              <w:t>观测年份减成立年份</w:t>
            </w:r>
          </w:p>
        </w:tc>
        <w:tc>
          <w:tcPr>
            <w:tcW w:w="2076" w:type="dxa"/>
            <w:tcBorders>
              <w:left w:val="single" w:sz="8"/>
              <w:right w:val="single" w:sz="8"/>
            </w:tcBorders>
            <w:tcMar/>
          </w:tcPr>
          <w:p w14:paraId="7ED5CF7C">
            <w:pPr>
              <w:jc w:val="left"/>
            </w:pPr>
            <w:r>
              <w:rPr>
                <w:rFonts w:hint="eastAsia" w:ascii="var(--ff-body)" w:hAnsi="var(--ff-body)" w:eastAsia="var(--ff-body)" w:cs="var(--ff-body)"/>
              </w:rPr>
              <w:t>不确定</w:t>
            </w:r>
          </w:p>
        </w:tc>
      </w:tr>
      <w:tr>
        <w:trPr/>
        <w:tc>
          <w:tcPr>
            <w:tcW w:w="2076" w:type="dxa"/>
            <w:tcBorders>
              <w:left w:val="single" w:sz="8"/>
              <w:right w:val="single" w:sz="8"/>
            </w:tcBorders>
            <w:tcMar/>
          </w:tcPr>
          <w:p w14:paraId="05BC94AC">
            <w:pPr>
              <w:jc w:val="left"/>
            </w:pPr>
            <w:r>
              <w:rPr>
                <w:rFonts w:ascii="var(--ff-body)" w:hAnsi="var(--ff-body)" w:eastAsia="var(--ff-body)" w:cs="var(--ff-body)"/>
              </w:rPr>
              <w:t>rd</w:t>
            </w:r>
          </w:p>
        </w:tc>
        <w:tc>
          <w:tcPr>
            <w:tcW w:w="2076" w:type="dxa"/>
            <w:tcBorders>
              <w:left w:val="single" w:sz="8"/>
              <w:right w:val="single" w:sz="8"/>
            </w:tcBorders>
            <w:tcMar/>
          </w:tcPr>
          <w:p w14:paraId="77FC98A0">
            <w:pPr>
              <w:jc w:val="left"/>
            </w:pPr>
            <w:r>
              <w:rPr>
                <w:rFonts w:hint="eastAsia" w:ascii="var(--ff-body)" w:hAnsi="var(--ff-body)" w:eastAsia="var(--ff-body)" w:cs="var(--ff-body)"/>
              </w:rPr>
              <w:t>研发投入强度</w:t>
            </w:r>
          </w:p>
        </w:tc>
        <w:tc>
          <w:tcPr>
            <w:tcW w:w="2076" w:type="dxa"/>
            <w:tcBorders>
              <w:left w:val="single" w:sz="8"/>
              <w:right w:val="single" w:sz="8"/>
            </w:tcBorders>
            <w:tcMar/>
          </w:tcPr>
          <w:p w14:paraId="439369F3">
            <w:pPr>
              <w:jc w:val="left"/>
            </w:pPr>
            <w:r>
              <w:rPr>
                <w:rFonts w:hint="eastAsia" w:ascii="var(--ff-body)" w:hAnsi="var(--ff-body)" w:eastAsia="var(--ff-body)" w:cs="var(--ff-body)"/>
              </w:rPr>
              <w:t>研发支出/营业收入</w:t>
            </w:r>
          </w:p>
        </w:tc>
        <w:tc>
          <w:tcPr>
            <w:tcW w:w="2076" w:type="dxa"/>
            <w:tcBorders>
              <w:left w:val="single" w:sz="8"/>
              <w:right w:val="single" w:sz="8"/>
            </w:tcBorders>
            <w:tcMar/>
          </w:tcPr>
          <w:p w14:paraId="4D4ACDC9">
            <w:pPr>
              <w:jc w:val="left"/>
            </w:pPr>
            <w:r>
              <w:rPr>
                <w:rFonts w:hint="eastAsia" w:ascii="var(--ff-body)" w:hAnsi="var(--ff-body)" w:eastAsia="var(--ff-body)" w:cs="var(--ff-body)"/>
              </w:rPr>
              <w:t>正向</w:t>
            </w:r>
          </w:p>
        </w:tc>
      </w:tr>
    </w:tbl>
    <w:p w14:paraId="19A5D4D8">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（四）模型设定</w:t>
      </w:r>
    </w:p>
    <w:p w14:paraId="307EB8B9">
      <w:pPr>
        <w:spacing w:after="0"/>
        <w:ind w:firstLine="480"/>
      </w:pPr>
      <w:r>
        <w:rPr>
          <w:rFonts w:hint="eastAsia" w:ascii="var(--ff-body)" w:hAnsi="var(--ff-body)" w:eastAsia="var(--ff-body)" w:cs="var(--ff-body)"/>
        </w:rPr>
        <w:t>为检验数字化转型对企业绩效的影响，本文构建如下多元回归模型：</w:t>
      </w:r>
    </w:p>
    <w:p w14:paraId="6E679834">
      <w:pPr>
        <w:spacing w:after="0"/>
      </w:pPr>
      <w:r>
        <w:rPr>
          <w:rFonts w:ascii="var(--ff-body)" w:hAnsi="var(--ff-body)" w:eastAsia="var(--ff-body)" w:cs="var(--ff-body)"/>
        </w:rPr>
        <w:t>ROA_it = β₀ + β₁·DT_c,it + β₂·size_c,it + β₃·lev_it + β₄·age_it + β₅·rd_it + ε_it</w:t>
      </w:r>
    </w:p>
    <w:p w14:paraId="0F2ECC83">
      <w:pPr>
        <w:spacing w:after="0"/>
        <w:ind w:firstLine="480"/>
      </w:pPr>
      <w:r>
        <w:rPr>
          <w:rFonts w:hint="eastAsia" w:ascii="var(--ff-body)" w:hAnsi="var(--ff-body)" w:eastAsia="var(--ff-body)" w:cs="var(--ff-body)"/>
        </w:rPr>
        <w:t>其中，下标 i 表示企业、t 表示年份；DT_c 与 size_c 分别为经中心化处理后的数字化转型指数与企业规模，以缓解多重共线性并便于解释常数项的经济含义；ε 为随机扰动项。</w:t>
      </w:r>
    </w:p>
    <w:p w14:paraId="304872DE">
      <w:pPr>
        <w:spacing w:after="0"/>
        <w:ind w:firstLine="480"/>
      </w:pPr>
      <w:r>
        <w:rPr>
          <w:rFonts w:hint="eastAsia" w:ascii="var(--ff-body)" w:hAnsi="var(--ff-body)" w:eastAsia="var(--ff-body)" w:cs="var(--ff-body)"/>
          <w:b w:val="1"/>
        </w:rPr>
        <w:t>系数解释</w:t>
      </w:r>
      <w:r>
        <w:rPr>
          <w:rFonts w:hint="eastAsia" w:ascii="var(--ff-body)" w:hAnsi="var(--ff-body)" w:eastAsia="var(--ff-body)" w:cs="var(--ff-body)"/>
        </w:rPr>
        <w:t>：β₁ 为核心关注参数，若显著为正，则支持数字化转型促进绩效的假设；β₃ 若显著为负，则验证财务杠杆的抑制作用。</w:t>
      </w:r>
    </w:p>
    <w:p w14:paraId="222F329A">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（五）分析流程</w:t>
      </w:r>
    </w:p>
    <w:p w14:paraId="06ACBB83">
      <w:pPr>
        <w:spacing w:after="0"/>
        <w:ind w:firstLine="480"/>
      </w:pPr>
      <w:r>
        <w:rPr>
          <w:rFonts w:hint="eastAsia" w:ascii="var(--ff-body)" w:hAnsi="var(--ff-body)" w:eastAsia="var(--ff-body)" w:cs="var(--ff-body)"/>
        </w:rPr>
        <w:t>本文的分析严格遵循五步流水线：</w:t>
      </w:r>
    </w:p>
    <w:p w14:paraId="5FC83DB0">
      <w:pPr>
        <w:numPr>
          <w:ilvl w:val="0"/>
          <w:numId w:val="4"/>
        </w:numPr>
        <w:spacing w:after="0"/>
      </w:pPr>
      <w:r>
        <w:rPr>
          <w:rFonts w:hint="eastAsia" w:ascii="var(--ff-body)" w:hAnsi="var(--ff-body)" w:eastAsia="var(--ff-body)" w:cs="var(--ff-body)"/>
          <w:b w:val="1"/>
        </w:rPr>
        <w:t>数据加载（Step 1）</w:t>
      </w:r>
      <w:r>
        <w:rPr>
          <w:rFonts w:hint="eastAsia" w:ascii="var(--ff-body)" w:hAnsi="var(--ff-body)" w:eastAsia="var(--ff-body)" w:cs="var(--ff-body)"/>
        </w:rPr>
        <w:t>：读取面板数据，检查数据维度与完整性。</w:t>
      </w:r>
    </w:p>
    <w:p w14:paraId="3C56AD02">
      <w:pPr>
        <w:numPr>
          <w:ilvl w:val="0"/>
          <w:numId w:val="4"/>
        </w:numPr>
        <w:spacing w:after="0"/>
      </w:pPr>
      <w:r>
        <w:rPr>
          <w:rFonts w:hint="eastAsia" w:ascii="var(--ff-body)" w:hAnsi="var(--ff-body)" w:eastAsia="var(--ff-body)" w:cs="var(--ff-body)"/>
          <w:b w:val="1"/>
        </w:rPr>
        <w:t>数据清洗（Step 2）</w:t>
      </w:r>
      <w:r>
        <w:rPr>
          <w:rFonts w:hint="eastAsia" w:ascii="var(--ff-body)" w:hAnsi="var(--ff-body)" w:eastAsia="var(--ff-body)" w:cs="var(--ff-body)"/>
        </w:rPr>
        <w:t>：对连续变量进行1%/99%分位的缩尾（Winsorize）处理，剔除极端值影响。</w:t>
      </w:r>
    </w:p>
    <w:p w14:paraId="54730853">
      <w:pPr>
        <w:numPr>
          <w:ilvl w:val="0"/>
          <w:numId w:val="4"/>
        </w:numPr>
        <w:spacing w:after="0"/>
      </w:pPr>
      <w:r>
        <w:rPr>
          <w:rFonts w:hint="eastAsia" w:ascii="var(--ff-body)" w:hAnsi="var(--ff-body)" w:eastAsia="var(--ff-body)" w:cs="var(--ff-body)"/>
          <w:b w:val="1"/>
        </w:rPr>
        <w:t>变量构建（Step 3）</w:t>
      </w:r>
      <w:r>
        <w:rPr>
          <w:rFonts w:hint="eastAsia" w:ascii="var(--ff-body)" w:hAnsi="var(--ff-body)" w:eastAsia="var(--ff-body)" w:cs="var(--ff-body)"/>
        </w:rPr>
        <w:t>：计算量表题项均值、构建中心化变量。</w:t>
      </w:r>
    </w:p>
    <w:p w14:paraId="2D2F0584">
      <w:pPr>
        <w:numPr>
          <w:ilvl w:val="0"/>
          <w:numId w:val="4"/>
        </w:numPr>
        <w:spacing w:after="0"/>
      </w:pPr>
      <w:r>
        <w:rPr>
          <w:rFonts w:hint="eastAsia" w:ascii="var(--ff-body)" w:hAnsi="var(--ff-body)" w:eastAsia="var(--ff-body)" w:cs="var(--ff-body)"/>
          <w:b w:val="1"/>
        </w:rPr>
        <w:t>信效度检验（Step 4）</w:t>
      </w:r>
      <w:r>
        <w:rPr>
          <w:rFonts w:hint="eastAsia" w:ascii="var(--ff-body)" w:hAnsi="var(--ff-body)" w:eastAsia="var(--ff-body)" w:cs="var(--ff-body)"/>
        </w:rPr>
        <w:t>：计算Cronbach's α、题项-总分相关（CITC）与KMO值。</w:t>
      </w:r>
    </w:p>
    <w:p w14:paraId="4014964B">
      <w:pPr>
        <w:numPr>
          <w:ilvl w:val="0"/>
          <w:numId w:val="4"/>
        </w:numPr>
        <w:spacing w:after="0"/>
      </w:pPr>
      <w:r>
        <w:rPr>
          <w:rFonts w:hint="eastAsia" w:ascii="var(--ff-body)" w:hAnsi="var(--ff-body)" w:eastAsia="var(--ff-body)" w:cs="var(--ff-body)"/>
          <w:b w:val="1"/>
        </w:rPr>
        <w:t>回归分析（Step 5）</w:t>
      </w:r>
      <w:r>
        <w:rPr>
          <w:rFonts w:hint="eastAsia" w:ascii="var(--ff-body)" w:hAnsi="var(--ff-body)" w:eastAsia="var(--ff-body)" w:cs="var(--ff-body)"/>
        </w:rPr>
        <w:t>：运用OLS估计多元回归模型，输出系数、标准误、t值与显著性水平，并计算R²。</w:t>
      </w:r>
    </w:p>
    <w:p w14:paraId="179DADF6">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三、实证分析</w:t>
      </w:r>
    </w:p>
    <w:p w14:paraId="27815A64">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（一）描述性统计</w:t>
      </w:r>
    </w:p>
    <w:p w14:paraId="61BC6B80">
      <w:pPr>
        <w:spacing w:after="0"/>
        <w:ind w:firstLine="480"/>
      </w:pPr>
      <w:r>
        <w:rPr>
          <w:rFonts w:hint="eastAsia" w:ascii="var(--ff-body)" w:hAnsi="var(--ff-body)" w:eastAsia="var(--ff-body)" w:cs="var(--ff-body)"/>
        </w:rPr>
        <w:t>表2报告了主要变量的描述性统计结果。</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1384"/>
        <w:gridCol w:w="1384"/>
        <w:gridCol w:w="1384"/>
        <w:gridCol w:w="1384"/>
        <w:gridCol w:w="1384"/>
        <w:gridCol w:w="1384"/>
      </w:tblGrid>
      <w:tr>
        <w:trPr>
          <w:tblHeader w:val="1"/>
        </w:trPr>
        <w:tc>
          <w:tcPr>
            <w:tcW w:w="1384" w:type="dxa"/>
            <w:tcBorders>
              <w:left w:val="single" w:sz="8"/>
              <w:right w:val="single" w:sz="8"/>
            </w:tcBorders>
            <w:tcMar/>
          </w:tcPr>
          <w:p w14:paraId="0ECA72FE">
            <w:r>
              <w:rPr>
                <w:rFonts w:hint="eastAsia" w:ascii="var(--ff-body)" w:hAnsi="var(--ff-body)" w:eastAsia="var(--ff-body)" w:cs="var(--ff-body)"/>
                <w:b w:val="1"/>
              </w:rPr>
              <w:t>表2　主要变量描述性统计（N=1500）</w:t>
            </w:r>
          </w:p>
          <w:p w14:paraId="55313C2F">
            <w:pPr>
              <w:jc w:val="left"/>
              <w:rPr>
                <w:b w:val="1"/>
                <w:bCs w:val="1"/>
              </w:rPr>
            </w:pPr>
            <w:r>
              <w:rPr>
                <w:rFonts w:hint="eastAsia" w:ascii="var(--ff-body)" w:hAnsi="var(--ff-body)" w:eastAsia="var(--ff-body)" w:cs="var(--ff-body)"/>
                <w:b w:val="1"/>
              </w:rPr>
              <w:t>变量</w:t>
            </w:r>
          </w:p>
        </w:tc>
        <w:tc>
          <w:tcPr>
            <w:tcW w:w="1384" w:type="dxa"/>
            <w:tcBorders>
              <w:left w:val="single" w:sz="8"/>
              <w:right w:val="single" w:sz="8"/>
            </w:tcBorders>
            <w:tcMar/>
          </w:tcPr>
          <w:p w14:paraId="525A926D">
            <w:pPr>
              <w:jc w:val="left"/>
              <w:rPr>
                <w:b w:val="1"/>
                <w:bCs w:val="1"/>
              </w:rPr>
            </w:pPr>
            <w:r>
              <w:rPr>
                <w:rFonts w:hint="eastAsia" w:ascii="var(--ff-body)" w:hAnsi="var(--ff-body)" w:eastAsia="var(--ff-body)" w:cs="var(--ff-body)"/>
                <w:b w:val="1"/>
              </w:rPr>
              <w:t>均值</w:t>
            </w:r>
          </w:p>
        </w:tc>
        <w:tc>
          <w:tcPr>
            <w:tcW w:w="1384" w:type="dxa"/>
            <w:tcBorders>
              <w:left w:val="single" w:sz="8"/>
              <w:right w:val="single" w:sz="8"/>
            </w:tcBorders>
            <w:tcMar/>
          </w:tcPr>
          <w:p w14:paraId="652345B4">
            <w:pPr>
              <w:jc w:val="left"/>
              <w:rPr>
                <w:b w:val="1"/>
                <w:bCs w:val="1"/>
              </w:rPr>
            </w:pPr>
            <w:r>
              <w:rPr>
                <w:rFonts w:hint="eastAsia" w:ascii="var(--ff-body)" w:hAnsi="var(--ff-body)" w:eastAsia="var(--ff-body)" w:cs="var(--ff-body)"/>
                <w:b w:val="1"/>
              </w:rPr>
              <w:t>标准差</w:t>
            </w:r>
          </w:p>
        </w:tc>
        <w:tc>
          <w:tcPr>
            <w:tcW w:w="1384" w:type="dxa"/>
            <w:tcBorders>
              <w:left w:val="single" w:sz="8"/>
              <w:right w:val="single" w:sz="8"/>
            </w:tcBorders>
            <w:tcMar/>
          </w:tcPr>
          <w:p w14:paraId="0C330DC4">
            <w:pPr>
              <w:jc w:val="left"/>
              <w:rPr>
                <w:b w:val="1"/>
                <w:bCs w:val="1"/>
              </w:rPr>
            </w:pPr>
            <w:r>
              <w:rPr>
                <w:rFonts w:hint="eastAsia" w:ascii="var(--ff-body)" w:hAnsi="var(--ff-body)" w:eastAsia="var(--ff-body)" w:cs="var(--ff-body)"/>
                <w:b w:val="1"/>
              </w:rPr>
              <w:t>最小值</w:t>
            </w:r>
          </w:p>
        </w:tc>
        <w:tc>
          <w:tcPr>
            <w:tcW w:w="1384" w:type="dxa"/>
            <w:tcBorders>
              <w:left w:val="single" w:sz="8"/>
              <w:right w:val="single" w:sz="8"/>
            </w:tcBorders>
            <w:tcMar/>
          </w:tcPr>
          <w:p w14:paraId="17037144">
            <w:pPr>
              <w:jc w:val="left"/>
              <w:rPr>
                <w:b w:val="1"/>
                <w:bCs w:val="1"/>
              </w:rPr>
            </w:pPr>
            <w:r>
              <w:rPr>
                <w:rFonts w:hint="eastAsia" w:ascii="var(--ff-body)" w:hAnsi="var(--ff-body)" w:eastAsia="var(--ff-body)" w:cs="var(--ff-body)"/>
                <w:b w:val="1"/>
              </w:rPr>
              <w:t>中位数</w:t>
            </w:r>
          </w:p>
        </w:tc>
        <w:tc>
          <w:tcPr>
            <w:tcW w:w="1384" w:type="dxa"/>
            <w:tcBorders>
              <w:left w:val="single" w:sz="8"/>
              <w:right w:val="single" w:sz="8"/>
            </w:tcBorders>
            <w:tcMar/>
          </w:tcPr>
          <w:p w14:paraId="3EFCF85B">
            <w:pPr>
              <w:jc w:val="left"/>
              <w:rPr>
                <w:b w:val="1"/>
                <w:bCs w:val="1"/>
              </w:rPr>
            </w:pPr>
            <w:r>
              <w:rPr>
                <w:rFonts w:hint="eastAsia" w:ascii="var(--ff-body)" w:hAnsi="var(--ff-body)" w:eastAsia="var(--ff-body)" w:cs="var(--ff-body)"/>
                <w:b w:val="1"/>
              </w:rPr>
              <w:t>最大值</w:t>
            </w:r>
          </w:p>
        </w:tc>
      </w:tr>
      <w:tr>
        <w:trPr/>
        <w:tc>
          <w:tcPr>
            <w:tcW w:w="1384" w:type="dxa"/>
            <w:tcBorders>
              <w:left w:val="single" w:sz="8"/>
              <w:right w:val="single" w:sz="8"/>
            </w:tcBorders>
            <w:tcMar/>
          </w:tcPr>
          <w:p w14:paraId="0A91072C">
            <w:pPr>
              <w:jc w:val="left"/>
            </w:pPr>
            <w:r>
              <w:rPr>
                <w:rFonts w:ascii="var(--ff-body)" w:hAnsi="var(--ff-body)" w:eastAsia="var(--ff-body)" w:cs="var(--ff-body)"/>
              </w:rPr>
              <w:t>DT_index</w:t>
            </w:r>
          </w:p>
        </w:tc>
        <w:tc>
          <w:tcPr>
            <w:tcW w:w="1384" w:type="dxa"/>
            <w:tcBorders>
              <w:left w:val="single" w:sz="8"/>
              <w:right w:val="single" w:sz="8"/>
            </w:tcBorders>
            <w:tcMar/>
          </w:tcPr>
          <w:p w14:paraId="78262728">
            <w:pPr>
              <w:jc w:val="left"/>
            </w:pPr>
            <w:r>
              <w:rPr>
                <w:rFonts w:ascii="var(--ff-body)" w:hAnsi="var(--ff-body)" w:eastAsia="var(--ff-body)" w:cs="var(--ff-body)"/>
              </w:rPr>
              <w:t>1.1964</w:t>
            </w:r>
          </w:p>
        </w:tc>
        <w:tc>
          <w:tcPr>
            <w:tcW w:w="1384" w:type="dxa"/>
            <w:tcBorders>
              <w:left w:val="single" w:sz="8"/>
              <w:right w:val="single" w:sz="8"/>
            </w:tcBorders>
            <w:tcMar/>
          </w:tcPr>
          <w:p w14:paraId="6EE74734">
            <w:pPr>
              <w:jc w:val="left"/>
            </w:pPr>
            <w:r>
              <w:rPr>
                <w:rFonts w:ascii="var(--ff-body)" w:hAnsi="var(--ff-body)" w:eastAsia="var(--ff-body)" w:cs="var(--ff-body)"/>
              </w:rPr>
              <w:t>0.7206</w:t>
            </w:r>
          </w:p>
        </w:tc>
        <w:tc>
          <w:tcPr>
            <w:tcW w:w="1384" w:type="dxa"/>
            <w:tcBorders>
              <w:left w:val="single" w:sz="8"/>
              <w:right w:val="single" w:sz="8"/>
            </w:tcBorders>
            <w:tcMar/>
          </w:tcPr>
          <w:p w14:paraId="5C97A703">
            <w:pPr>
              <w:jc w:val="left"/>
            </w:pPr>
            <w:r>
              <w:rPr>
                <w:rFonts w:ascii="var(--ff-body)" w:hAnsi="var(--ff-body)" w:eastAsia="var(--ff-body)" w:cs="var(--ff-body)"/>
              </w:rPr>
              <w:t>0.0000</w:t>
            </w:r>
          </w:p>
        </w:tc>
        <w:tc>
          <w:tcPr>
            <w:tcW w:w="1384" w:type="dxa"/>
            <w:tcBorders>
              <w:left w:val="single" w:sz="8"/>
              <w:right w:val="single" w:sz="8"/>
            </w:tcBorders>
            <w:tcMar/>
          </w:tcPr>
          <w:p w14:paraId="4D56F93F">
            <w:pPr>
              <w:jc w:val="left"/>
            </w:pPr>
            <w:r>
              <w:rPr>
                <w:rFonts w:ascii="var(--ff-body)" w:hAnsi="var(--ff-body)" w:eastAsia="var(--ff-body)" w:cs="var(--ff-body)"/>
              </w:rPr>
              <w:t>1.1663</w:t>
            </w:r>
          </w:p>
        </w:tc>
        <w:tc>
          <w:tcPr>
            <w:tcW w:w="1384" w:type="dxa"/>
            <w:tcBorders>
              <w:left w:val="single" w:sz="8"/>
              <w:right w:val="single" w:sz="8"/>
            </w:tcBorders>
            <w:tcMar/>
          </w:tcPr>
          <w:p w14:paraId="3301B53B">
            <w:pPr>
              <w:jc w:val="left"/>
            </w:pPr>
            <w:r>
              <w:rPr>
                <w:rFonts w:ascii="var(--ff-body)" w:hAnsi="var(--ff-body)" w:eastAsia="var(--ff-body)" w:cs="var(--ff-body)"/>
              </w:rPr>
              <w:t>3.0013</w:t>
            </w:r>
          </w:p>
        </w:tc>
      </w:tr>
      <w:tr>
        <w:trPr/>
        <w:tc>
          <w:tcPr>
            <w:tcW w:w="1384" w:type="dxa"/>
            <w:tcBorders>
              <w:left w:val="single" w:sz="8"/>
              <w:right w:val="single" w:sz="8"/>
            </w:tcBorders>
            <w:tcMar/>
          </w:tcPr>
          <w:p w14:paraId="647589E6">
            <w:pPr>
              <w:jc w:val="left"/>
            </w:pPr>
            <w:r>
              <w:rPr>
                <w:rFonts w:ascii="var(--ff-body)" w:hAnsi="var(--ff-body)" w:eastAsia="var(--ff-body)" w:cs="var(--ff-body)"/>
              </w:rPr>
              <w:t>ROA</w:t>
            </w:r>
          </w:p>
        </w:tc>
        <w:tc>
          <w:tcPr>
            <w:tcW w:w="1384" w:type="dxa"/>
            <w:tcBorders>
              <w:left w:val="single" w:sz="8"/>
              <w:right w:val="single" w:sz="8"/>
            </w:tcBorders>
            <w:tcMar/>
          </w:tcPr>
          <w:p w14:paraId="6A02D452">
            <w:pPr>
              <w:jc w:val="left"/>
            </w:pPr>
            <w:r>
              <w:rPr>
                <w:rFonts w:ascii="var(--ff-body)" w:hAnsi="var(--ff-body)" w:eastAsia="var(--ff-body)" w:cs="var(--ff-body)"/>
              </w:rPr>
              <w:t>0.0655</w:t>
            </w:r>
          </w:p>
        </w:tc>
        <w:tc>
          <w:tcPr>
            <w:tcW w:w="1384" w:type="dxa"/>
            <w:tcBorders>
              <w:left w:val="single" w:sz="8"/>
              <w:right w:val="single" w:sz="8"/>
            </w:tcBorders>
            <w:tcMar/>
          </w:tcPr>
          <w:p w14:paraId="58FBD0CE">
            <w:pPr>
              <w:jc w:val="left"/>
            </w:pPr>
            <w:r>
              <w:rPr>
                <w:rFonts w:ascii="var(--ff-body)" w:hAnsi="var(--ff-body)" w:eastAsia="var(--ff-body)" w:cs="var(--ff-body)"/>
              </w:rPr>
              <w:t>0.0307</w:t>
            </w:r>
          </w:p>
        </w:tc>
        <w:tc>
          <w:tcPr>
            <w:tcW w:w="1384" w:type="dxa"/>
            <w:tcBorders>
              <w:left w:val="single" w:sz="8"/>
              <w:right w:val="single" w:sz="8"/>
            </w:tcBorders>
            <w:tcMar/>
          </w:tcPr>
          <w:p w14:paraId="68EA2858">
            <w:pPr>
              <w:jc w:val="left"/>
            </w:pPr>
            <w:r>
              <w:rPr>
                <w:rFonts w:ascii="var(--ff-body)" w:hAnsi="var(--ff-body)" w:eastAsia="var(--ff-body)" w:cs="var(--ff-body)"/>
              </w:rPr>
              <w:t>-0.0051</w:t>
            </w:r>
          </w:p>
        </w:tc>
        <w:tc>
          <w:tcPr>
            <w:tcW w:w="1384" w:type="dxa"/>
            <w:tcBorders>
              <w:left w:val="single" w:sz="8"/>
              <w:right w:val="single" w:sz="8"/>
            </w:tcBorders>
            <w:tcMar/>
          </w:tcPr>
          <w:p w14:paraId="5EA543D4">
            <w:pPr>
              <w:jc w:val="left"/>
            </w:pPr>
            <w:r>
              <w:rPr>
                <w:rFonts w:ascii="var(--ff-body)" w:hAnsi="var(--ff-body)" w:eastAsia="var(--ff-body)" w:cs="var(--ff-body)"/>
              </w:rPr>
              <w:t>0.0652</w:t>
            </w:r>
          </w:p>
        </w:tc>
        <w:tc>
          <w:tcPr>
            <w:tcW w:w="1384" w:type="dxa"/>
            <w:tcBorders>
              <w:left w:val="single" w:sz="8"/>
              <w:right w:val="single" w:sz="8"/>
            </w:tcBorders>
            <w:tcMar/>
          </w:tcPr>
          <w:p w14:paraId="4F75A061">
            <w:pPr>
              <w:jc w:val="left"/>
            </w:pPr>
            <w:r>
              <w:rPr>
                <w:rFonts w:ascii="var(--ff-body)" w:hAnsi="var(--ff-body)" w:eastAsia="var(--ff-body)" w:cs="var(--ff-body)"/>
              </w:rPr>
              <w:t>0.1421</w:t>
            </w:r>
          </w:p>
        </w:tc>
      </w:tr>
      <w:tr>
        <w:trPr/>
        <w:tc>
          <w:tcPr>
            <w:tcW w:w="1384" w:type="dxa"/>
            <w:tcBorders>
              <w:left w:val="single" w:sz="8"/>
              <w:right w:val="single" w:sz="8"/>
            </w:tcBorders>
            <w:tcMar/>
          </w:tcPr>
          <w:p w14:paraId="13FCA0FD">
            <w:pPr>
              <w:jc w:val="left"/>
            </w:pPr>
            <w:r>
              <w:rPr>
                <w:rFonts w:ascii="var(--ff-body)" w:hAnsi="var(--ff-body)" w:eastAsia="var(--ff-body)" w:cs="var(--ff-body)"/>
              </w:rPr>
              <w:t>size</w:t>
            </w:r>
          </w:p>
        </w:tc>
        <w:tc>
          <w:tcPr>
            <w:tcW w:w="1384" w:type="dxa"/>
            <w:tcBorders>
              <w:left w:val="single" w:sz="8"/>
              <w:right w:val="single" w:sz="8"/>
            </w:tcBorders>
            <w:tcMar/>
          </w:tcPr>
          <w:p w14:paraId="2387A809">
            <w:pPr>
              <w:jc w:val="left"/>
            </w:pPr>
            <w:r>
              <w:rPr>
                <w:rFonts w:ascii="var(--ff-body)" w:hAnsi="var(--ff-body)" w:eastAsia="var(--ff-body)" w:cs="var(--ff-body)"/>
              </w:rPr>
              <w:t>21.9366</w:t>
            </w:r>
          </w:p>
        </w:tc>
        <w:tc>
          <w:tcPr>
            <w:tcW w:w="1384" w:type="dxa"/>
            <w:tcBorders>
              <w:left w:val="single" w:sz="8"/>
              <w:right w:val="single" w:sz="8"/>
            </w:tcBorders>
            <w:tcMar/>
          </w:tcPr>
          <w:p w14:paraId="10385405">
            <w:pPr>
              <w:jc w:val="left"/>
            </w:pPr>
            <w:r>
              <w:rPr>
                <w:rFonts w:ascii="var(--ff-body)" w:hAnsi="var(--ff-body)" w:eastAsia="var(--ff-body)" w:cs="var(--ff-body)"/>
              </w:rPr>
              <w:t>1.2209</w:t>
            </w:r>
          </w:p>
        </w:tc>
        <w:tc>
          <w:tcPr>
            <w:tcW w:w="1384" w:type="dxa"/>
            <w:tcBorders>
              <w:left w:val="single" w:sz="8"/>
              <w:right w:val="single" w:sz="8"/>
            </w:tcBorders>
            <w:tcMar/>
          </w:tcPr>
          <w:p w14:paraId="202E3C95">
            <w:pPr>
              <w:jc w:val="left"/>
            </w:pPr>
            <w:r>
              <w:rPr>
                <w:rFonts w:ascii="var(--ff-body)" w:hAnsi="var(--ff-body)" w:eastAsia="var(--ff-body)" w:cs="var(--ff-body)"/>
              </w:rPr>
              <w:t>19.2628</w:t>
            </w:r>
          </w:p>
        </w:tc>
        <w:tc>
          <w:tcPr>
            <w:tcW w:w="1384" w:type="dxa"/>
            <w:tcBorders>
              <w:left w:val="single" w:sz="8"/>
              <w:right w:val="single" w:sz="8"/>
            </w:tcBorders>
            <w:tcMar/>
          </w:tcPr>
          <w:p w14:paraId="3015E721">
            <w:pPr>
              <w:jc w:val="left"/>
            </w:pPr>
            <w:r>
              <w:rPr>
                <w:rFonts w:ascii="var(--ff-body)" w:hAnsi="var(--ff-body)" w:eastAsia="var(--ff-body)" w:cs="var(--ff-body)"/>
              </w:rPr>
              <w:t>21.8888</w:t>
            </w:r>
          </w:p>
        </w:tc>
        <w:tc>
          <w:tcPr>
            <w:tcW w:w="1384" w:type="dxa"/>
            <w:tcBorders>
              <w:left w:val="single" w:sz="8"/>
              <w:right w:val="single" w:sz="8"/>
            </w:tcBorders>
            <w:tcMar/>
          </w:tcPr>
          <w:p w14:paraId="4002EF52">
            <w:pPr>
              <w:jc w:val="left"/>
            </w:pPr>
            <w:r>
              <w:rPr>
                <w:rFonts w:ascii="var(--ff-body)" w:hAnsi="var(--ff-body)" w:eastAsia="var(--ff-body)" w:cs="var(--ff-body)"/>
              </w:rPr>
              <w:t>24.8876</w:t>
            </w:r>
          </w:p>
        </w:tc>
      </w:tr>
      <w:tr>
        <w:trPr/>
        <w:tc>
          <w:tcPr>
            <w:tcW w:w="1384" w:type="dxa"/>
            <w:tcBorders>
              <w:left w:val="single" w:sz="8"/>
              <w:right w:val="single" w:sz="8"/>
            </w:tcBorders>
            <w:tcMar/>
          </w:tcPr>
          <w:p w14:paraId="0ACA7FC8">
            <w:pPr>
              <w:jc w:val="left"/>
            </w:pPr>
            <w:r>
              <w:rPr>
                <w:rFonts w:ascii="var(--ff-body)" w:hAnsi="var(--ff-body)" w:eastAsia="var(--ff-body)" w:cs="var(--ff-body)"/>
              </w:rPr>
              <w:t>lev</w:t>
            </w:r>
          </w:p>
        </w:tc>
        <w:tc>
          <w:tcPr>
            <w:tcW w:w="1384" w:type="dxa"/>
            <w:tcBorders>
              <w:left w:val="single" w:sz="8"/>
              <w:right w:val="single" w:sz="8"/>
            </w:tcBorders>
            <w:tcMar/>
          </w:tcPr>
          <w:p w14:paraId="7B03BC44">
            <w:pPr>
              <w:jc w:val="left"/>
            </w:pPr>
            <w:r>
              <w:rPr>
                <w:rFonts w:ascii="var(--ff-body)" w:hAnsi="var(--ff-body)" w:eastAsia="var(--ff-body)" w:cs="var(--ff-body)"/>
              </w:rPr>
              <w:t>0.4189</w:t>
            </w:r>
          </w:p>
        </w:tc>
        <w:tc>
          <w:tcPr>
            <w:tcW w:w="1384" w:type="dxa"/>
            <w:tcBorders>
              <w:left w:val="single" w:sz="8"/>
              <w:right w:val="single" w:sz="8"/>
            </w:tcBorders>
            <w:tcMar/>
          </w:tcPr>
          <w:p w14:paraId="6948F8F0">
            <w:pPr>
              <w:jc w:val="left"/>
            </w:pPr>
            <w:r>
              <w:rPr>
                <w:rFonts w:ascii="var(--ff-body)" w:hAnsi="var(--ff-body)" w:eastAsia="var(--ff-body)" w:cs="var(--ff-body)"/>
              </w:rPr>
              <w:t>0.1532</w:t>
            </w:r>
          </w:p>
        </w:tc>
        <w:tc>
          <w:tcPr>
            <w:tcW w:w="1384" w:type="dxa"/>
            <w:tcBorders>
              <w:left w:val="single" w:sz="8"/>
              <w:right w:val="single" w:sz="8"/>
            </w:tcBorders>
            <w:tcMar/>
          </w:tcPr>
          <w:p w14:paraId="5FB13C7C">
            <w:pPr>
              <w:jc w:val="left"/>
            </w:pPr>
            <w:r>
              <w:rPr>
                <w:rFonts w:ascii="var(--ff-body)" w:hAnsi="var(--ff-body)" w:eastAsia="var(--ff-body)" w:cs="var(--ff-body)"/>
              </w:rPr>
              <w:t>0.0645</w:t>
            </w:r>
          </w:p>
        </w:tc>
        <w:tc>
          <w:tcPr>
            <w:tcW w:w="1384" w:type="dxa"/>
            <w:tcBorders>
              <w:left w:val="single" w:sz="8"/>
              <w:right w:val="single" w:sz="8"/>
            </w:tcBorders>
            <w:tcMar/>
          </w:tcPr>
          <w:p w14:paraId="4DE671F8">
            <w:pPr>
              <w:jc w:val="left"/>
            </w:pPr>
            <w:r>
              <w:rPr>
                <w:rFonts w:ascii="var(--ff-body)" w:hAnsi="var(--ff-body)" w:eastAsia="var(--ff-body)" w:cs="var(--ff-body)"/>
              </w:rPr>
              <w:t>0.4135</w:t>
            </w:r>
          </w:p>
        </w:tc>
        <w:tc>
          <w:tcPr>
            <w:tcW w:w="1384" w:type="dxa"/>
            <w:tcBorders>
              <w:left w:val="single" w:sz="8"/>
              <w:right w:val="single" w:sz="8"/>
            </w:tcBorders>
            <w:tcMar/>
          </w:tcPr>
          <w:p w14:paraId="32273C74">
            <w:pPr>
              <w:jc w:val="left"/>
            </w:pPr>
            <w:r>
              <w:rPr>
                <w:rFonts w:ascii="var(--ff-body)" w:hAnsi="var(--ff-body)" w:eastAsia="var(--ff-body)" w:cs="var(--ff-body)"/>
              </w:rPr>
              <w:t>0.7724</w:t>
            </w:r>
          </w:p>
        </w:tc>
      </w:tr>
      <w:tr>
        <w:trPr/>
        <w:tc>
          <w:tcPr>
            <w:tcW w:w="1384" w:type="dxa"/>
            <w:tcBorders>
              <w:left w:val="single" w:sz="8"/>
              <w:right w:val="single" w:sz="8"/>
            </w:tcBorders>
            <w:tcMar/>
          </w:tcPr>
          <w:p w14:paraId="64E63102">
            <w:pPr>
              <w:jc w:val="left"/>
            </w:pPr>
            <w:r>
              <w:rPr>
                <w:rFonts w:ascii="var(--ff-body)" w:hAnsi="var(--ff-body)" w:eastAsia="var(--ff-body)" w:cs="var(--ff-body)"/>
              </w:rPr>
              <w:t>age</w:t>
            </w:r>
          </w:p>
        </w:tc>
        <w:tc>
          <w:tcPr>
            <w:tcW w:w="1384" w:type="dxa"/>
            <w:tcBorders>
              <w:left w:val="single" w:sz="8"/>
              <w:right w:val="single" w:sz="8"/>
            </w:tcBorders>
            <w:tcMar/>
          </w:tcPr>
          <w:p w14:paraId="74FC589F">
            <w:pPr>
              <w:jc w:val="left"/>
            </w:pPr>
            <w:r>
              <w:rPr>
                <w:rFonts w:ascii="var(--ff-body)" w:hAnsi="var(--ff-body)" w:eastAsia="var(--ff-body)" w:cs="var(--ff-body)"/>
              </w:rPr>
              <w:t>28.0593</w:t>
            </w:r>
          </w:p>
        </w:tc>
        <w:tc>
          <w:tcPr>
            <w:tcW w:w="1384" w:type="dxa"/>
            <w:tcBorders>
              <w:left w:val="single" w:sz="8"/>
              <w:right w:val="single" w:sz="8"/>
            </w:tcBorders>
            <w:tcMar/>
          </w:tcPr>
          <w:p w14:paraId="653E9B98">
            <w:pPr>
              <w:jc w:val="left"/>
            </w:pPr>
            <w:r>
              <w:rPr>
                <w:rFonts w:ascii="var(--ff-body)" w:hAnsi="var(--ff-body)" w:eastAsia="var(--ff-body)" w:cs="var(--ff-body)"/>
              </w:rPr>
              <w:t>5.1349</w:t>
            </w:r>
          </w:p>
        </w:tc>
        <w:tc>
          <w:tcPr>
            <w:tcW w:w="1384" w:type="dxa"/>
            <w:tcBorders>
              <w:left w:val="single" w:sz="8"/>
              <w:right w:val="single" w:sz="8"/>
            </w:tcBorders>
            <w:tcMar/>
          </w:tcPr>
          <w:p w14:paraId="74B9C467">
            <w:pPr>
              <w:jc w:val="left"/>
            </w:pPr>
            <w:r>
              <w:rPr>
                <w:rFonts w:ascii="var(--ff-body)" w:hAnsi="var(--ff-body)" w:eastAsia="var(--ff-body)" w:cs="var(--ff-body)"/>
              </w:rPr>
              <w:t>10.7771</w:t>
            </w:r>
          </w:p>
        </w:tc>
        <w:tc>
          <w:tcPr>
            <w:tcW w:w="1384" w:type="dxa"/>
            <w:tcBorders>
              <w:left w:val="single" w:sz="8"/>
              <w:right w:val="single" w:sz="8"/>
            </w:tcBorders>
            <w:tcMar/>
          </w:tcPr>
          <w:p w14:paraId="04AA0CF3">
            <w:pPr>
              <w:jc w:val="left"/>
            </w:pPr>
            <w:r>
              <w:rPr>
                <w:rFonts w:ascii="var(--ff-body)" w:hAnsi="var(--ff-body)" w:eastAsia="var(--ff-body)" w:cs="var(--ff-body)"/>
              </w:rPr>
              <w:t>28.1037</w:t>
            </w:r>
          </w:p>
        </w:tc>
        <w:tc>
          <w:tcPr>
            <w:tcW w:w="1384" w:type="dxa"/>
            <w:tcBorders>
              <w:left w:val="single" w:sz="8"/>
              <w:right w:val="single" w:sz="8"/>
            </w:tcBorders>
            <w:tcMar/>
          </w:tcPr>
          <w:p w14:paraId="1493D57F">
            <w:pPr>
              <w:jc w:val="left"/>
            </w:pPr>
            <w:r>
              <w:rPr>
                <w:rFonts w:ascii="var(--ff-body)" w:hAnsi="var(--ff-body)" w:eastAsia="var(--ff-body)" w:cs="var(--ff-body)"/>
              </w:rPr>
              <w:t>44.3398</w:t>
            </w:r>
          </w:p>
        </w:tc>
      </w:tr>
      <w:tr>
        <w:trPr/>
        <w:tc>
          <w:tcPr>
            <w:tcW w:w="1384" w:type="dxa"/>
            <w:tcBorders>
              <w:left w:val="single" w:sz="8"/>
              <w:right w:val="single" w:sz="8"/>
            </w:tcBorders>
            <w:tcMar/>
          </w:tcPr>
          <w:p w14:paraId="3DBA1DC8">
            <w:pPr>
              <w:jc w:val="left"/>
            </w:pPr>
            <w:r>
              <w:rPr>
                <w:rFonts w:ascii="var(--ff-body)" w:hAnsi="var(--ff-body)" w:eastAsia="var(--ff-body)" w:cs="var(--ff-body)"/>
              </w:rPr>
              <w:t>rd</w:t>
            </w:r>
          </w:p>
        </w:tc>
        <w:tc>
          <w:tcPr>
            <w:tcW w:w="1384" w:type="dxa"/>
            <w:tcBorders>
              <w:left w:val="single" w:sz="8"/>
              <w:right w:val="single" w:sz="8"/>
            </w:tcBorders>
            <w:tcMar/>
          </w:tcPr>
          <w:p w14:paraId="2364D135">
            <w:pPr>
              <w:jc w:val="left"/>
            </w:pPr>
            <w:r>
              <w:rPr>
                <w:rFonts w:ascii="var(--ff-body)" w:hAnsi="var(--ff-body)" w:eastAsia="var(--ff-body)" w:cs="var(--ff-body)"/>
              </w:rPr>
              <w:t>0.0438</w:t>
            </w:r>
          </w:p>
        </w:tc>
        <w:tc>
          <w:tcPr>
            <w:tcW w:w="1384" w:type="dxa"/>
            <w:tcBorders>
              <w:left w:val="single" w:sz="8"/>
              <w:right w:val="single" w:sz="8"/>
            </w:tcBorders>
            <w:tcMar/>
          </w:tcPr>
          <w:p w14:paraId="1135DD21">
            <w:pPr>
              <w:jc w:val="left"/>
            </w:pPr>
            <w:r>
              <w:rPr>
                <w:rFonts w:ascii="var(--ff-body)" w:hAnsi="var(--ff-body)" w:eastAsia="var(--ff-body)" w:cs="var(--ff-body)"/>
              </w:rPr>
              <w:t>0.0197</w:t>
            </w:r>
          </w:p>
        </w:tc>
        <w:tc>
          <w:tcPr>
            <w:tcW w:w="1384" w:type="dxa"/>
            <w:tcBorders>
              <w:left w:val="single" w:sz="8"/>
              <w:right w:val="single" w:sz="8"/>
            </w:tcBorders>
            <w:tcMar/>
          </w:tcPr>
          <w:p w14:paraId="00F69F3D">
            <w:pPr>
              <w:jc w:val="left"/>
            </w:pPr>
            <w:r>
              <w:rPr>
                <w:rFonts w:ascii="var(--ff-body)" w:hAnsi="var(--ff-body)" w:eastAsia="var(--ff-body)" w:cs="var(--ff-body)"/>
              </w:rPr>
              <w:t>0.0000</w:t>
            </w:r>
          </w:p>
        </w:tc>
        <w:tc>
          <w:tcPr>
            <w:tcW w:w="1384" w:type="dxa"/>
            <w:tcBorders>
              <w:left w:val="single" w:sz="8"/>
              <w:right w:val="single" w:sz="8"/>
            </w:tcBorders>
            <w:tcMar/>
          </w:tcPr>
          <w:p w14:paraId="76869F39">
            <w:pPr>
              <w:jc w:val="left"/>
            </w:pPr>
            <w:r>
              <w:rPr>
                <w:rFonts w:ascii="var(--ff-body)" w:hAnsi="var(--ff-body)" w:eastAsia="var(--ff-body)" w:cs="var(--ff-body)"/>
              </w:rPr>
              <w:t>0.0431</w:t>
            </w:r>
          </w:p>
        </w:tc>
        <w:tc>
          <w:tcPr>
            <w:tcW w:w="1384" w:type="dxa"/>
            <w:tcBorders>
              <w:left w:val="single" w:sz="8"/>
              <w:right w:val="single" w:sz="8"/>
            </w:tcBorders>
            <w:tcMar/>
          </w:tcPr>
          <w:p w14:paraId="6447DF05">
            <w:pPr>
              <w:jc w:val="left"/>
            </w:pPr>
            <w:r>
              <w:rPr>
                <w:rFonts w:ascii="var(--ff-body)" w:hAnsi="var(--ff-body)" w:eastAsia="var(--ff-body)" w:cs="var(--ff-body)"/>
              </w:rPr>
              <w:t>0.0902</w:t>
            </w:r>
          </w:p>
        </w:tc>
      </w:tr>
    </w:tbl>
    <w:p w14:paraId="559C42C7">
      <w:pPr>
        <w:spacing w:after="0"/>
        <w:ind w:firstLine="480"/>
      </w:pPr>
      <w:r>
        <w:rPr>
          <w:rFonts w:hint="eastAsia" w:ascii="var(--ff-body)" w:hAnsi="var(--ff-body)" w:eastAsia="var(--ff-body)" w:cs="var(--ff-body)"/>
        </w:rPr>
        <w:t>从表2可以看出：样本企业ROA均值为6.55%，标准差为3.07%，表明制造业上市公司整体盈利能力处于合理区间，且企业间存在明显差异；数字化转型指数均值为1.1964，标准差0.7206，最小值为0，最大值为3.0013，说明样本企业内部数字化水平分化显著，部分企业尚未实质性推进数字化转型；资产负债率均值为41.89%，处于制造业的常见水平；研发投入强度均值为4.38%，反映了制造业企业的创新投入强度。</w:t>
      </w:r>
    </w:p>
    <w:p w14:paraId="65838A53">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（二）相关性分析</w:t>
      </w:r>
    </w:p>
    <w:p w14:paraId="6A252617">
      <w:pPr>
        <w:spacing w:after="0"/>
        <w:ind w:firstLine="480"/>
      </w:pPr>
      <w:r>
        <w:rPr>
          <w:rFonts w:hint="eastAsia" w:ascii="var(--ff-body)" w:hAnsi="var(--ff-body)" w:eastAsia="var(--ff-body)" w:cs="var(--ff-body)"/>
        </w:rPr>
        <w:t>表3报告了主要变量之间的Pearson相关系数。</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1186"/>
        <w:gridCol w:w="1186"/>
        <w:gridCol w:w="1186"/>
        <w:gridCol w:w="1186"/>
        <w:gridCol w:w="1186"/>
        <w:gridCol w:w="1186"/>
        <w:gridCol w:w="1186"/>
      </w:tblGrid>
      <w:tr>
        <w:trPr>
          <w:tblHeader w:val="1"/>
        </w:trPr>
        <w:tc>
          <w:tcPr>
            <w:tcW w:w="1186" w:type="dxa"/>
            <w:tcBorders>
              <w:left w:val="single" w:sz="8"/>
              <w:right w:val="single" w:sz="8"/>
            </w:tcBorders>
            <w:tcMar/>
          </w:tcPr>
          <w:p w14:paraId="2D1FCFBC">
            <w:r>
              <w:rPr>
                <w:rFonts w:hint="eastAsia" w:ascii="var(--ff-body)" w:hAnsi="var(--ff-body)" w:eastAsia="var(--ff-body)" w:cs="var(--ff-body)"/>
                <w:b w:val="1"/>
              </w:rPr>
              <w:t>表3　主要变量相关系数矩阵</w:t>
            </w:r>
          </w:p>
          <w:p w14:paraId="0A485710">
            <w:pPr>
              <w:jc w:val="left"/>
              <w:rPr>
                <w:b w:val="1"/>
                <w:bCs w:val="1"/>
              </w:rPr>
            </w:pPr>
            <w:r>
              <w:rPr>
                <w:rFonts w:hint="eastAsia" w:ascii="var(--ff-body)" w:hAnsi="var(--ff-body)" w:eastAsia="var(--ff-body)" w:cs="var(--ff-body)"/>
                <w:b w:val="1"/>
              </w:rPr>
              <w:t>变量</w:t>
            </w:r>
          </w:p>
        </w:tc>
        <w:tc>
          <w:tcPr>
            <w:tcW w:w="1186" w:type="dxa"/>
            <w:tcBorders>
              <w:left w:val="single" w:sz="8"/>
              <w:right w:val="single" w:sz="8"/>
            </w:tcBorders>
            <w:tcMar/>
          </w:tcPr>
          <w:p w14:paraId="24653861">
            <w:pPr>
              <w:jc w:val="left"/>
              <w:rPr>
                <w:b w:val="1"/>
                <w:bCs w:val="1"/>
              </w:rPr>
            </w:pPr>
            <w:r>
              <w:rPr>
                <w:rFonts w:ascii="var(--ff-body)" w:hAnsi="var(--ff-body)" w:eastAsia="var(--ff-body)" w:cs="var(--ff-body)"/>
                <w:b w:val="1"/>
              </w:rPr>
              <w:t>DT_index</w:t>
            </w:r>
          </w:p>
        </w:tc>
        <w:tc>
          <w:tcPr>
            <w:tcW w:w="1186" w:type="dxa"/>
            <w:tcBorders>
              <w:left w:val="single" w:sz="8"/>
              <w:right w:val="single" w:sz="8"/>
            </w:tcBorders>
            <w:tcMar/>
          </w:tcPr>
          <w:p w14:paraId="4D113EA7">
            <w:pPr>
              <w:jc w:val="left"/>
              <w:rPr>
                <w:b w:val="1"/>
                <w:bCs w:val="1"/>
              </w:rPr>
            </w:pPr>
            <w:r>
              <w:rPr>
                <w:rFonts w:ascii="var(--ff-body)" w:hAnsi="var(--ff-body)" w:eastAsia="var(--ff-body)" w:cs="var(--ff-body)"/>
                <w:b w:val="1"/>
              </w:rPr>
              <w:t>ROA</w:t>
            </w:r>
          </w:p>
        </w:tc>
        <w:tc>
          <w:tcPr>
            <w:tcW w:w="1186" w:type="dxa"/>
            <w:tcBorders>
              <w:left w:val="single" w:sz="8"/>
              <w:right w:val="single" w:sz="8"/>
            </w:tcBorders>
            <w:tcMar/>
          </w:tcPr>
          <w:p w14:paraId="77D9AEB0">
            <w:pPr>
              <w:jc w:val="left"/>
              <w:rPr>
                <w:b w:val="1"/>
                <w:bCs w:val="1"/>
              </w:rPr>
            </w:pPr>
            <w:r>
              <w:rPr>
                <w:rFonts w:ascii="var(--ff-body)" w:hAnsi="var(--ff-body)" w:eastAsia="var(--ff-body)" w:cs="var(--ff-body)"/>
                <w:b w:val="1"/>
              </w:rPr>
              <w:t>size</w:t>
            </w:r>
          </w:p>
        </w:tc>
        <w:tc>
          <w:tcPr>
            <w:tcW w:w="1186" w:type="dxa"/>
            <w:tcBorders>
              <w:left w:val="single" w:sz="8"/>
              <w:right w:val="single" w:sz="8"/>
            </w:tcBorders>
            <w:tcMar/>
          </w:tcPr>
          <w:p w14:paraId="18FAA078">
            <w:pPr>
              <w:jc w:val="left"/>
              <w:rPr>
                <w:b w:val="1"/>
                <w:bCs w:val="1"/>
              </w:rPr>
            </w:pPr>
            <w:r>
              <w:rPr>
                <w:rFonts w:ascii="var(--ff-body)" w:hAnsi="var(--ff-body)" w:eastAsia="var(--ff-body)" w:cs="var(--ff-body)"/>
                <w:b w:val="1"/>
              </w:rPr>
              <w:t>lev</w:t>
            </w:r>
          </w:p>
        </w:tc>
        <w:tc>
          <w:tcPr>
            <w:tcW w:w="1186" w:type="dxa"/>
            <w:tcBorders>
              <w:left w:val="single" w:sz="8"/>
              <w:right w:val="single" w:sz="8"/>
            </w:tcBorders>
            <w:tcMar/>
          </w:tcPr>
          <w:p w14:paraId="21E339CF">
            <w:pPr>
              <w:jc w:val="left"/>
              <w:rPr>
                <w:b w:val="1"/>
                <w:bCs w:val="1"/>
              </w:rPr>
            </w:pPr>
            <w:r>
              <w:rPr>
                <w:rFonts w:ascii="var(--ff-body)" w:hAnsi="var(--ff-body)" w:eastAsia="var(--ff-body)" w:cs="var(--ff-body)"/>
                <w:b w:val="1"/>
              </w:rPr>
              <w:t>age</w:t>
            </w:r>
          </w:p>
        </w:tc>
        <w:tc>
          <w:tcPr>
            <w:tcW w:w="1186" w:type="dxa"/>
            <w:tcBorders>
              <w:left w:val="single" w:sz="8"/>
              <w:right w:val="single" w:sz="8"/>
            </w:tcBorders>
            <w:tcMar/>
          </w:tcPr>
          <w:p w14:paraId="28C859CE">
            <w:pPr>
              <w:jc w:val="left"/>
              <w:rPr>
                <w:b w:val="1"/>
                <w:bCs w:val="1"/>
              </w:rPr>
            </w:pPr>
            <w:r>
              <w:rPr>
                <w:rFonts w:ascii="var(--ff-body)" w:hAnsi="var(--ff-body)" w:eastAsia="var(--ff-body)" w:cs="var(--ff-body)"/>
                <w:b w:val="1"/>
              </w:rPr>
              <w:t>rd</w:t>
            </w:r>
          </w:p>
        </w:tc>
      </w:tr>
      <w:tr>
        <w:trPr/>
        <w:tc>
          <w:tcPr>
            <w:tcW w:w="1186" w:type="dxa"/>
            <w:tcBorders>
              <w:left w:val="single" w:sz="8"/>
              <w:right w:val="single" w:sz="8"/>
            </w:tcBorders>
            <w:tcMar/>
          </w:tcPr>
          <w:p w14:paraId="649C5AB6">
            <w:pPr>
              <w:jc w:val="left"/>
            </w:pPr>
            <w:r>
              <w:rPr>
                <w:rFonts w:ascii="var(--ff-body)" w:hAnsi="var(--ff-body)" w:eastAsia="var(--ff-body)" w:cs="var(--ff-body)"/>
              </w:rPr>
              <w:t>DT_index</w:t>
            </w:r>
          </w:p>
        </w:tc>
        <w:tc>
          <w:tcPr>
            <w:tcW w:w="1186" w:type="dxa"/>
            <w:tcBorders>
              <w:left w:val="single" w:sz="8"/>
              <w:right w:val="single" w:sz="8"/>
            </w:tcBorders>
            <w:tcMar/>
          </w:tcPr>
          <w:p w14:paraId="49144B21">
            <w:pPr>
              <w:jc w:val="left"/>
            </w:pPr>
            <w:r>
              <w:rPr>
                <w:rFonts w:ascii="var(--ff-body)" w:hAnsi="var(--ff-body)" w:eastAsia="var(--ff-body)" w:cs="var(--ff-body)"/>
              </w:rPr>
              <w:t>1.000</w:t>
            </w:r>
          </w:p>
        </w:tc>
        <w:tc>
          <w:tcPr>
            <w:tcW w:w="1186" w:type="dxa"/>
            <w:tcBorders>
              <w:left w:val="single" w:sz="8"/>
              <w:right w:val="single" w:sz="8"/>
            </w:tcBorders>
            <w:tcMar/>
          </w:tcPr>
          <w:p w14:paraId="74828224">
            <w:pPr>
              <w:jc w:val="left"/>
            </w:pPr>
          </w:p>
        </w:tc>
        <w:tc>
          <w:tcPr>
            <w:tcW w:w="1186" w:type="dxa"/>
            <w:tcBorders>
              <w:left w:val="single" w:sz="8"/>
              <w:right w:val="single" w:sz="8"/>
            </w:tcBorders>
            <w:tcMar/>
          </w:tcPr>
          <w:p w14:paraId="30314B1B">
            <w:pPr>
              <w:jc w:val="left"/>
            </w:pPr>
          </w:p>
        </w:tc>
        <w:tc>
          <w:tcPr>
            <w:tcW w:w="1186" w:type="dxa"/>
            <w:tcBorders>
              <w:left w:val="single" w:sz="8"/>
              <w:right w:val="single" w:sz="8"/>
            </w:tcBorders>
            <w:tcMar/>
          </w:tcPr>
          <w:p w14:paraId="73A51C7A">
            <w:pPr>
              <w:jc w:val="left"/>
            </w:pPr>
          </w:p>
        </w:tc>
        <w:tc>
          <w:tcPr>
            <w:tcW w:w="1186" w:type="dxa"/>
            <w:tcBorders>
              <w:left w:val="single" w:sz="8"/>
              <w:right w:val="single" w:sz="8"/>
            </w:tcBorders>
            <w:tcMar/>
          </w:tcPr>
          <w:p w14:paraId="3F55E31D">
            <w:pPr>
              <w:jc w:val="left"/>
            </w:pPr>
          </w:p>
        </w:tc>
        <w:tc>
          <w:tcPr>
            <w:tcW w:w="1186" w:type="dxa"/>
            <w:tcBorders>
              <w:left w:val="single" w:sz="8"/>
              <w:right w:val="single" w:sz="8"/>
            </w:tcBorders>
            <w:tcMar/>
          </w:tcPr>
          <w:p w14:paraId="7AC9BA30">
            <w:pPr>
              <w:jc w:val="left"/>
            </w:pPr>
          </w:p>
        </w:tc>
      </w:tr>
      <w:tr>
        <w:trPr/>
        <w:tc>
          <w:tcPr>
            <w:tcW w:w="1186" w:type="dxa"/>
            <w:tcBorders>
              <w:left w:val="single" w:sz="8"/>
              <w:right w:val="single" w:sz="8"/>
            </w:tcBorders>
            <w:tcMar/>
          </w:tcPr>
          <w:p w14:paraId="2D868319">
            <w:pPr>
              <w:jc w:val="left"/>
            </w:pPr>
            <w:r>
              <w:rPr>
                <w:rFonts w:ascii="var(--ff-body)" w:hAnsi="var(--ff-body)" w:eastAsia="var(--ff-body)" w:cs="var(--ff-body)"/>
              </w:rPr>
              <w:t>ROA</w:t>
            </w:r>
          </w:p>
        </w:tc>
        <w:tc>
          <w:tcPr>
            <w:tcW w:w="1186" w:type="dxa"/>
            <w:tcBorders>
              <w:left w:val="single" w:sz="8"/>
              <w:right w:val="single" w:sz="8"/>
            </w:tcBorders>
            <w:tcMar/>
          </w:tcPr>
          <w:p w14:paraId="720E8084">
            <w:pPr>
              <w:jc w:val="left"/>
            </w:pPr>
            <w:r>
              <w:rPr>
                <w:rFonts w:ascii="var(--ff-body)" w:hAnsi="var(--ff-body)" w:eastAsia="var(--ff-body)" w:cs="var(--ff-body)"/>
              </w:rPr>
              <w:t>0.573</w:t>
            </w:r>
          </w:p>
        </w:tc>
        <w:tc>
          <w:tcPr>
            <w:tcW w:w="1186" w:type="dxa"/>
            <w:tcBorders>
              <w:left w:val="single" w:sz="8"/>
              <w:right w:val="single" w:sz="8"/>
            </w:tcBorders>
            <w:tcMar/>
          </w:tcPr>
          <w:p w14:paraId="468780F7">
            <w:pPr>
              <w:jc w:val="left"/>
            </w:pPr>
            <w:r>
              <w:rPr>
                <w:rFonts w:ascii="var(--ff-body)" w:hAnsi="var(--ff-body)" w:eastAsia="var(--ff-body)" w:cs="var(--ff-body)"/>
              </w:rPr>
              <w:t>1.000</w:t>
            </w:r>
          </w:p>
        </w:tc>
        <w:tc>
          <w:tcPr>
            <w:tcW w:w="1186" w:type="dxa"/>
            <w:tcBorders>
              <w:left w:val="single" w:sz="8"/>
              <w:right w:val="single" w:sz="8"/>
            </w:tcBorders>
            <w:tcMar/>
          </w:tcPr>
          <w:p w14:paraId="02174916">
            <w:pPr>
              <w:jc w:val="left"/>
            </w:pPr>
          </w:p>
        </w:tc>
        <w:tc>
          <w:tcPr>
            <w:tcW w:w="1186" w:type="dxa"/>
            <w:tcBorders>
              <w:left w:val="single" w:sz="8"/>
              <w:right w:val="single" w:sz="8"/>
            </w:tcBorders>
            <w:tcMar/>
          </w:tcPr>
          <w:p w14:paraId="4DA77235">
            <w:pPr>
              <w:jc w:val="left"/>
            </w:pPr>
          </w:p>
        </w:tc>
        <w:tc>
          <w:tcPr>
            <w:tcW w:w="1186" w:type="dxa"/>
            <w:tcBorders>
              <w:left w:val="single" w:sz="8"/>
              <w:right w:val="single" w:sz="8"/>
            </w:tcBorders>
            <w:tcMar/>
          </w:tcPr>
          <w:p w14:paraId="0936A528">
            <w:pPr>
              <w:jc w:val="left"/>
            </w:pPr>
          </w:p>
        </w:tc>
        <w:tc>
          <w:tcPr>
            <w:tcW w:w="1186" w:type="dxa"/>
            <w:tcBorders>
              <w:left w:val="single" w:sz="8"/>
              <w:right w:val="single" w:sz="8"/>
            </w:tcBorders>
            <w:tcMar/>
          </w:tcPr>
          <w:p w14:paraId="3338A46B">
            <w:pPr>
              <w:jc w:val="left"/>
            </w:pPr>
          </w:p>
        </w:tc>
      </w:tr>
      <w:tr>
        <w:trPr/>
        <w:tc>
          <w:tcPr>
            <w:tcW w:w="1186" w:type="dxa"/>
            <w:tcBorders>
              <w:left w:val="single" w:sz="8"/>
              <w:right w:val="single" w:sz="8"/>
            </w:tcBorders>
            <w:tcMar/>
          </w:tcPr>
          <w:p w14:paraId="1EB87DDE">
            <w:pPr>
              <w:jc w:val="left"/>
            </w:pPr>
            <w:r>
              <w:rPr>
                <w:rFonts w:ascii="var(--ff-body)" w:hAnsi="var(--ff-body)" w:eastAsia="var(--ff-body)" w:cs="var(--ff-body)"/>
              </w:rPr>
              <w:t>size</w:t>
            </w:r>
          </w:p>
        </w:tc>
        <w:tc>
          <w:tcPr>
            <w:tcW w:w="1186" w:type="dxa"/>
            <w:tcBorders>
              <w:left w:val="single" w:sz="8"/>
              <w:right w:val="single" w:sz="8"/>
            </w:tcBorders>
            <w:tcMar/>
          </w:tcPr>
          <w:p w14:paraId="6A49A530">
            <w:pPr>
              <w:jc w:val="left"/>
            </w:pPr>
            <w:r>
              <w:rPr>
                <w:rFonts w:ascii="var(--ff-body)" w:hAnsi="var(--ff-body)" w:eastAsia="var(--ff-body)" w:cs="var(--ff-body)"/>
              </w:rPr>
              <w:t>0.363</w:t>
            </w:r>
          </w:p>
        </w:tc>
        <w:tc>
          <w:tcPr>
            <w:tcW w:w="1186" w:type="dxa"/>
            <w:tcBorders>
              <w:left w:val="single" w:sz="8"/>
              <w:right w:val="single" w:sz="8"/>
            </w:tcBorders>
            <w:tcMar/>
          </w:tcPr>
          <w:p w14:paraId="35C8AE45">
            <w:pPr>
              <w:jc w:val="left"/>
            </w:pPr>
            <w:r>
              <w:rPr>
                <w:rFonts w:ascii="var(--ff-body)" w:hAnsi="var(--ff-body)" w:eastAsia="var(--ff-body)" w:cs="var(--ff-body)"/>
              </w:rPr>
              <w:t>0.630</w:t>
            </w:r>
          </w:p>
        </w:tc>
        <w:tc>
          <w:tcPr>
            <w:tcW w:w="1186" w:type="dxa"/>
            <w:tcBorders>
              <w:left w:val="single" w:sz="8"/>
              <w:right w:val="single" w:sz="8"/>
            </w:tcBorders>
            <w:tcMar/>
          </w:tcPr>
          <w:p w14:paraId="015866C6">
            <w:pPr>
              <w:jc w:val="left"/>
            </w:pPr>
            <w:r>
              <w:rPr>
                <w:rFonts w:ascii="var(--ff-body)" w:hAnsi="var(--ff-body)" w:eastAsia="var(--ff-body)" w:cs="var(--ff-body)"/>
              </w:rPr>
              <w:t>1.000</w:t>
            </w:r>
          </w:p>
        </w:tc>
        <w:tc>
          <w:tcPr>
            <w:tcW w:w="1186" w:type="dxa"/>
            <w:tcBorders>
              <w:left w:val="single" w:sz="8"/>
              <w:right w:val="single" w:sz="8"/>
            </w:tcBorders>
            <w:tcMar/>
          </w:tcPr>
          <w:p w14:paraId="45AA16B9">
            <w:pPr>
              <w:jc w:val="left"/>
            </w:pPr>
          </w:p>
        </w:tc>
        <w:tc>
          <w:tcPr>
            <w:tcW w:w="1186" w:type="dxa"/>
            <w:tcBorders>
              <w:left w:val="single" w:sz="8"/>
              <w:right w:val="single" w:sz="8"/>
            </w:tcBorders>
            <w:tcMar/>
          </w:tcPr>
          <w:p w14:paraId="0A33D454">
            <w:pPr>
              <w:jc w:val="left"/>
            </w:pPr>
          </w:p>
        </w:tc>
        <w:tc>
          <w:tcPr>
            <w:tcW w:w="1186" w:type="dxa"/>
            <w:tcBorders>
              <w:left w:val="single" w:sz="8"/>
              <w:right w:val="single" w:sz="8"/>
            </w:tcBorders>
            <w:tcMar/>
          </w:tcPr>
          <w:p w14:paraId="4E838773">
            <w:pPr>
              <w:jc w:val="left"/>
            </w:pPr>
          </w:p>
        </w:tc>
      </w:tr>
      <w:tr>
        <w:trPr/>
        <w:tc>
          <w:tcPr>
            <w:tcW w:w="1186" w:type="dxa"/>
            <w:tcBorders>
              <w:left w:val="single" w:sz="8"/>
              <w:right w:val="single" w:sz="8"/>
            </w:tcBorders>
            <w:tcMar/>
          </w:tcPr>
          <w:p w14:paraId="7BFB57D8">
            <w:pPr>
              <w:jc w:val="left"/>
            </w:pPr>
            <w:r>
              <w:rPr>
                <w:rFonts w:ascii="var(--ff-body)" w:hAnsi="var(--ff-body)" w:eastAsia="var(--ff-body)" w:cs="var(--ff-body)"/>
              </w:rPr>
              <w:t>lev</w:t>
            </w:r>
          </w:p>
        </w:tc>
        <w:tc>
          <w:tcPr>
            <w:tcW w:w="1186" w:type="dxa"/>
            <w:tcBorders>
              <w:left w:val="single" w:sz="8"/>
              <w:right w:val="single" w:sz="8"/>
            </w:tcBorders>
            <w:tcMar/>
          </w:tcPr>
          <w:p w14:paraId="477ABF2D">
            <w:pPr>
              <w:jc w:val="left"/>
            </w:pPr>
            <w:r>
              <w:rPr>
                <w:rFonts w:ascii="var(--ff-body)" w:hAnsi="var(--ff-body)" w:eastAsia="var(--ff-body)" w:cs="var(--ff-body)"/>
              </w:rPr>
              <w:t>0.154</w:t>
            </w:r>
          </w:p>
        </w:tc>
        <w:tc>
          <w:tcPr>
            <w:tcW w:w="1186" w:type="dxa"/>
            <w:tcBorders>
              <w:left w:val="single" w:sz="8"/>
              <w:right w:val="single" w:sz="8"/>
            </w:tcBorders>
            <w:tcMar/>
          </w:tcPr>
          <w:p w14:paraId="3101FF31">
            <w:pPr>
              <w:jc w:val="left"/>
            </w:pPr>
            <w:r>
              <w:rPr>
                <w:rFonts w:ascii="var(--ff-body)" w:hAnsi="var(--ff-body)" w:eastAsia="var(--ff-body)" w:cs="var(--ff-body)"/>
              </w:rPr>
              <w:t>-0.030</w:t>
            </w:r>
          </w:p>
        </w:tc>
        <w:tc>
          <w:tcPr>
            <w:tcW w:w="1186" w:type="dxa"/>
            <w:tcBorders>
              <w:left w:val="single" w:sz="8"/>
              <w:right w:val="single" w:sz="8"/>
            </w:tcBorders>
            <w:tcMar/>
          </w:tcPr>
          <w:p w14:paraId="1C8E8689">
            <w:pPr>
              <w:jc w:val="left"/>
            </w:pPr>
            <w:r>
              <w:rPr>
                <w:rFonts w:ascii="var(--ff-body)" w:hAnsi="var(--ff-body)" w:eastAsia="var(--ff-body)" w:cs="var(--ff-body)"/>
              </w:rPr>
              <w:t>0.187</w:t>
            </w:r>
          </w:p>
        </w:tc>
        <w:tc>
          <w:tcPr>
            <w:tcW w:w="1186" w:type="dxa"/>
            <w:tcBorders>
              <w:left w:val="single" w:sz="8"/>
              <w:right w:val="single" w:sz="8"/>
            </w:tcBorders>
            <w:tcMar/>
          </w:tcPr>
          <w:p w14:paraId="68068E1C">
            <w:pPr>
              <w:jc w:val="left"/>
            </w:pPr>
            <w:r>
              <w:rPr>
                <w:rFonts w:ascii="var(--ff-body)" w:hAnsi="var(--ff-body)" w:eastAsia="var(--ff-body)" w:cs="var(--ff-body)"/>
              </w:rPr>
              <w:t>1.000</w:t>
            </w:r>
          </w:p>
        </w:tc>
        <w:tc>
          <w:tcPr>
            <w:tcW w:w="1186" w:type="dxa"/>
            <w:tcBorders>
              <w:left w:val="single" w:sz="8"/>
              <w:right w:val="single" w:sz="8"/>
            </w:tcBorders>
            <w:tcMar/>
          </w:tcPr>
          <w:p w14:paraId="2CB77D39">
            <w:pPr>
              <w:jc w:val="left"/>
            </w:pPr>
          </w:p>
        </w:tc>
        <w:tc>
          <w:tcPr>
            <w:tcW w:w="1186" w:type="dxa"/>
            <w:tcBorders>
              <w:left w:val="single" w:sz="8"/>
              <w:right w:val="single" w:sz="8"/>
            </w:tcBorders>
            <w:tcMar/>
          </w:tcPr>
          <w:p w14:paraId="51270C1E">
            <w:pPr>
              <w:jc w:val="left"/>
            </w:pPr>
          </w:p>
        </w:tc>
      </w:tr>
      <w:tr>
        <w:trPr/>
        <w:tc>
          <w:tcPr>
            <w:tcW w:w="1186" w:type="dxa"/>
            <w:tcBorders>
              <w:left w:val="single" w:sz="8"/>
              <w:right w:val="single" w:sz="8"/>
            </w:tcBorders>
            <w:tcMar/>
          </w:tcPr>
          <w:p w14:paraId="1E66393D">
            <w:pPr>
              <w:jc w:val="left"/>
            </w:pPr>
            <w:r>
              <w:rPr>
                <w:rFonts w:ascii="var(--ff-body)" w:hAnsi="var(--ff-body)" w:eastAsia="var(--ff-body)" w:cs="var(--ff-body)"/>
              </w:rPr>
              <w:t>age</w:t>
            </w:r>
          </w:p>
        </w:tc>
        <w:tc>
          <w:tcPr>
            <w:tcW w:w="1186" w:type="dxa"/>
            <w:tcBorders>
              <w:left w:val="single" w:sz="8"/>
              <w:right w:val="single" w:sz="8"/>
            </w:tcBorders>
            <w:tcMar/>
          </w:tcPr>
          <w:p w14:paraId="69EE1AA2">
            <w:pPr>
              <w:jc w:val="left"/>
            </w:pPr>
            <w:r>
              <w:rPr>
                <w:rFonts w:ascii="var(--ff-body)" w:hAnsi="var(--ff-body)" w:eastAsia="var(--ff-body)" w:cs="var(--ff-body)"/>
              </w:rPr>
              <w:t>0.038</w:t>
            </w:r>
          </w:p>
        </w:tc>
        <w:tc>
          <w:tcPr>
            <w:tcW w:w="1186" w:type="dxa"/>
            <w:tcBorders>
              <w:left w:val="single" w:sz="8"/>
              <w:right w:val="single" w:sz="8"/>
            </w:tcBorders>
            <w:tcMar/>
          </w:tcPr>
          <w:p w14:paraId="35666AD7">
            <w:pPr>
              <w:jc w:val="left"/>
            </w:pPr>
            <w:r>
              <w:rPr>
                <w:rFonts w:ascii="var(--ff-body)" w:hAnsi="var(--ff-body)" w:eastAsia="var(--ff-body)" w:cs="var(--ff-body)"/>
              </w:rPr>
              <w:t>0.186</w:t>
            </w:r>
          </w:p>
        </w:tc>
        <w:tc>
          <w:tcPr>
            <w:tcW w:w="1186" w:type="dxa"/>
            <w:tcBorders>
              <w:left w:val="single" w:sz="8"/>
              <w:right w:val="single" w:sz="8"/>
            </w:tcBorders>
            <w:tcMar/>
          </w:tcPr>
          <w:p w14:paraId="27250A4B">
            <w:pPr>
              <w:jc w:val="left"/>
            </w:pPr>
            <w:r>
              <w:rPr>
                <w:rFonts w:ascii="var(--ff-body)" w:hAnsi="var(--ff-body)" w:eastAsia="var(--ff-body)" w:cs="var(--ff-body)"/>
              </w:rPr>
              <w:t>-0.007</w:t>
            </w:r>
          </w:p>
        </w:tc>
        <w:tc>
          <w:tcPr>
            <w:tcW w:w="1186" w:type="dxa"/>
            <w:tcBorders>
              <w:left w:val="single" w:sz="8"/>
              <w:right w:val="single" w:sz="8"/>
            </w:tcBorders>
            <w:tcMar/>
          </w:tcPr>
          <w:p w14:paraId="72DD0BC0">
            <w:pPr>
              <w:jc w:val="left"/>
            </w:pPr>
            <w:r>
              <w:rPr>
                <w:rFonts w:ascii="var(--ff-body)" w:hAnsi="var(--ff-body)" w:eastAsia="var(--ff-body)" w:cs="var(--ff-body)"/>
              </w:rPr>
              <w:t>0.018</w:t>
            </w:r>
          </w:p>
        </w:tc>
        <w:tc>
          <w:tcPr>
            <w:tcW w:w="1186" w:type="dxa"/>
            <w:tcBorders>
              <w:left w:val="single" w:sz="8"/>
              <w:right w:val="single" w:sz="8"/>
            </w:tcBorders>
            <w:tcMar/>
          </w:tcPr>
          <w:p w14:paraId="5E631B4A">
            <w:pPr>
              <w:jc w:val="left"/>
            </w:pPr>
            <w:r>
              <w:rPr>
                <w:rFonts w:ascii="var(--ff-body)" w:hAnsi="var(--ff-body)" w:eastAsia="var(--ff-body)" w:cs="var(--ff-body)"/>
              </w:rPr>
              <w:t>1.000</w:t>
            </w:r>
          </w:p>
        </w:tc>
        <w:tc>
          <w:tcPr>
            <w:tcW w:w="1186" w:type="dxa"/>
            <w:tcBorders>
              <w:left w:val="single" w:sz="8"/>
              <w:right w:val="single" w:sz="8"/>
            </w:tcBorders>
            <w:tcMar/>
          </w:tcPr>
          <w:p w14:paraId="02DBB273">
            <w:pPr>
              <w:jc w:val="left"/>
            </w:pPr>
          </w:p>
        </w:tc>
      </w:tr>
      <w:tr>
        <w:trPr/>
        <w:tc>
          <w:tcPr>
            <w:tcW w:w="1186" w:type="dxa"/>
            <w:tcBorders>
              <w:left w:val="single" w:sz="8"/>
              <w:right w:val="single" w:sz="8"/>
            </w:tcBorders>
            <w:tcMar/>
          </w:tcPr>
          <w:p w14:paraId="29E338D5">
            <w:pPr>
              <w:jc w:val="left"/>
            </w:pPr>
            <w:r>
              <w:rPr>
                <w:rFonts w:ascii="var(--ff-body)" w:hAnsi="var(--ff-body)" w:eastAsia="var(--ff-body)" w:cs="var(--ff-body)"/>
              </w:rPr>
              <w:t>rd</w:t>
            </w:r>
          </w:p>
        </w:tc>
        <w:tc>
          <w:tcPr>
            <w:tcW w:w="1186" w:type="dxa"/>
            <w:tcBorders>
              <w:left w:val="single" w:sz="8"/>
              <w:right w:val="single" w:sz="8"/>
            </w:tcBorders>
            <w:tcMar/>
          </w:tcPr>
          <w:p w14:paraId="756308A0">
            <w:pPr>
              <w:jc w:val="left"/>
            </w:pPr>
            <w:r>
              <w:rPr>
                <w:rFonts w:ascii="var(--ff-body)" w:hAnsi="var(--ff-body)" w:eastAsia="var(--ff-body)" w:cs="var(--ff-body)"/>
              </w:rPr>
              <w:t>0.078</w:t>
            </w:r>
          </w:p>
        </w:tc>
        <w:tc>
          <w:tcPr>
            <w:tcW w:w="1186" w:type="dxa"/>
            <w:tcBorders>
              <w:left w:val="single" w:sz="8"/>
              <w:right w:val="single" w:sz="8"/>
            </w:tcBorders>
            <w:tcMar/>
          </w:tcPr>
          <w:p w14:paraId="40E5092A">
            <w:pPr>
              <w:jc w:val="left"/>
            </w:pPr>
            <w:r>
              <w:rPr>
                <w:rFonts w:ascii="var(--ff-body)" w:hAnsi="var(--ff-body)" w:eastAsia="var(--ff-body)" w:cs="var(--ff-body)"/>
              </w:rPr>
              <w:t>0.077</w:t>
            </w:r>
          </w:p>
        </w:tc>
        <w:tc>
          <w:tcPr>
            <w:tcW w:w="1186" w:type="dxa"/>
            <w:tcBorders>
              <w:left w:val="single" w:sz="8"/>
              <w:right w:val="single" w:sz="8"/>
            </w:tcBorders>
            <w:tcMar/>
          </w:tcPr>
          <w:p w14:paraId="32342D0E">
            <w:pPr>
              <w:jc w:val="left"/>
            </w:pPr>
            <w:r>
              <w:rPr>
                <w:rFonts w:ascii="var(--ff-body)" w:hAnsi="var(--ff-body)" w:eastAsia="var(--ff-body)" w:cs="var(--ff-body)"/>
              </w:rPr>
              <w:t>-0.006</w:t>
            </w:r>
          </w:p>
        </w:tc>
        <w:tc>
          <w:tcPr>
            <w:tcW w:w="1186" w:type="dxa"/>
            <w:tcBorders>
              <w:left w:val="single" w:sz="8"/>
              <w:right w:val="single" w:sz="8"/>
            </w:tcBorders>
            <w:tcMar/>
          </w:tcPr>
          <w:p w14:paraId="1DACF683">
            <w:pPr>
              <w:jc w:val="left"/>
            </w:pPr>
            <w:r>
              <w:rPr>
                <w:rFonts w:ascii="var(--ff-body)" w:hAnsi="var(--ff-body)" w:eastAsia="var(--ff-body)" w:cs="var(--ff-body)"/>
              </w:rPr>
              <w:t>0.006</w:t>
            </w:r>
          </w:p>
        </w:tc>
        <w:tc>
          <w:tcPr>
            <w:tcW w:w="1186" w:type="dxa"/>
            <w:tcBorders>
              <w:left w:val="single" w:sz="8"/>
              <w:right w:val="single" w:sz="8"/>
            </w:tcBorders>
            <w:tcMar/>
          </w:tcPr>
          <w:p w14:paraId="69145EF4">
            <w:pPr>
              <w:jc w:val="left"/>
            </w:pPr>
            <w:r>
              <w:rPr>
                <w:rFonts w:ascii="var(--ff-body)" w:hAnsi="var(--ff-body)" w:eastAsia="var(--ff-body)" w:cs="var(--ff-body)"/>
              </w:rPr>
              <w:t>0.002</w:t>
            </w:r>
          </w:p>
        </w:tc>
        <w:tc>
          <w:tcPr>
            <w:tcW w:w="1186" w:type="dxa"/>
            <w:tcBorders>
              <w:left w:val="single" w:sz="8"/>
              <w:right w:val="single" w:sz="8"/>
            </w:tcBorders>
            <w:tcMar/>
          </w:tcPr>
          <w:p w14:paraId="349C376A">
            <w:pPr>
              <w:jc w:val="left"/>
            </w:pPr>
            <w:r>
              <w:rPr>
                <w:rFonts w:ascii="var(--ff-body)" w:hAnsi="var(--ff-body)" w:eastAsia="var(--ff-body)" w:cs="var(--ff-body)"/>
              </w:rPr>
              <w:t>1.000</w:t>
            </w:r>
          </w:p>
        </w:tc>
      </w:tr>
    </w:tbl>
    <w:p w14:paraId="22143BB4">
      <w:pPr>
        <w:spacing w:after="0"/>
        <w:ind w:firstLine="480"/>
      </w:pPr>
      <w:r>
        <w:rPr>
          <w:rFonts w:hint="eastAsia" w:ascii="var(--ff-body)" w:hAnsi="var(--ff-body)" w:eastAsia="var(--ff-body)" w:cs="var(--ff-body)"/>
        </w:rPr>
        <w:t>相关性分析显示：数字化转型指数与ROA的相关系数为0.573，且在统计上高度显著，初步支持了数字化转型促进绩效的假设；企业规模与ROA的相关系数达0.630，说明规模较大的企业盈利能力更强；资产负债率与ROA呈弱负相关（-0.030），与预期方向一致。需要注意的是，企业规模与数字化转型指数之间也存在中等程度相关（0.363），提示在回归分析中需关注多重共线性问题，本文通过变量中心化处理加以缓解。</w:t>
      </w:r>
    </w:p>
    <w:p w14:paraId="3203E22E">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（三）信效度检验</w:t>
      </w:r>
    </w:p>
    <w:p w14:paraId="461C7EA1">
      <w:pPr>
        <w:spacing w:after="0"/>
        <w:ind w:firstLine="480"/>
      </w:pPr>
      <w:r>
        <w:rPr>
          <w:rFonts w:hint="eastAsia" w:ascii="var(--ff-body)" w:hAnsi="var(--ff-body)" w:eastAsia="var(--ff-body)" w:cs="var(--ff-body)"/>
        </w:rPr>
        <w:t>为评估数字化转型量表（DT1—DT5）的测度质量，本文进行了信度与效度检验，结果如表4所示。</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1661"/>
        <w:gridCol w:w="1661"/>
        <w:gridCol w:w="1661"/>
        <w:gridCol w:w="1661"/>
        <w:gridCol w:w="1661"/>
      </w:tblGrid>
      <w:tr>
        <w:trPr>
          <w:tblHeader w:val="1"/>
        </w:trPr>
        <w:tc>
          <w:tcPr>
            <w:tcW w:w="1661" w:type="dxa"/>
            <w:tcBorders>
              <w:left w:val="single" w:sz="8"/>
              <w:right w:val="single" w:sz="8"/>
            </w:tcBorders>
            <w:tcMar/>
          </w:tcPr>
          <w:p w14:paraId="6611AFBD">
            <w:r>
              <w:rPr>
                <w:rFonts w:hint="eastAsia" w:ascii="var(--ff-body)" w:hAnsi="var(--ff-body)" w:eastAsia="var(--ff-body)" w:cs="var(--ff-body)"/>
                <w:b w:val="1"/>
              </w:rPr>
              <w:t>表4　数字化转型量表信度检验结果</w:t>
            </w:r>
          </w:p>
          <w:p w14:paraId="48B4744F">
            <w:pPr>
              <w:jc w:val="left"/>
              <w:rPr>
                <w:b w:val="1"/>
                <w:bCs w:val="1"/>
              </w:rPr>
            </w:pPr>
            <w:r>
              <w:rPr>
                <w:rFonts w:hint="eastAsia" w:ascii="var(--ff-body)" w:hAnsi="var(--ff-body)" w:eastAsia="var(--ff-body)" w:cs="var(--ff-body)"/>
                <w:b w:val="1"/>
              </w:rPr>
              <w:t>题项</w:t>
            </w:r>
          </w:p>
        </w:tc>
        <w:tc>
          <w:tcPr>
            <w:tcW w:w="1661" w:type="dxa"/>
            <w:tcBorders>
              <w:left w:val="single" w:sz="8"/>
              <w:right w:val="single" w:sz="8"/>
            </w:tcBorders>
            <w:tcMar/>
          </w:tcPr>
          <w:p w14:paraId="3390A649">
            <w:pPr>
              <w:jc w:val="left"/>
              <w:rPr>
                <w:b w:val="1"/>
                <w:bCs w:val="1"/>
              </w:rPr>
            </w:pPr>
            <w:r>
              <w:rPr>
                <w:rFonts w:hint="eastAsia" w:ascii="var(--ff-body)" w:hAnsi="var(--ff-body)" w:eastAsia="var(--ff-body)" w:cs="var(--ff-body)"/>
                <w:b w:val="1"/>
              </w:rPr>
              <w:t>均值</w:t>
            </w:r>
          </w:p>
        </w:tc>
        <w:tc>
          <w:tcPr>
            <w:tcW w:w="1661" w:type="dxa"/>
            <w:tcBorders>
              <w:left w:val="single" w:sz="8"/>
              <w:right w:val="single" w:sz="8"/>
            </w:tcBorders>
            <w:tcMar/>
          </w:tcPr>
          <w:p w14:paraId="5882ACF3">
            <w:pPr>
              <w:jc w:val="left"/>
              <w:rPr>
                <w:b w:val="1"/>
                <w:bCs w:val="1"/>
              </w:rPr>
            </w:pPr>
            <w:r>
              <w:rPr>
                <w:rFonts w:hint="eastAsia" w:ascii="var(--ff-body)" w:hAnsi="var(--ff-body)" w:eastAsia="var(--ff-body)" w:cs="var(--ff-body)"/>
                <w:b w:val="1"/>
              </w:rPr>
              <w:t>标准差</w:t>
            </w:r>
          </w:p>
        </w:tc>
        <w:tc>
          <w:tcPr>
            <w:tcW w:w="1661" w:type="dxa"/>
            <w:tcBorders>
              <w:left w:val="single" w:sz="8"/>
              <w:right w:val="single" w:sz="8"/>
            </w:tcBorders>
            <w:tcMar/>
          </w:tcPr>
          <w:p w14:paraId="07FBD958">
            <w:pPr>
              <w:jc w:val="left"/>
              <w:rPr>
                <w:b w:val="1"/>
                <w:bCs w:val="1"/>
              </w:rPr>
            </w:pPr>
            <w:r>
              <w:rPr>
                <w:rFonts w:ascii="var(--ff-body)" w:hAnsi="var(--ff-body)" w:eastAsia="var(--ff-body)" w:cs="var(--ff-body)"/>
                <w:b w:val="1"/>
              </w:rPr>
              <w:t>CITC</w:t>
            </w:r>
          </w:p>
        </w:tc>
        <w:tc>
          <w:tcPr>
            <w:tcW w:w="1661" w:type="dxa"/>
            <w:tcBorders>
              <w:left w:val="single" w:sz="8"/>
              <w:right w:val="single" w:sz="8"/>
            </w:tcBorders>
            <w:tcMar/>
          </w:tcPr>
          <w:p w14:paraId="4D146E21">
            <w:pPr>
              <w:jc w:val="left"/>
              <w:rPr>
                <w:b w:val="1"/>
                <w:bCs w:val="1"/>
              </w:rPr>
            </w:pPr>
            <w:r>
              <w:rPr>
                <w:rFonts w:hint="eastAsia" w:ascii="var(--ff-body)" w:hAnsi="var(--ff-body)" w:eastAsia="var(--ff-body)" w:cs="var(--ff-body)"/>
                <w:b w:val="1"/>
              </w:rPr>
              <w:t>删除后α</w:t>
            </w:r>
          </w:p>
        </w:tc>
      </w:tr>
      <w:tr>
        <w:trPr/>
        <w:tc>
          <w:tcPr>
            <w:tcW w:w="1661" w:type="dxa"/>
            <w:tcBorders>
              <w:left w:val="single" w:sz="8"/>
              <w:right w:val="single" w:sz="8"/>
            </w:tcBorders>
            <w:tcMar/>
          </w:tcPr>
          <w:p w14:paraId="78A2FDEA">
            <w:pPr>
              <w:jc w:val="left"/>
            </w:pPr>
            <w:r>
              <w:rPr>
                <w:rFonts w:ascii="var(--ff-body)" w:hAnsi="var(--ff-body)" w:eastAsia="var(--ff-body)" w:cs="var(--ff-body)"/>
              </w:rPr>
              <w:t>DT1</w:t>
            </w:r>
          </w:p>
        </w:tc>
        <w:tc>
          <w:tcPr>
            <w:tcW w:w="1661" w:type="dxa"/>
            <w:tcBorders>
              <w:left w:val="single" w:sz="8"/>
              <w:right w:val="single" w:sz="8"/>
            </w:tcBorders>
            <w:tcMar/>
          </w:tcPr>
          <w:p w14:paraId="442D157F">
            <w:pPr>
              <w:jc w:val="left"/>
            </w:pPr>
            <w:r>
              <w:rPr>
                <w:rFonts w:ascii="var(--ff-body)" w:hAnsi="var(--ff-body)" w:eastAsia="var(--ff-body)" w:cs="var(--ff-body)"/>
              </w:rPr>
              <w:t>4.263</w:t>
            </w:r>
          </w:p>
        </w:tc>
        <w:tc>
          <w:tcPr>
            <w:tcW w:w="1661" w:type="dxa"/>
            <w:tcBorders>
              <w:left w:val="single" w:sz="8"/>
              <w:right w:val="single" w:sz="8"/>
            </w:tcBorders>
            <w:tcMar/>
          </w:tcPr>
          <w:p w14:paraId="11A52C00">
            <w:pPr>
              <w:jc w:val="left"/>
            </w:pPr>
            <w:r>
              <w:rPr>
                <w:rFonts w:ascii="var(--ff-body)" w:hAnsi="var(--ff-body)" w:eastAsia="var(--ff-body)" w:cs="var(--ff-body)"/>
              </w:rPr>
              <w:t>1.046</w:t>
            </w:r>
          </w:p>
        </w:tc>
        <w:tc>
          <w:tcPr>
            <w:tcW w:w="1661" w:type="dxa"/>
            <w:tcBorders>
              <w:left w:val="single" w:sz="8"/>
              <w:right w:val="single" w:sz="8"/>
            </w:tcBorders>
            <w:tcMar/>
          </w:tcPr>
          <w:p w14:paraId="7D3EF496">
            <w:pPr>
              <w:jc w:val="left"/>
            </w:pPr>
            <w:r>
              <w:rPr>
                <w:rFonts w:ascii="var(--ff-body)" w:hAnsi="var(--ff-body)" w:eastAsia="var(--ff-body)" w:cs="var(--ff-body)"/>
              </w:rPr>
              <w:t>0.333</w:t>
            </w:r>
          </w:p>
        </w:tc>
        <w:tc>
          <w:tcPr>
            <w:tcW w:w="1661" w:type="dxa"/>
            <w:tcBorders>
              <w:left w:val="single" w:sz="8"/>
              <w:right w:val="single" w:sz="8"/>
            </w:tcBorders>
            <w:tcMar/>
          </w:tcPr>
          <w:p w14:paraId="4EA71B35">
            <w:pPr>
              <w:jc w:val="left"/>
            </w:pPr>
            <w:r>
              <w:rPr>
                <w:rFonts w:ascii="var(--ff-body)" w:hAnsi="var(--ff-body)" w:eastAsia="var(--ff-body)" w:cs="var(--ff-body)"/>
              </w:rPr>
              <w:t>0.565</w:t>
            </w:r>
          </w:p>
        </w:tc>
      </w:tr>
      <w:tr>
        <w:trPr/>
        <w:tc>
          <w:tcPr>
            <w:tcW w:w="1661" w:type="dxa"/>
            <w:tcBorders>
              <w:left w:val="single" w:sz="8"/>
              <w:right w:val="single" w:sz="8"/>
            </w:tcBorders>
            <w:tcMar/>
          </w:tcPr>
          <w:p w14:paraId="75E7CA22">
            <w:pPr>
              <w:jc w:val="left"/>
            </w:pPr>
            <w:r>
              <w:rPr>
                <w:rFonts w:ascii="var(--ff-body)" w:hAnsi="var(--ff-body)" w:eastAsia="var(--ff-body)" w:cs="var(--ff-body)"/>
              </w:rPr>
              <w:t>DT2</w:t>
            </w:r>
          </w:p>
        </w:tc>
        <w:tc>
          <w:tcPr>
            <w:tcW w:w="1661" w:type="dxa"/>
            <w:tcBorders>
              <w:left w:val="single" w:sz="8"/>
              <w:right w:val="single" w:sz="8"/>
            </w:tcBorders>
            <w:tcMar/>
          </w:tcPr>
          <w:p w14:paraId="415ECB6F">
            <w:pPr>
              <w:jc w:val="left"/>
            </w:pPr>
            <w:r>
              <w:rPr>
                <w:rFonts w:ascii="var(--ff-body)" w:hAnsi="var(--ff-body)" w:eastAsia="var(--ff-body)" w:cs="var(--ff-body)"/>
              </w:rPr>
              <w:t>4.308</w:t>
            </w:r>
          </w:p>
        </w:tc>
        <w:tc>
          <w:tcPr>
            <w:tcW w:w="1661" w:type="dxa"/>
            <w:tcBorders>
              <w:left w:val="single" w:sz="8"/>
              <w:right w:val="single" w:sz="8"/>
            </w:tcBorders>
            <w:tcMar/>
          </w:tcPr>
          <w:p w14:paraId="12A644FC">
            <w:pPr>
              <w:jc w:val="left"/>
            </w:pPr>
            <w:r>
              <w:rPr>
                <w:rFonts w:ascii="var(--ff-body)" w:hAnsi="var(--ff-body)" w:eastAsia="var(--ff-body)" w:cs="var(--ff-body)"/>
              </w:rPr>
              <w:t>1.080</w:t>
            </w:r>
          </w:p>
        </w:tc>
        <w:tc>
          <w:tcPr>
            <w:tcW w:w="1661" w:type="dxa"/>
            <w:tcBorders>
              <w:left w:val="single" w:sz="8"/>
              <w:right w:val="single" w:sz="8"/>
            </w:tcBorders>
            <w:tcMar/>
          </w:tcPr>
          <w:p w14:paraId="7E29DC46">
            <w:pPr>
              <w:jc w:val="left"/>
            </w:pPr>
            <w:r>
              <w:rPr>
                <w:rFonts w:ascii="var(--ff-body)" w:hAnsi="var(--ff-body)" w:eastAsia="var(--ff-body)" w:cs="var(--ff-body)"/>
              </w:rPr>
              <w:t>0.322</w:t>
            </w:r>
          </w:p>
        </w:tc>
        <w:tc>
          <w:tcPr>
            <w:tcW w:w="1661" w:type="dxa"/>
            <w:tcBorders>
              <w:left w:val="single" w:sz="8"/>
              <w:right w:val="single" w:sz="8"/>
            </w:tcBorders>
            <w:tcMar/>
          </w:tcPr>
          <w:p w14:paraId="4BBAC5C9">
            <w:pPr>
              <w:jc w:val="left"/>
            </w:pPr>
            <w:r>
              <w:rPr>
                <w:rFonts w:ascii="var(--ff-body)" w:hAnsi="var(--ff-body)" w:eastAsia="var(--ff-body)" w:cs="var(--ff-body)"/>
              </w:rPr>
              <w:t>0.571</w:t>
            </w:r>
          </w:p>
        </w:tc>
      </w:tr>
      <w:tr>
        <w:trPr/>
        <w:tc>
          <w:tcPr>
            <w:tcW w:w="1661" w:type="dxa"/>
            <w:tcBorders>
              <w:left w:val="single" w:sz="8"/>
              <w:right w:val="single" w:sz="8"/>
            </w:tcBorders>
            <w:tcMar/>
          </w:tcPr>
          <w:p w14:paraId="7170A1B2">
            <w:pPr>
              <w:jc w:val="left"/>
            </w:pPr>
            <w:r>
              <w:rPr>
                <w:rFonts w:ascii="var(--ff-body)" w:hAnsi="var(--ff-body)" w:eastAsia="var(--ff-body)" w:cs="var(--ff-body)"/>
              </w:rPr>
              <w:t>DT3</w:t>
            </w:r>
          </w:p>
        </w:tc>
        <w:tc>
          <w:tcPr>
            <w:tcW w:w="1661" w:type="dxa"/>
            <w:tcBorders>
              <w:left w:val="single" w:sz="8"/>
              <w:right w:val="single" w:sz="8"/>
            </w:tcBorders>
            <w:tcMar/>
          </w:tcPr>
          <w:p w14:paraId="4293FE5F">
            <w:pPr>
              <w:jc w:val="left"/>
            </w:pPr>
            <w:r>
              <w:rPr>
                <w:rFonts w:ascii="var(--ff-body)" w:hAnsi="var(--ff-body)" w:eastAsia="var(--ff-body)" w:cs="var(--ff-body)"/>
              </w:rPr>
              <w:t>4.348</w:t>
            </w:r>
          </w:p>
        </w:tc>
        <w:tc>
          <w:tcPr>
            <w:tcW w:w="1661" w:type="dxa"/>
            <w:tcBorders>
              <w:left w:val="single" w:sz="8"/>
              <w:right w:val="single" w:sz="8"/>
            </w:tcBorders>
            <w:tcMar/>
          </w:tcPr>
          <w:p w14:paraId="2E10A6EB">
            <w:pPr>
              <w:jc w:val="left"/>
            </w:pPr>
            <w:r>
              <w:rPr>
                <w:rFonts w:ascii="var(--ff-body)" w:hAnsi="var(--ff-body)" w:eastAsia="var(--ff-body)" w:cs="var(--ff-body)"/>
              </w:rPr>
              <w:t>1.080</w:t>
            </w:r>
          </w:p>
        </w:tc>
        <w:tc>
          <w:tcPr>
            <w:tcW w:w="1661" w:type="dxa"/>
            <w:tcBorders>
              <w:left w:val="single" w:sz="8"/>
              <w:right w:val="single" w:sz="8"/>
            </w:tcBorders>
            <w:tcMar/>
          </w:tcPr>
          <w:p w14:paraId="7B90AF76">
            <w:pPr>
              <w:jc w:val="left"/>
            </w:pPr>
            <w:r>
              <w:rPr>
                <w:rFonts w:ascii="var(--ff-body)" w:hAnsi="var(--ff-body)" w:eastAsia="var(--ff-body)" w:cs="var(--ff-body)"/>
              </w:rPr>
              <w:t>0.368</w:t>
            </w:r>
          </w:p>
        </w:tc>
        <w:tc>
          <w:tcPr>
            <w:tcW w:w="1661" w:type="dxa"/>
            <w:tcBorders>
              <w:left w:val="single" w:sz="8"/>
              <w:right w:val="single" w:sz="8"/>
            </w:tcBorders>
            <w:tcMar/>
          </w:tcPr>
          <w:p w14:paraId="4711E785">
            <w:pPr>
              <w:jc w:val="left"/>
            </w:pPr>
            <w:r>
              <w:rPr>
                <w:rFonts w:ascii="var(--ff-body)" w:hAnsi="var(--ff-body)" w:eastAsia="var(--ff-body)" w:cs="var(--ff-body)"/>
              </w:rPr>
              <w:t>0.547</w:t>
            </w:r>
          </w:p>
        </w:tc>
      </w:tr>
      <w:tr>
        <w:trPr/>
        <w:tc>
          <w:tcPr>
            <w:tcW w:w="1661" w:type="dxa"/>
            <w:tcBorders>
              <w:left w:val="single" w:sz="8"/>
              <w:right w:val="single" w:sz="8"/>
            </w:tcBorders>
            <w:tcMar/>
          </w:tcPr>
          <w:p w14:paraId="72F977BA">
            <w:pPr>
              <w:jc w:val="left"/>
            </w:pPr>
            <w:r>
              <w:rPr>
                <w:rFonts w:ascii="var(--ff-body)" w:hAnsi="var(--ff-body)" w:eastAsia="var(--ff-body)" w:cs="var(--ff-body)"/>
              </w:rPr>
              <w:t>DT4</w:t>
            </w:r>
          </w:p>
        </w:tc>
        <w:tc>
          <w:tcPr>
            <w:tcW w:w="1661" w:type="dxa"/>
            <w:tcBorders>
              <w:left w:val="single" w:sz="8"/>
              <w:right w:val="single" w:sz="8"/>
            </w:tcBorders>
            <w:tcMar/>
          </w:tcPr>
          <w:p w14:paraId="5E788F2F">
            <w:pPr>
              <w:jc w:val="left"/>
            </w:pPr>
            <w:r>
              <w:rPr>
                <w:rFonts w:ascii="var(--ff-body)" w:hAnsi="var(--ff-body)" w:eastAsia="var(--ff-body)" w:cs="var(--ff-body)"/>
              </w:rPr>
              <w:t>4.409</w:t>
            </w:r>
          </w:p>
        </w:tc>
        <w:tc>
          <w:tcPr>
            <w:tcW w:w="1661" w:type="dxa"/>
            <w:tcBorders>
              <w:left w:val="single" w:sz="8"/>
              <w:right w:val="single" w:sz="8"/>
            </w:tcBorders>
            <w:tcMar/>
          </w:tcPr>
          <w:p w14:paraId="2BCF969B">
            <w:pPr>
              <w:jc w:val="left"/>
            </w:pPr>
            <w:r>
              <w:rPr>
                <w:rFonts w:ascii="var(--ff-body)" w:hAnsi="var(--ff-body)" w:eastAsia="var(--ff-body)" w:cs="var(--ff-body)"/>
              </w:rPr>
              <w:t>1.128</w:t>
            </w:r>
          </w:p>
        </w:tc>
        <w:tc>
          <w:tcPr>
            <w:tcW w:w="1661" w:type="dxa"/>
            <w:tcBorders>
              <w:left w:val="single" w:sz="8"/>
              <w:right w:val="single" w:sz="8"/>
            </w:tcBorders>
            <w:tcMar/>
          </w:tcPr>
          <w:p w14:paraId="77477E66">
            <w:pPr>
              <w:jc w:val="left"/>
            </w:pPr>
            <w:r>
              <w:rPr>
                <w:rFonts w:ascii="var(--ff-body)" w:hAnsi="var(--ff-body)" w:eastAsia="var(--ff-body)" w:cs="var(--ff-body)"/>
              </w:rPr>
              <w:t>0.397</w:t>
            </w:r>
          </w:p>
        </w:tc>
        <w:tc>
          <w:tcPr>
            <w:tcW w:w="1661" w:type="dxa"/>
            <w:tcBorders>
              <w:left w:val="single" w:sz="8"/>
              <w:right w:val="single" w:sz="8"/>
            </w:tcBorders>
            <w:tcMar/>
          </w:tcPr>
          <w:p w14:paraId="40D895F1">
            <w:pPr>
              <w:jc w:val="left"/>
            </w:pPr>
            <w:r>
              <w:rPr>
                <w:rFonts w:ascii="var(--ff-body)" w:hAnsi="var(--ff-body)" w:eastAsia="var(--ff-body)" w:cs="var(--ff-body)"/>
              </w:rPr>
              <w:t>0.531</w:t>
            </w:r>
          </w:p>
        </w:tc>
      </w:tr>
      <w:tr>
        <w:trPr/>
        <w:tc>
          <w:tcPr>
            <w:tcW w:w="1661" w:type="dxa"/>
            <w:tcBorders>
              <w:left w:val="single" w:sz="8"/>
              <w:right w:val="single" w:sz="8"/>
            </w:tcBorders>
            <w:tcMar/>
          </w:tcPr>
          <w:p w14:paraId="0F81B04A">
            <w:pPr>
              <w:jc w:val="left"/>
            </w:pPr>
            <w:r>
              <w:rPr>
                <w:rFonts w:ascii="var(--ff-body)" w:hAnsi="var(--ff-body)" w:eastAsia="var(--ff-body)" w:cs="var(--ff-body)"/>
              </w:rPr>
              <w:t>DT5</w:t>
            </w:r>
          </w:p>
        </w:tc>
        <w:tc>
          <w:tcPr>
            <w:tcW w:w="1661" w:type="dxa"/>
            <w:tcBorders>
              <w:left w:val="single" w:sz="8"/>
              <w:right w:val="single" w:sz="8"/>
            </w:tcBorders>
            <w:tcMar/>
          </w:tcPr>
          <w:p w14:paraId="5B0250BC">
            <w:pPr>
              <w:jc w:val="left"/>
            </w:pPr>
            <w:r>
              <w:rPr>
                <w:rFonts w:ascii="var(--ff-body)" w:hAnsi="var(--ff-body)" w:eastAsia="var(--ff-body)" w:cs="var(--ff-body)"/>
              </w:rPr>
              <w:t>4.445</w:t>
            </w:r>
          </w:p>
        </w:tc>
        <w:tc>
          <w:tcPr>
            <w:tcW w:w="1661" w:type="dxa"/>
            <w:tcBorders>
              <w:left w:val="single" w:sz="8"/>
              <w:right w:val="single" w:sz="8"/>
            </w:tcBorders>
            <w:tcMar/>
          </w:tcPr>
          <w:p w14:paraId="2782F0D3">
            <w:pPr>
              <w:jc w:val="left"/>
            </w:pPr>
            <w:r>
              <w:rPr>
                <w:rFonts w:ascii="var(--ff-body)" w:hAnsi="var(--ff-body)" w:eastAsia="var(--ff-body)" w:cs="var(--ff-body)"/>
              </w:rPr>
              <w:t>1.106</w:t>
            </w:r>
          </w:p>
        </w:tc>
        <w:tc>
          <w:tcPr>
            <w:tcW w:w="1661" w:type="dxa"/>
            <w:tcBorders>
              <w:left w:val="single" w:sz="8"/>
              <w:right w:val="single" w:sz="8"/>
            </w:tcBorders>
            <w:tcMar/>
          </w:tcPr>
          <w:p w14:paraId="70025366">
            <w:pPr>
              <w:jc w:val="left"/>
            </w:pPr>
            <w:r>
              <w:rPr>
                <w:rFonts w:ascii="var(--ff-body)" w:hAnsi="var(--ff-body)" w:eastAsia="var(--ff-body)" w:cs="var(--ff-body)"/>
              </w:rPr>
              <w:t>0.380</w:t>
            </w:r>
          </w:p>
        </w:tc>
        <w:tc>
          <w:tcPr>
            <w:tcW w:w="1661" w:type="dxa"/>
            <w:tcBorders>
              <w:left w:val="single" w:sz="8"/>
              <w:right w:val="single" w:sz="8"/>
            </w:tcBorders>
            <w:tcMar/>
          </w:tcPr>
          <w:p w14:paraId="5C8253E4">
            <w:pPr>
              <w:jc w:val="left"/>
            </w:pPr>
            <w:r>
              <w:rPr>
                <w:rFonts w:ascii="var(--ff-body)" w:hAnsi="var(--ff-body)" w:eastAsia="var(--ff-body)" w:cs="var(--ff-body)"/>
              </w:rPr>
              <w:t>0.540</w:t>
            </w:r>
          </w:p>
        </w:tc>
      </w:tr>
    </w:tbl>
    <w:p w14:paraId="402EEF94">
      <w:pPr>
        <w:spacing w:after="0"/>
        <w:ind w:firstLine="480"/>
      </w:pPr>
      <w:r>
        <w:rPr>
          <w:rFonts w:hint="eastAsia" w:ascii="var(--ff-body)" w:hAnsi="var(--ff-body)" w:eastAsia="var(--ff-body)" w:cs="var(--ff-body)"/>
          <w:b w:val="1"/>
        </w:rPr>
        <w:t>信度分析</w:t>
      </w:r>
      <w:r>
        <w:rPr>
          <w:rFonts w:hint="eastAsia" w:ascii="var(--ff-body)" w:hAnsi="var(--ff-body)" w:eastAsia="var(--ff-body)" w:cs="var(--ff-body)"/>
        </w:rPr>
        <w:t>：量表整体的Cronbach's α系数为0.606，KMO值为0.531。按照社会科学研究的通行标准，α系数在0.6—0.7之间属于可接受范围，KMO值超过0.5表明数据适合进行因子分析。各题项的CITC值介于0.322—0.397之间，均高于0.3的最低门槛，且删除任一题项后α系数均未见明显提升（表现为下降或持平），说明5个题项均有保留价值，量表具有可接受的一致性与内部效度。</w:t>
      </w:r>
    </w:p>
    <w:p w14:paraId="516C2999">
      <w:pPr>
        <w:spacing w:after="0"/>
        <w:ind w:firstLine="480"/>
      </w:pPr>
      <w:r>
        <w:rPr>
          <w:rFonts w:hint="eastAsia" w:ascii="var(--ff-body)" w:hAnsi="var(--ff-body)" w:eastAsia="var(--ff-body)" w:cs="var(--ff-body)"/>
        </w:rPr>
        <w:t>需要指出的是，α=0.606虽达到可接受水平，但距离0.7的良好标准仍有差距。这一结果可能源于两方面：一是模拟数据中题项载荷设计的保守性；二是数字化转型本身是一个多维构念，单一维度量表难以完全捕捉其丰富内涵。这一发现也印证了本文的研究缺口之一——数字化转型的测度方式确实存在优化空间，未来研究可考虑开发多维量表并结合客观指标进行交叉验证。</w:t>
      </w:r>
    </w:p>
    <w:p w14:paraId="5ECF14DD">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（四）回归分析</w:t>
      </w:r>
    </w:p>
    <w:p w14:paraId="7EDEA3C1">
      <w:pPr>
        <w:spacing w:after="0"/>
        <w:ind w:firstLine="480"/>
      </w:pPr>
      <w:r>
        <w:rPr>
          <w:rFonts w:hint="eastAsia" w:ascii="var(--ff-body)" w:hAnsi="var(--ff-body)" w:eastAsia="var(--ff-body)" w:cs="var(--ff-body)"/>
        </w:rPr>
        <w:t>表5报告了多元回归模型的估计结果。</w:t>
      </w:r>
    </w:p>
    <w:tbl>
      <w:tblPr>
        <w:tblW w:w="0" w:type="auto"/>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Layout w:type="autofit"/>
        <w:tblCellMar/>
      </w:tblPr>
      <w:tblGrid>
        <w:gridCol w:w="1384"/>
        <w:gridCol w:w="1384"/>
        <w:gridCol w:w="1384"/>
        <w:gridCol w:w="1384"/>
        <w:gridCol w:w="1384"/>
        <w:gridCol w:w="1384"/>
      </w:tblGrid>
      <w:tr>
        <w:trPr>
          <w:tblHeader w:val="1"/>
        </w:trPr>
        <w:tc>
          <w:tcPr>
            <w:tcW w:w="1384" w:type="dxa"/>
            <w:tcBorders>
              <w:left w:val="single" w:sz="8"/>
              <w:right w:val="single" w:sz="8"/>
            </w:tcBorders>
            <w:tcMar/>
          </w:tcPr>
          <w:p w14:paraId="17CB0992">
            <w:r>
              <w:rPr>
                <w:rFonts w:hint="eastAsia" w:ascii="var(--ff-body)" w:hAnsi="var(--ff-body)" w:eastAsia="var(--ff-body)" w:cs="var(--ff-body)"/>
                <w:b w:val="1"/>
              </w:rPr>
              <w:t>表5　数字化转型对经营绩效影响的回归结果（因变量：ROA）</w:t>
            </w:r>
          </w:p>
          <w:p w14:paraId="7A9389F5">
            <w:pPr>
              <w:jc w:val="left"/>
              <w:rPr>
                <w:b w:val="1"/>
                <w:bCs w:val="1"/>
              </w:rPr>
            </w:pPr>
            <w:r>
              <w:rPr>
                <w:rFonts w:hint="eastAsia" w:ascii="var(--ff-body)" w:hAnsi="var(--ff-body)" w:eastAsia="var(--ff-body)" w:cs="var(--ff-body)"/>
                <w:b w:val="1"/>
              </w:rPr>
              <w:t>变量</w:t>
            </w:r>
          </w:p>
        </w:tc>
        <w:tc>
          <w:tcPr>
            <w:tcW w:w="1384" w:type="dxa"/>
            <w:tcBorders>
              <w:left w:val="single" w:sz="8"/>
              <w:right w:val="single" w:sz="8"/>
            </w:tcBorders>
            <w:tcMar/>
          </w:tcPr>
          <w:p w14:paraId="624B0807">
            <w:pPr>
              <w:jc w:val="left"/>
              <w:rPr>
                <w:b w:val="1"/>
                <w:bCs w:val="1"/>
              </w:rPr>
            </w:pPr>
            <w:r>
              <w:rPr>
                <w:rFonts w:hint="eastAsia" w:ascii="var(--ff-body)" w:hAnsi="var(--ff-body)" w:eastAsia="var(--ff-body)" w:cs="var(--ff-body)"/>
                <w:b w:val="1"/>
              </w:rPr>
              <w:t>系数</w:t>
            </w:r>
          </w:p>
        </w:tc>
        <w:tc>
          <w:tcPr>
            <w:tcW w:w="1384" w:type="dxa"/>
            <w:tcBorders>
              <w:left w:val="single" w:sz="8"/>
              <w:right w:val="single" w:sz="8"/>
            </w:tcBorders>
            <w:tcMar/>
          </w:tcPr>
          <w:p w14:paraId="0D6D4680">
            <w:pPr>
              <w:jc w:val="left"/>
              <w:rPr>
                <w:b w:val="1"/>
                <w:bCs w:val="1"/>
              </w:rPr>
            </w:pPr>
            <w:r>
              <w:rPr>
                <w:rFonts w:hint="eastAsia" w:ascii="var(--ff-body)" w:hAnsi="var(--ff-body)" w:eastAsia="var(--ff-body)" w:cs="var(--ff-body)"/>
                <w:b w:val="1"/>
              </w:rPr>
              <w:t>标准误</w:t>
            </w:r>
          </w:p>
        </w:tc>
        <w:tc>
          <w:tcPr>
            <w:tcW w:w="1384" w:type="dxa"/>
            <w:tcBorders>
              <w:left w:val="single" w:sz="8"/>
              <w:right w:val="single" w:sz="8"/>
            </w:tcBorders>
            <w:tcMar/>
          </w:tcPr>
          <w:p w14:paraId="7249508A">
            <w:pPr>
              <w:jc w:val="left"/>
              <w:rPr>
                <w:b w:val="1"/>
                <w:bCs w:val="1"/>
              </w:rPr>
            </w:pPr>
            <w:r>
              <w:rPr>
                <w:rFonts w:hint="eastAsia" w:ascii="var(--ff-body)" w:hAnsi="var(--ff-body)" w:eastAsia="var(--ff-body)" w:cs="var(--ff-body)"/>
                <w:b w:val="1"/>
              </w:rPr>
              <w:t>t值</w:t>
            </w:r>
          </w:p>
        </w:tc>
        <w:tc>
          <w:tcPr>
            <w:tcW w:w="1384" w:type="dxa"/>
            <w:tcBorders>
              <w:left w:val="single" w:sz="8"/>
              <w:right w:val="single" w:sz="8"/>
            </w:tcBorders>
            <w:tcMar/>
          </w:tcPr>
          <w:p w14:paraId="7B2DE68C">
            <w:pPr>
              <w:jc w:val="left"/>
              <w:rPr>
                <w:b w:val="1"/>
                <w:bCs w:val="1"/>
              </w:rPr>
            </w:pPr>
            <w:r>
              <w:rPr>
                <w:rFonts w:hint="eastAsia" w:ascii="var(--ff-body)" w:hAnsi="var(--ff-body)" w:eastAsia="var(--ff-body)" w:cs="var(--ff-body)"/>
                <w:b w:val="1"/>
              </w:rPr>
              <w:t>p值</w:t>
            </w:r>
          </w:p>
        </w:tc>
        <w:tc>
          <w:tcPr>
            <w:tcW w:w="1384" w:type="dxa"/>
            <w:tcBorders>
              <w:left w:val="single" w:sz="8"/>
              <w:right w:val="single" w:sz="8"/>
            </w:tcBorders>
            <w:tcMar/>
          </w:tcPr>
          <w:p w14:paraId="02667F1C">
            <w:pPr>
              <w:jc w:val="left"/>
              <w:rPr>
                <w:b w:val="1"/>
                <w:bCs w:val="1"/>
              </w:rPr>
            </w:pPr>
            <w:r>
              <w:rPr>
                <w:rFonts w:hint="eastAsia" w:ascii="var(--ff-body)" w:hAnsi="var(--ff-body)" w:eastAsia="var(--ff-body)" w:cs="var(--ff-body)"/>
                <w:b w:val="1"/>
              </w:rPr>
              <w:t>显著性</w:t>
            </w:r>
          </w:p>
        </w:tc>
      </w:tr>
      <w:tr>
        <w:trPr/>
        <w:tc>
          <w:tcPr>
            <w:tcW w:w="1384" w:type="dxa"/>
            <w:tcBorders>
              <w:left w:val="single" w:sz="8"/>
              <w:right w:val="single" w:sz="8"/>
            </w:tcBorders>
            <w:tcMar/>
          </w:tcPr>
          <w:p w14:paraId="4CB08C23">
            <w:pPr>
              <w:jc w:val="left"/>
            </w:pPr>
            <w:r>
              <w:rPr>
                <w:rFonts w:hint="eastAsia" w:ascii="var(--ff-body)" w:hAnsi="var(--ff-body)" w:eastAsia="var(--ff-body)" w:cs="var(--ff-body)"/>
              </w:rPr>
              <w:t>常数项</w:t>
            </w:r>
          </w:p>
        </w:tc>
        <w:tc>
          <w:tcPr>
            <w:tcW w:w="1384" w:type="dxa"/>
            <w:tcBorders>
              <w:left w:val="single" w:sz="8"/>
              <w:right w:val="single" w:sz="8"/>
            </w:tcBorders>
            <w:tcMar/>
          </w:tcPr>
          <w:p w14:paraId="3D67A837">
            <w:pPr>
              <w:jc w:val="left"/>
            </w:pPr>
            <w:r>
              <w:rPr>
                <w:rFonts w:ascii="var(--ff-body)" w:hAnsi="var(--ff-body)" w:eastAsia="var(--ff-body)" w:cs="var(--ff-body)"/>
              </w:rPr>
              <w:t>0.0485</w:t>
            </w:r>
          </w:p>
        </w:tc>
        <w:tc>
          <w:tcPr>
            <w:tcW w:w="1384" w:type="dxa"/>
            <w:tcBorders>
              <w:left w:val="single" w:sz="8"/>
              <w:right w:val="single" w:sz="8"/>
            </w:tcBorders>
            <w:tcMar/>
          </w:tcPr>
          <w:p w14:paraId="2B274C4A">
            <w:pPr>
              <w:jc w:val="left"/>
            </w:pPr>
            <w:r>
              <w:rPr>
                <w:rFonts w:ascii="var(--ff-body)" w:hAnsi="var(--ff-body)" w:eastAsia="var(--ff-body)" w:cs="var(--ff-body)"/>
              </w:rPr>
              <w:t>0.0033</w:t>
            </w:r>
          </w:p>
        </w:tc>
        <w:tc>
          <w:tcPr>
            <w:tcW w:w="1384" w:type="dxa"/>
            <w:tcBorders>
              <w:left w:val="single" w:sz="8"/>
              <w:right w:val="single" w:sz="8"/>
            </w:tcBorders>
            <w:tcMar/>
          </w:tcPr>
          <w:p w14:paraId="19F420CE">
            <w:pPr>
              <w:jc w:val="left"/>
            </w:pPr>
            <w:r>
              <w:rPr>
                <w:rFonts w:ascii="var(--ff-body)" w:hAnsi="var(--ff-body)" w:eastAsia="var(--ff-body)" w:cs="var(--ff-body)"/>
              </w:rPr>
              <w:t>14.698</w:t>
            </w:r>
          </w:p>
        </w:tc>
        <w:tc>
          <w:tcPr>
            <w:tcW w:w="1384" w:type="dxa"/>
            <w:tcBorders>
              <w:left w:val="single" w:sz="8"/>
              <w:right w:val="single" w:sz="8"/>
            </w:tcBorders>
            <w:tcMar/>
          </w:tcPr>
          <w:p w14:paraId="07B50C52">
            <w:pPr>
              <w:jc w:val="left"/>
            </w:pPr>
            <w:r>
              <w:rPr>
                <w:rFonts w:ascii="var(--ff-body)" w:hAnsi="var(--ff-body)" w:eastAsia="var(--ff-body)" w:cs="var(--ff-body)"/>
              </w:rPr>
              <w:t>0.0000</w:t>
            </w:r>
          </w:p>
        </w:tc>
        <w:tc>
          <w:tcPr>
            <w:tcW w:w="1384" w:type="dxa"/>
            <w:tcBorders>
              <w:left w:val="single" w:sz="8"/>
              <w:right w:val="single" w:sz="8"/>
            </w:tcBorders>
            <w:tcMar/>
          </w:tcPr>
          <w:p w14:paraId="2EAD45FA">
            <w:pPr>
              <w:jc w:val="left"/>
            </w:pPr>
            <w:r>
              <w:rPr>
                <w:rFonts w:ascii="var(--ff-body)" w:hAnsi="var(--ff-body)" w:eastAsia="var(--ff-body)" w:cs="var(--ff-body)"/>
              </w:rPr>
              <w:t>***</w:t>
            </w:r>
          </w:p>
        </w:tc>
      </w:tr>
      <w:tr>
        <w:trPr/>
        <w:tc>
          <w:tcPr>
            <w:tcW w:w="1384" w:type="dxa"/>
            <w:tcBorders>
              <w:left w:val="single" w:sz="8"/>
              <w:right w:val="single" w:sz="8"/>
            </w:tcBorders>
            <w:tcMar/>
          </w:tcPr>
          <w:p w14:paraId="7D22CA60">
            <w:pPr>
              <w:jc w:val="left"/>
            </w:pPr>
            <w:r>
              <w:rPr>
                <w:rFonts w:ascii="var(--ff-body)" w:hAnsi="var(--ff-body)" w:eastAsia="var(--ff-body)" w:cs="var(--ff-body)"/>
              </w:rPr>
              <w:t>DT_c</w:t>
            </w:r>
          </w:p>
        </w:tc>
        <w:tc>
          <w:tcPr>
            <w:tcW w:w="1384" w:type="dxa"/>
            <w:tcBorders>
              <w:left w:val="single" w:sz="8"/>
              <w:right w:val="single" w:sz="8"/>
            </w:tcBorders>
            <w:tcMar/>
          </w:tcPr>
          <w:p w14:paraId="6B9BE29C">
            <w:pPr>
              <w:jc w:val="left"/>
            </w:pPr>
            <w:r>
              <w:rPr>
                <w:rFonts w:ascii="var(--ff-body)" w:hAnsi="var(--ff-body)" w:eastAsia="var(--ff-body)" w:cs="var(--ff-body)"/>
              </w:rPr>
              <w:t>0.0172</w:t>
            </w:r>
          </w:p>
        </w:tc>
        <w:tc>
          <w:tcPr>
            <w:tcW w:w="1384" w:type="dxa"/>
            <w:tcBorders>
              <w:left w:val="single" w:sz="8"/>
              <w:right w:val="single" w:sz="8"/>
            </w:tcBorders>
            <w:tcMar/>
          </w:tcPr>
          <w:p w14:paraId="59DB029F">
            <w:pPr>
              <w:jc w:val="left"/>
            </w:pPr>
            <w:r>
              <w:rPr>
                <w:rFonts w:ascii="var(--ff-body)" w:hAnsi="var(--ff-body)" w:eastAsia="var(--ff-body)" w:cs="var(--ff-body)"/>
              </w:rPr>
              <w:t>0.0008</w:t>
            </w:r>
          </w:p>
        </w:tc>
        <w:tc>
          <w:tcPr>
            <w:tcW w:w="1384" w:type="dxa"/>
            <w:tcBorders>
              <w:left w:val="single" w:sz="8"/>
              <w:right w:val="single" w:sz="8"/>
            </w:tcBorders>
            <w:tcMar/>
          </w:tcPr>
          <w:p w14:paraId="46026B9B">
            <w:pPr>
              <w:jc w:val="left"/>
            </w:pPr>
            <w:r>
              <w:rPr>
                <w:rFonts w:ascii="var(--ff-body)" w:hAnsi="var(--ff-body)" w:eastAsia="var(--ff-body)" w:cs="var(--ff-body)"/>
              </w:rPr>
              <w:t>22.733</w:t>
            </w:r>
          </w:p>
        </w:tc>
        <w:tc>
          <w:tcPr>
            <w:tcW w:w="1384" w:type="dxa"/>
            <w:tcBorders>
              <w:left w:val="single" w:sz="8"/>
              <w:right w:val="single" w:sz="8"/>
            </w:tcBorders>
            <w:tcMar/>
          </w:tcPr>
          <w:p w14:paraId="3459CB97">
            <w:pPr>
              <w:jc w:val="left"/>
            </w:pPr>
            <w:r>
              <w:rPr>
                <w:rFonts w:ascii="var(--ff-body)" w:hAnsi="var(--ff-body)" w:eastAsia="var(--ff-body)" w:cs="var(--ff-body)"/>
              </w:rPr>
              <w:t>0.0000</w:t>
            </w:r>
          </w:p>
        </w:tc>
        <w:tc>
          <w:tcPr>
            <w:tcW w:w="1384" w:type="dxa"/>
            <w:tcBorders>
              <w:left w:val="single" w:sz="8"/>
              <w:right w:val="single" w:sz="8"/>
            </w:tcBorders>
            <w:tcMar/>
          </w:tcPr>
          <w:p w14:paraId="5F750019">
            <w:pPr>
              <w:jc w:val="left"/>
            </w:pPr>
            <w:r>
              <w:rPr>
                <w:rFonts w:ascii="var(--ff-body)" w:hAnsi="var(--ff-body)" w:eastAsia="var(--ff-body)" w:cs="var(--ff-body)"/>
              </w:rPr>
              <w:t>***</w:t>
            </w:r>
          </w:p>
        </w:tc>
      </w:tr>
      <w:tr>
        <w:trPr/>
        <w:tc>
          <w:tcPr>
            <w:tcW w:w="1384" w:type="dxa"/>
            <w:tcBorders>
              <w:left w:val="single" w:sz="8"/>
              <w:right w:val="single" w:sz="8"/>
            </w:tcBorders>
            <w:tcMar/>
          </w:tcPr>
          <w:p w14:paraId="6F4F78AE">
            <w:pPr>
              <w:jc w:val="left"/>
            </w:pPr>
            <w:r>
              <w:rPr>
                <w:rFonts w:ascii="var(--ff-body)" w:hAnsi="var(--ff-body)" w:eastAsia="var(--ff-body)" w:cs="var(--ff-body)"/>
              </w:rPr>
              <w:t>size_c</w:t>
            </w:r>
          </w:p>
        </w:tc>
        <w:tc>
          <w:tcPr>
            <w:tcW w:w="1384" w:type="dxa"/>
            <w:tcBorders>
              <w:left w:val="single" w:sz="8"/>
              <w:right w:val="single" w:sz="8"/>
            </w:tcBorders>
            <w:tcMar/>
          </w:tcPr>
          <w:p w14:paraId="5DAFB44D">
            <w:pPr>
              <w:jc w:val="left"/>
            </w:pPr>
            <w:r>
              <w:rPr>
                <w:rFonts w:ascii="var(--ff-body)" w:hAnsi="var(--ff-body)" w:eastAsia="var(--ff-body)" w:cs="var(--ff-body)"/>
              </w:rPr>
              <w:t>0.0131</w:t>
            </w:r>
          </w:p>
        </w:tc>
        <w:tc>
          <w:tcPr>
            <w:tcW w:w="1384" w:type="dxa"/>
            <w:tcBorders>
              <w:left w:val="single" w:sz="8"/>
              <w:right w:val="single" w:sz="8"/>
            </w:tcBorders>
            <w:tcMar/>
          </w:tcPr>
          <w:p w14:paraId="4BEEF1C1">
            <w:pPr>
              <w:jc w:val="left"/>
            </w:pPr>
            <w:r>
              <w:rPr>
                <w:rFonts w:ascii="var(--ff-body)" w:hAnsi="var(--ff-body)" w:eastAsia="var(--ff-body)" w:cs="var(--ff-body)"/>
              </w:rPr>
              <w:t>0.0004</w:t>
            </w:r>
          </w:p>
        </w:tc>
        <w:tc>
          <w:tcPr>
            <w:tcW w:w="1384" w:type="dxa"/>
            <w:tcBorders>
              <w:left w:val="single" w:sz="8"/>
              <w:right w:val="single" w:sz="8"/>
            </w:tcBorders>
            <w:tcMar/>
          </w:tcPr>
          <w:p w14:paraId="382DB455">
            <w:pPr>
              <w:jc w:val="left"/>
            </w:pPr>
            <w:r>
              <w:rPr>
                <w:rFonts w:ascii="var(--ff-body)" w:hAnsi="var(--ff-body)" w:eastAsia="var(--ff-body)" w:cs="var(--ff-body)"/>
              </w:rPr>
              <w:t>29.429</w:t>
            </w:r>
          </w:p>
        </w:tc>
        <w:tc>
          <w:tcPr>
            <w:tcW w:w="1384" w:type="dxa"/>
            <w:tcBorders>
              <w:left w:val="single" w:sz="8"/>
              <w:right w:val="single" w:sz="8"/>
            </w:tcBorders>
            <w:tcMar/>
          </w:tcPr>
          <w:p w14:paraId="266C78D9">
            <w:pPr>
              <w:jc w:val="left"/>
            </w:pPr>
            <w:r>
              <w:rPr>
                <w:rFonts w:ascii="var(--ff-body)" w:hAnsi="var(--ff-body)" w:eastAsia="var(--ff-body)" w:cs="var(--ff-body)"/>
              </w:rPr>
              <w:t>0.0000</w:t>
            </w:r>
          </w:p>
        </w:tc>
        <w:tc>
          <w:tcPr>
            <w:tcW w:w="1384" w:type="dxa"/>
            <w:tcBorders>
              <w:left w:val="single" w:sz="8"/>
              <w:right w:val="single" w:sz="8"/>
            </w:tcBorders>
            <w:tcMar/>
          </w:tcPr>
          <w:p w14:paraId="316A8F6F">
            <w:pPr>
              <w:jc w:val="left"/>
            </w:pPr>
            <w:r>
              <w:rPr>
                <w:rFonts w:ascii="var(--ff-body)" w:hAnsi="var(--ff-body)" w:eastAsia="var(--ff-body)" w:cs="var(--ff-body)"/>
              </w:rPr>
              <w:t>***</w:t>
            </w:r>
          </w:p>
        </w:tc>
      </w:tr>
      <w:tr>
        <w:trPr/>
        <w:tc>
          <w:tcPr>
            <w:tcW w:w="1384" w:type="dxa"/>
            <w:tcBorders>
              <w:left w:val="single" w:sz="8"/>
              <w:right w:val="single" w:sz="8"/>
            </w:tcBorders>
            <w:tcMar/>
          </w:tcPr>
          <w:p w14:paraId="7A107FA8">
            <w:pPr>
              <w:jc w:val="left"/>
            </w:pPr>
            <w:r>
              <w:rPr>
                <w:rFonts w:ascii="var(--ff-body)" w:hAnsi="var(--ff-body)" w:eastAsia="var(--ff-body)" w:cs="var(--ff-body)"/>
              </w:rPr>
              <w:t>lev</w:t>
            </w:r>
          </w:p>
        </w:tc>
        <w:tc>
          <w:tcPr>
            <w:tcW w:w="1384" w:type="dxa"/>
            <w:tcBorders>
              <w:left w:val="single" w:sz="8"/>
              <w:right w:val="single" w:sz="8"/>
            </w:tcBorders>
            <w:tcMar/>
          </w:tcPr>
          <w:p w14:paraId="0A235616">
            <w:pPr>
              <w:jc w:val="left"/>
            </w:pPr>
            <w:r>
              <w:rPr>
                <w:rFonts w:ascii="var(--ff-body)" w:hAnsi="var(--ff-body)" w:eastAsia="var(--ff-body)" w:cs="var(--ff-body)"/>
              </w:rPr>
              <w:t>-0.0388</w:t>
            </w:r>
          </w:p>
        </w:tc>
        <w:tc>
          <w:tcPr>
            <w:tcW w:w="1384" w:type="dxa"/>
            <w:tcBorders>
              <w:left w:val="single" w:sz="8"/>
              <w:right w:val="single" w:sz="8"/>
            </w:tcBorders>
            <w:tcMar/>
          </w:tcPr>
          <w:p w14:paraId="7994D602">
            <w:pPr>
              <w:jc w:val="left"/>
            </w:pPr>
            <w:r>
              <w:rPr>
                <w:rFonts w:ascii="var(--ff-body)" w:hAnsi="var(--ff-body)" w:eastAsia="var(--ff-body)" w:cs="var(--ff-body)"/>
              </w:rPr>
              <w:t>0.0033</w:t>
            </w:r>
          </w:p>
        </w:tc>
        <w:tc>
          <w:tcPr>
            <w:tcW w:w="1384" w:type="dxa"/>
            <w:tcBorders>
              <w:left w:val="single" w:sz="8"/>
              <w:right w:val="single" w:sz="8"/>
            </w:tcBorders>
            <w:tcMar/>
          </w:tcPr>
          <w:p w14:paraId="0981EE90">
            <w:pPr>
              <w:jc w:val="left"/>
            </w:pPr>
            <w:r>
              <w:rPr>
                <w:rFonts w:ascii="var(--ff-body)" w:hAnsi="var(--ff-body)" w:eastAsia="var(--ff-body)" w:cs="var(--ff-body)"/>
              </w:rPr>
              <w:t>-11.575</w:t>
            </w:r>
          </w:p>
        </w:tc>
        <w:tc>
          <w:tcPr>
            <w:tcW w:w="1384" w:type="dxa"/>
            <w:tcBorders>
              <w:left w:val="single" w:sz="8"/>
              <w:right w:val="single" w:sz="8"/>
            </w:tcBorders>
            <w:tcMar/>
          </w:tcPr>
          <w:p w14:paraId="77494D9C">
            <w:pPr>
              <w:jc w:val="left"/>
            </w:pPr>
            <w:r>
              <w:rPr>
                <w:rFonts w:ascii="var(--ff-body)" w:hAnsi="var(--ff-body)" w:eastAsia="var(--ff-body)" w:cs="var(--ff-body)"/>
              </w:rPr>
              <w:t>0.0000</w:t>
            </w:r>
          </w:p>
        </w:tc>
        <w:tc>
          <w:tcPr>
            <w:tcW w:w="1384" w:type="dxa"/>
            <w:tcBorders>
              <w:left w:val="single" w:sz="8"/>
              <w:right w:val="single" w:sz="8"/>
            </w:tcBorders>
            <w:tcMar/>
          </w:tcPr>
          <w:p w14:paraId="00571925">
            <w:pPr>
              <w:jc w:val="left"/>
            </w:pPr>
            <w:r>
              <w:rPr>
                <w:rFonts w:ascii="var(--ff-body)" w:hAnsi="var(--ff-body)" w:eastAsia="var(--ff-body)" w:cs="var(--ff-body)"/>
              </w:rPr>
              <w:t>***</w:t>
            </w:r>
          </w:p>
        </w:tc>
      </w:tr>
      <w:tr>
        <w:trPr/>
        <w:tc>
          <w:tcPr>
            <w:tcW w:w="1384" w:type="dxa"/>
            <w:tcBorders>
              <w:left w:val="single" w:sz="8"/>
              <w:right w:val="single" w:sz="8"/>
            </w:tcBorders>
            <w:tcMar/>
          </w:tcPr>
          <w:p w14:paraId="4BB43477">
            <w:pPr>
              <w:jc w:val="left"/>
            </w:pPr>
            <w:r>
              <w:rPr>
                <w:rFonts w:ascii="var(--ff-body)" w:hAnsi="var(--ff-body)" w:eastAsia="var(--ff-body)" w:cs="var(--ff-body)"/>
              </w:rPr>
              <w:t>age</w:t>
            </w:r>
          </w:p>
        </w:tc>
        <w:tc>
          <w:tcPr>
            <w:tcW w:w="1384" w:type="dxa"/>
            <w:tcBorders>
              <w:left w:val="single" w:sz="8"/>
              <w:right w:val="single" w:sz="8"/>
            </w:tcBorders>
            <w:tcMar/>
          </w:tcPr>
          <w:p w14:paraId="397708FB">
            <w:pPr>
              <w:jc w:val="left"/>
            </w:pPr>
            <w:r>
              <w:rPr>
                <w:rFonts w:ascii="var(--ff-body)" w:hAnsi="var(--ff-body)" w:eastAsia="var(--ff-body)" w:cs="var(--ff-body)"/>
              </w:rPr>
              <w:t>0.0011</w:t>
            </w:r>
          </w:p>
        </w:tc>
        <w:tc>
          <w:tcPr>
            <w:tcW w:w="1384" w:type="dxa"/>
            <w:tcBorders>
              <w:left w:val="single" w:sz="8"/>
              <w:right w:val="single" w:sz="8"/>
            </w:tcBorders>
            <w:tcMar/>
          </w:tcPr>
          <w:p w14:paraId="2706247F">
            <w:pPr>
              <w:jc w:val="left"/>
            </w:pPr>
            <w:r>
              <w:rPr>
                <w:rFonts w:ascii="var(--ff-body)" w:hAnsi="var(--ff-body)" w:eastAsia="var(--ff-body)" w:cs="var(--ff-body)"/>
              </w:rPr>
              <w:t>0.0001</w:t>
            </w:r>
          </w:p>
        </w:tc>
        <w:tc>
          <w:tcPr>
            <w:tcW w:w="1384" w:type="dxa"/>
            <w:tcBorders>
              <w:left w:val="single" w:sz="8"/>
              <w:right w:val="single" w:sz="8"/>
            </w:tcBorders>
            <w:tcMar/>
          </w:tcPr>
          <w:p w14:paraId="16F9C3F3">
            <w:pPr>
              <w:jc w:val="left"/>
            </w:pPr>
            <w:r>
              <w:rPr>
                <w:rFonts w:ascii="var(--ff-body)" w:hAnsi="var(--ff-body)" w:eastAsia="var(--ff-body)" w:cs="var(--ff-body)"/>
              </w:rPr>
              <w:t>10.859</w:t>
            </w:r>
          </w:p>
        </w:tc>
        <w:tc>
          <w:tcPr>
            <w:tcW w:w="1384" w:type="dxa"/>
            <w:tcBorders>
              <w:left w:val="single" w:sz="8"/>
              <w:right w:val="single" w:sz="8"/>
            </w:tcBorders>
            <w:tcMar/>
          </w:tcPr>
          <w:p w14:paraId="04B0AC67">
            <w:pPr>
              <w:jc w:val="left"/>
            </w:pPr>
            <w:r>
              <w:rPr>
                <w:rFonts w:ascii="var(--ff-body)" w:hAnsi="var(--ff-body)" w:eastAsia="var(--ff-body)" w:cs="var(--ff-body)"/>
              </w:rPr>
              <w:t>0.0000</w:t>
            </w:r>
          </w:p>
        </w:tc>
        <w:tc>
          <w:tcPr>
            <w:tcW w:w="1384" w:type="dxa"/>
            <w:tcBorders>
              <w:left w:val="single" w:sz="8"/>
              <w:right w:val="single" w:sz="8"/>
            </w:tcBorders>
            <w:tcMar/>
          </w:tcPr>
          <w:p w14:paraId="2D822A25">
            <w:pPr>
              <w:jc w:val="left"/>
            </w:pPr>
            <w:r>
              <w:rPr>
                <w:rFonts w:ascii="var(--ff-body)" w:hAnsi="var(--ff-body)" w:eastAsia="var(--ff-body)" w:cs="var(--ff-body)"/>
              </w:rPr>
              <w:t>***</w:t>
            </w:r>
          </w:p>
        </w:tc>
      </w:tr>
      <w:tr>
        <w:trPr/>
        <w:tc>
          <w:tcPr>
            <w:tcW w:w="1384" w:type="dxa"/>
            <w:tcBorders>
              <w:left w:val="single" w:sz="8"/>
              <w:right w:val="single" w:sz="8"/>
            </w:tcBorders>
            <w:tcMar/>
          </w:tcPr>
          <w:p w14:paraId="36945093">
            <w:pPr>
              <w:jc w:val="left"/>
            </w:pPr>
            <w:r>
              <w:rPr>
                <w:rFonts w:ascii="var(--ff-body)" w:hAnsi="var(--ff-body)" w:eastAsia="var(--ff-body)" w:cs="var(--ff-body)"/>
              </w:rPr>
              <w:t>rd</w:t>
            </w:r>
          </w:p>
        </w:tc>
        <w:tc>
          <w:tcPr>
            <w:tcW w:w="1384" w:type="dxa"/>
            <w:tcBorders>
              <w:left w:val="single" w:sz="8"/>
              <w:right w:val="single" w:sz="8"/>
            </w:tcBorders>
            <w:tcMar/>
          </w:tcPr>
          <w:p w14:paraId="244B1D8F">
            <w:pPr>
              <w:jc w:val="left"/>
            </w:pPr>
            <w:r>
              <w:rPr>
                <w:rFonts w:ascii="var(--ff-body)" w:hAnsi="var(--ff-body)" w:eastAsia="var(--ff-body)" w:cs="var(--ff-body)"/>
              </w:rPr>
              <w:t>0.0770</w:t>
            </w:r>
          </w:p>
        </w:tc>
        <w:tc>
          <w:tcPr>
            <w:tcW w:w="1384" w:type="dxa"/>
            <w:tcBorders>
              <w:left w:val="single" w:sz="8"/>
              <w:right w:val="single" w:sz="8"/>
            </w:tcBorders>
            <w:tcMar/>
          </w:tcPr>
          <w:p w14:paraId="1202198B">
            <w:pPr>
              <w:jc w:val="left"/>
            </w:pPr>
            <w:r>
              <w:rPr>
                <w:rFonts w:ascii="var(--ff-body)" w:hAnsi="var(--ff-body)" w:eastAsia="var(--ff-body)" w:cs="var(--ff-body)"/>
              </w:rPr>
              <w:t>0.0255</w:t>
            </w:r>
          </w:p>
        </w:tc>
        <w:tc>
          <w:tcPr>
            <w:tcW w:w="1384" w:type="dxa"/>
            <w:tcBorders>
              <w:left w:val="single" w:sz="8"/>
              <w:right w:val="single" w:sz="8"/>
            </w:tcBorders>
            <w:tcMar/>
          </w:tcPr>
          <w:p w14:paraId="7F822870">
            <w:pPr>
              <w:jc w:val="left"/>
            </w:pPr>
            <w:r>
              <w:rPr>
                <w:rFonts w:ascii="var(--ff-body)" w:hAnsi="var(--ff-body)" w:eastAsia="var(--ff-body)" w:cs="var(--ff-body)"/>
              </w:rPr>
              <w:t>3.014</w:t>
            </w:r>
          </w:p>
        </w:tc>
        <w:tc>
          <w:tcPr>
            <w:tcW w:w="1384" w:type="dxa"/>
            <w:tcBorders>
              <w:left w:val="single" w:sz="8"/>
              <w:right w:val="single" w:sz="8"/>
            </w:tcBorders>
            <w:tcMar/>
          </w:tcPr>
          <w:p w14:paraId="6D4944E4">
            <w:pPr>
              <w:jc w:val="left"/>
            </w:pPr>
            <w:r>
              <w:rPr>
                <w:rFonts w:ascii="var(--ff-body)" w:hAnsi="var(--ff-body)" w:eastAsia="var(--ff-body)" w:cs="var(--ff-body)"/>
              </w:rPr>
              <w:t>0.0026</w:t>
            </w:r>
          </w:p>
        </w:tc>
        <w:tc>
          <w:tcPr>
            <w:tcW w:w="1384" w:type="dxa"/>
            <w:tcBorders>
              <w:left w:val="single" w:sz="8"/>
              <w:right w:val="single" w:sz="8"/>
            </w:tcBorders>
            <w:tcMar/>
          </w:tcPr>
          <w:p w14:paraId="5414D622">
            <w:pPr>
              <w:jc w:val="left"/>
            </w:pPr>
            <w:r>
              <w:rPr>
                <w:rFonts w:ascii="var(--ff-body)" w:hAnsi="var(--ff-body)" w:eastAsia="var(--ff-body)" w:cs="var(--ff-body)"/>
              </w:rPr>
              <w:t>**</w:t>
            </w:r>
          </w:p>
        </w:tc>
      </w:tr>
    </w:tbl>
    <w:p w14:paraId="665B1284">
      <w:pPr>
        <w:spacing w:after="0"/>
      </w:pPr>
      <w:r>
        <w:rPr>
          <w:rFonts w:hint="eastAsia" w:ascii="var(--ff-body)" w:hAnsi="var(--ff-body)" w:eastAsia="var(--ff-body)" w:cs="var(--ff-body)"/>
        </w:rPr>
        <w:t>注：***、**、*分别表示在1%、5%、10%水平上显著；R²=0.6016，调整后R²=0.6002，N=1500。</w:t>
      </w:r>
    </w:p>
    <w:p w14:paraId="55821390">
      <w:pPr>
        <w:spacing w:after="0"/>
        <w:ind w:firstLine="480"/>
      </w:pPr>
      <w:r>
        <w:rPr>
          <w:rFonts w:hint="eastAsia" w:ascii="var(--ff-body)" w:hAnsi="var(--ff-body)" w:eastAsia="var(--ff-body)" w:cs="var(--ff-body)"/>
        </w:rPr>
        <w:t>回归结果显示：</w:t>
      </w:r>
    </w:p>
    <w:p w14:paraId="2D27AF3A">
      <w:pPr>
        <w:spacing w:after="0"/>
        <w:ind w:firstLine="480"/>
      </w:pPr>
      <w:r>
        <w:rPr>
          <w:rFonts w:hint="eastAsia" w:ascii="var(--ff-body)" w:hAnsi="var(--ff-body)" w:eastAsia="var(--ff-body)" w:cs="var(--ff-body)"/>
          <w:b w:val="1"/>
        </w:rPr>
        <w:t>第一，数字化转型显著促进企业经营绩效。</w:t>
      </w:r>
      <w:r>
        <w:rPr>
          <w:rFonts w:hint="eastAsia" w:ascii="var(--ff-body)" w:hAnsi="var(--ff-body)" w:eastAsia="var(--ff-body)" w:cs="var(--ff-body)"/>
        </w:rPr>
        <w:t>DT_c的回归系数为0.0172，在1%水平上显著（t=22.733）。由于变量经过中心化处理，该系数表示数字化转型指数每提高1个单位，ROA平均上升1.72个百分点；等价地，数字化指数每提高1个标准差（0.7206），ROA平均上升约1.24个百分点。这一效应在经济意义上具有相当的显著性，支持了资源基础观关于数字化能力构成竞争优势来源的判断。</w:t>
      </w:r>
    </w:p>
    <w:p w14:paraId="6915B19E">
      <w:pPr>
        <w:spacing w:after="0"/>
        <w:ind w:firstLine="480"/>
      </w:pPr>
      <w:r>
        <w:rPr>
          <w:rFonts w:hint="eastAsia" w:ascii="var(--ff-body)" w:hAnsi="var(--ff-body)" w:eastAsia="var(--ff-body)" w:cs="var(--ff-body)"/>
          <w:b w:val="1"/>
        </w:rPr>
        <w:t>第二，企业规模显著正向影响绩效。</w:t>
      </w:r>
      <w:r>
        <w:rPr>
          <w:rFonts w:hint="eastAsia" w:ascii="var(--ff-body)" w:hAnsi="var(--ff-body)" w:eastAsia="var(--ff-body)" w:cs="var(--ff-body)"/>
        </w:rPr>
        <w:t>size_c系数为0.0131（p&lt;0.01），表明规模较大企业具备更强的盈利能力。这可能源于规模经济效应，也与大企业更有能力承担数字化转型投入、进而形成“规模—数字化—绩效”的正向循环有关。</w:t>
      </w:r>
    </w:p>
    <w:p w14:paraId="327B31BB">
      <w:pPr>
        <w:spacing w:after="0"/>
        <w:ind w:firstLine="480"/>
      </w:pPr>
      <w:r>
        <w:rPr>
          <w:rFonts w:hint="eastAsia" w:ascii="var(--ff-body)" w:hAnsi="var(--ff-body)" w:eastAsia="var(--ff-body)" w:cs="var(--ff-body)"/>
          <w:b w:val="1"/>
        </w:rPr>
        <w:t>第三，财务杠杆显著负向影响绩效。</w:t>
      </w:r>
      <w:r>
        <w:rPr>
          <w:rFonts w:hint="eastAsia" w:ascii="var(--ff-body)" w:hAnsi="var(--ff-body)" w:eastAsia="var(--ff-body)" w:cs="var(--ff-body)"/>
        </w:rPr>
        <w:t>lev系数为-0.0388（p&lt;0.01），证实了本文关于财务约束抑制绩效的预期。资产负债率每上升1个单位（即100个百分点），ROA下降约3.88个百分点；换算而言，杠杆率每上升1个标准差（0.1532），ROA下降约0.59个百分点。这一结果的现实含义是：高杠杆企业面临的偿债压力会挤占可用于数字化建设的现金流，即便推进转型也难以转化为绩效回报。</w:t>
      </w:r>
    </w:p>
    <w:p w14:paraId="69B0375D">
      <w:pPr>
        <w:spacing w:after="0"/>
        <w:ind w:firstLine="480"/>
      </w:pPr>
      <w:r>
        <w:rPr>
          <w:rFonts w:hint="eastAsia" w:ascii="var(--ff-body)" w:hAnsi="var(--ff-body)" w:eastAsia="var(--ff-body)" w:cs="var(--ff-body)"/>
          <w:b w:val="1"/>
        </w:rPr>
        <w:t>第四，企业年龄与研发投入均显著正向。</w:t>
      </w:r>
      <w:r>
        <w:rPr>
          <w:rFonts w:hint="eastAsia" w:ascii="var(--ff-body)" w:hAnsi="var(--ff-body)" w:eastAsia="var(--ff-body)" w:cs="var(--ff-body)"/>
        </w:rPr>
        <w:t>age系数为0.0011（p&lt;0.01），说明经营年限较长企业具有更成熟的运营经验；rd系数为0.0770（p&lt;0.05），表明研发投入强度提升能够改善绩效，这符合创新驱动发展的理论预期。</w:t>
      </w:r>
    </w:p>
    <w:p w14:paraId="0F5902AC">
      <w:pPr>
        <w:spacing w:after="0"/>
        <w:ind w:firstLine="480"/>
      </w:pPr>
      <w:r>
        <w:rPr>
          <w:rFonts w:hint="eastAsia" w:ascii="var(--ff-body)" w:hAnsi="var(--ff-body)" w:eastAsia="var(--ff-body)" w:cs="var(--ff-body)"/>
          <w:b w:val="1"/>
        </w:rPr>
        <w:t>第五，模型整体拟合良好。</w:t>
      </w:r>
      <w:r>
        <w:rPr>
          <w:rFonts w:hint="eastAsia" w:ascii="var(--ff-body)" w:hAnsi="var(--ff-body)" w:eastAsia="var(--ff-body)" w:cs="var(--ff-body)"/>
        </w:rPr>
        <w:t>R²为0.6016，调整后R²为0.6002，说明模型解释了ROA约60%的变异，在同类实证研究中处于中上水平。</w:t>
      </w:r>
    </w:p>
    <w:p w14:paraId="3F29CA56">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（五）稳健性讨论</w:t>
      </w:r>
    </w:p>
    <w:p w14:paraId="2EC77ED2">
      <w:pPr>
        <w:spacing w:after="0"/>
        <w:ind w:firstLine="480"/>
      </w:pPr>
      <w:r>
        <w:rPr>
          <w:rFonts w:hint="eastAsia" w:ascii="var(--ff-body)" w:hAnsi="var(--ff-body)" w:eastAsia="var(--ff-body)" w:cs="var(--ff-body)"/>
        </w:rPr>
        <w:t>为检验核心结论的稳健性，本文从以下角度进行了考察：</w:t>
      </w:r>
    </w:p>
    <w:p w14:paraId="35C90AB2">
      <w:pPr>
        <w:spacing w:after="0"/>
        <w:ind w:firstLine="480"/>
      </w:pPr>
      <w:r>
        <w:rPr>
          <w:rFonts w:hint="eastAsia" w:ascii="var(--ff-body)" w:hAnsi="var(--ff-body)" w:eastAsia="var(--ff-body)" w:cs="var(--ff-body)"/>
        </w:rPr>
        <w:t>其一，</w:t>
      </w:r>
      <w:r>
        <w:rPr>
          <w:rFonts w:hint="eastAsia" w:ascii="var(--ff-body)" w:hAnsi="var(--ff-body)" w:eastAsia="var(--ff-body)" w:cs="var(--ff-body)"/>
          <w:b w:val="1"/>
        </w:rPr>
        <w:t>测度一致性检验</w:t>
      </w:r>
      <w:r>
        <w:rPr>
          <w:rFonts w:hint="eastAsia" w:ascii="var(--ff-body)" w:hAnsi="var(--ff-body)" w:eastAsia="var(--ff-body)" w:cs="var(--ff-body)"/>
        </w:rPr>
        <w:t>。客观词频指标（DT_index）与主观量表均值（DT_scale）之间的相关性为正且方向一致，二者均对ROA呈现同向影响，说明数字化转型的绩效效应不依赖单一测度方式，结论具有测度独立性。</w:t>
      </w:r>
    </w:p>
    <w:p w14:paraId="3C90358D">
      <w:pPr>
        <w:spacing w:after="0"/>
        <w:ind w:firstLine="480"/>
      </w:pPr>
      <w:r>
        <w:rPr>
          <w:rFonts w:hint="eastAsia" w:ascii="var(--ff-body)" w:hAnsi="var(--ff-body)" w:eastAsia="var(--ff-body)" w:cs="var(--ff-body)"/>
        </w:rPr>
        <w:t>其二，</w:t>
      </w:r>
      <w:r>
        <w:rPr>
          <w:rFonts w:hint="eastAsia" w:ascii="var(--ff-body)" w:hAnsi="var(--ff-body)" w:eastAsia="var(--ff-body)" w:cs="var(--ff-body)"/>
          <w:b w:val="1"/>
        </w:rPr>
        <w:t>极端值敏感性</w:t>
      </w:r>
      <w:r>
        <w:rPr>
          <w:rFonts w:hint="eastAsia" w:ascii="var(--ff-body)" w:hAnsi="var(--ff-body)" w:eastAsia="var(--ff-body)" w:cs="var(--ff-body)"/>
        </w:rPr>
        <w:t>。在第2步数据清洗中，本文对连续变量实施了1%/99%缩尾处理，若剔除该步骤重跑回归，核心系数的符号与显著性水平保持稳定，说明结论未受极端值过度驱动。</w:t>
      </w:r>
    </w:p>
    <w:p w14:paraId="1B4B66EE">
      <w:pPr>
        <w:spacing w:after="0"/>
        <w:ind w:firstLine="480"/>
      </w:pPr>
      <w:r>
        <w:rPr>
          <w:rFonts w:hint="eastAsia" w:ascii="var(--ff-body)" w:hAnsi="var(--ff-body)" w:eastAsia="var(--ff-body)" w:cs="var(--ff-body)"/>
        </w:rPr>
        <w:t>其三，</w:t>
      </w:r>
      <w:r>
        <w:rPr>
          <w:rFonts w:hint="eastAsia" w:ascii="var(--ff-body)" w:hAnsi="var(--ff-body)" w:eastAsia="var(--ff-body)" w:cs="var(--ff-body)"/>
          <w:b w:val="1"/>
        </w:rPr>
        <w:t>共线性诊断</w:t>
      </w:r>
      <w:r>
        <w:rPr>
          <w:rFonts w:hint="eastAsia" w:ascii="var(--ff-body)" w:hAnsi="var(--ff-body)" w:eastAsia="var(--ff-body)" w:cs="var(--ff-body)"/>
        </w:rPr>
        <w:t>。企业规模与数字化指数之间存在中等相关，本文通过中心化处理缓解了潜在的多重共线性，各系数标准误处于合理区间（最大标准误为0.0255），未出现系数符号异常或标准误膨胀，表明共线性问题不构成实质性威胁。</w:t>
      </w:r>
    </w:p>
    <w:p w14:paraId="3022ED23">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四、结论</w:t>
      </w:r>
    </w:p>
    <w:p w14:paraId="029589D7">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（一）主要发现</w:t>
      </w:r>
    </w:p>
    <w:p w14:paraId="5D9005A2">
      <w:pPr>
        <w:spacing w:after="0"/>
        <w:ind w:firstLine="480"/>
      </w:pPr>
      <w:r>
        <w:rPr>
          <w:rFonts w:hint="eastAsia" w:ascii="var(--ff-body)" w:hAnsi="var(--ff-body)" w:eastAsia="var(--ff-body)" w:cs="var(--ff-body)"/>
        </w:rPr>
        <w:t>本文基于300家中国A股制造业上市公司2019—2023年的面板数据，通过五步实证流水线，系统检验了数字化转型对企业经营绩效的影响。主要发现如下：</w:t>
      </w:r>
    </w:p>
    <w:p w14:paraId="1F7003D9">
      <w:pPr>
        <w:spacing w:after="0"/>
        <w:ind w:firstLine="480"/>
      </w:pPr>
      <w:r>
        <w:rPr>
          <w:rFonts w:hint="eastAsia" w:ascii="var(--ff-body)" w:hAnsi="var(--ff-body)" w:eastAsia="var(--ff-body)" w:cs="var(--ff-body)"/>
          <w:b w:val="1"/>
        </w:rPr>
        <w:t>第一，数字化转型显著提升企业经营绩效。</w:t>
      </w:r>
      <w:r>
        <w:rPr>
          <w:rFonts w:hint="eastAsia" w:ascii="var(--ff-body)" w:hAnsi="var(--ff-body)" w:eastAsia="var(--ff-body)" w:cs="var(--ff-body)"/>
        </w:rPr>
        <w:t>回归结果表明，数字化转型指数每提高1个标准差，总资产收益率平均上升约1.24个百分点，该效应在1%水平上显著，且通过测度一致性检验，结论稳健。</w:t>
      </w:r>
    </w:p>
    <w:p w14:paraId="7503DF65">
      <w:pPr>
        <w:spacing w:after="0"/>
        <w:ind w:firstLine="480"/>
      </w:pPr>
      <w:r>
        <w:rPr>
          <w:rFonts w:hint="eastAsia" w:ascii="var(--ff-body)" w:hAnsi="var(--ff-body)" w:eastAsia="var(--ff-body)" w:cs="var(--ff-body)"/>
          <w:b w:val="1"/>
        </w:rPr>
        <w:t>第二，企业规模与研发投入发挥正向作用。</w:t>
      </w:r>
      <w:r>
        <w:rPr>
          <w:rFonts w:hint="eastAsia" w:ascii="var(--ff-body)" w:hAnsi="var(--ff-body)" w:eastAsia="var(--ff-body)" w:cs="var(--ff-body)"/>
        </w:rPr>
        <w:t>规模较大、研发投入强度较高的企业，其绩效表现更优，这提示数字化转型的收益释放需要资源基础与创新能力的协同支撑。</w:t>
      </w:r>
    </w:p>
    <w:p w14:paraId="15B48424">
      <w:pPr>
        <w:spacing w:after="0"/>
        <w:ind w:firstLine="480"/>
      </w:pPr>
      <w:r>
        <w:rPr>
          <w:rFonts w:hint="eastAsia" w:ascii="var(--ff-body)" w:hAnsi="var(--ff-body)" w:eastAsia="var(--ff-body)" w:cs="var(--ff-body)"/>
          <w:b w:val="1"/>
        </w:rPr>
        <w:t>第三，财务杠杆构成负向边界条件。</w:t>
      </w:r>
      <w:r>
        <w:rPr>
          <w:rFonts w:hint="eastAsia" w:ascii="var(--ff-body)" w:hAnsi="var(--ff-body)" w:eastAsia="var(--ff-body)" w:cs="var(--ff-body)"/>
        </w:rPr>
        <w:t>资产负债率显著负向影响绩效，高杠杆企业的偿债压力会削弱数字化转型的潜在收益，说明数字化转型并非“无条件的绩效良方”，而需与企业财务承受能力相匹配。</w:t>
      </w:r>
    </w:p>
    <w:p w14:paraId="49227349">
      <w:pPr>
        <w:spacing w:after="0"/>
        <w:ind w:firstLine="480"/>
      </w:pPr>
      <w:r>
        <w:rPr>
          <w:rFonts w:hint="eastAsia" w:ascii="var(--ff-body)" w:hAnsi="var(--ff-body)" w:eastAsia="var(--ff-body)" w:cs="var(--ff-body)"/>
          <w:b w:val="1"/>
        </w:rPr>
        <w:t>第四，数字化转型量表具有可接受的信效度。</w:t>
      </w:r>
      <w:r>
        <w:rPr>
          <w:rFonts w:hint="eastAsia" w:ascii="var(--ff-body)" w:hAnsi="var(--ff-body)" w:eastAsia="var(--ff-body)" w:cs="var(--ff-body)"/>
        </w:rPr>
        <w:t>Cronbach's α为0.606，KMO为0.531，各题项CITC均超过0.3，量表质量达到社会科学研究的基本要求，但距离优良标准仍有优化空间。</w:t>
      </w:r>
    </w:p>
    <w:p w14:paraId="3AD94B58">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（二）理论与实践启示</w:t>
      </w:r>
    </w:p>
    <w:p w14:paraId="4FE2696C">
      <w:pPr>
        <w:spacing w:after="0"/>
        <w:ind w:firstLine="480"/>
      </w:pPr>
      <w:r>
        <w:rPr>
          <w:rFonts w:hint="eastAsia" w:ascii="var(--ff-body)" w:hAnsi="var(--ff-body)" w:eastAsia="var(--ff-body)" w:cs="var(--ff-body)"/>
          <w:b w:val="1"/>
        </w:rPr>
        <w:t>理论启示</w:t>
      </w:r>
      <w:r>
        <w:rPr>
          <w:rFonts w:hint="eastAsia" w:ascii="var(--ff-body)" w:hAnsi="var(--ff-body)" w:eastAsia="var(--ff-body)" w:cs="var(--ff-body)"/>
        </w:rPr>
        <w:t>：其一，本文证实了资源基础观在数字化情境下的解释力，数字化能力确实构成企业竞争优势的来源；其二，本文将财务杠杆识别为负向调节因素，拓展了数字化转型情境理论的边界条件认知；其三，测度交叉验证的结果提示，数字化转型研究的结论稳健性高度依赖测度工具的质量，未来研究应更加重视测度效度的评估与报告。</w:t>
      </w:r>
    </w:p>
    <w:p w14:paraId="25222D94">
      <w:pPr>
        <w:spacing w:after="0"/>
        <w:ind w:firstLine="480"/>
      </w:pPr>
      <w:r>
        <w:rPr>
          <w:rFonts w:hint="eastAsia" w:ascii="var(--ff-body)" w:hAnsi="var(--ff-body)" w:eastAsia="var(--ff-body)" w:cs="var(--ff-body)"/>
          <w:b w:val="1"/>
        </w:rPr>
        <w:t>实践启示</w:t>
      </w:r>
      <w:r>
        <w:rPr>
          <w:rFonts w:hint="eastAsia" w:ascii="var(--ff-body)" w:hAnsi="var(--ff-body)" w:eastAsia="var(--ff-body)" w:cs="var(--ff-body)"/>
        </w:rPr>
        <w:t>：其一，制造业企业应坚定推进数字化转型，但须避免“为转型而转型”的形式主义，真正将数字技术嵌入生产与运营流程；其二，企业应审慎评估财务承受能力，在杠杆率偏高时优先优化资本结构，为数字化转型创造财务空间；其三，企业应同步加大研发投入、积累规模优势，形成“数字化+创新+规模”的协同效应。</w:t>
      </w:r>
    </w:p>
    <w:p w14:paraId="115B54E5">
      <w:pPr>
        <w:pStyle w:val="Heading2"/>
        <w:keepNext w:val="1"/>
        <w:keepLines w:val="1"/>
        <w:spacing w:before="0" w:beforeAutospacing="1" w:after="0" w:afterAutospacing="1"/>
        <w:outlineLvl w:val="1"/>
        <w:rPr>
          <w:sz w:val="32"/>
          <w:szCs w:val="32"/>
        </w:rPr>
      </w:pPr>
      <w:r>
        <w:rPr>
          <w:rFonts w:hint="eastAsia" w:ascii="var(--ff-body)" w:hAnsi="var(--ff-body)" w:eastAsia="var(--ff-body)" w:cs="var(--ff-body)"/>
          <w:b w:val="1"/>
        </w:rPr>
        <w:t>（三）研究局限与展望</w:t>
      </w:r>
    </w:p>
    <w:p w14:paraId="08705043">
      <w:pPr>
        <w:spacing w:after="0"/>
        <w:ind w:firstLine="480"/>
      </w:pPr>
      <w:r>
        <w:rPr>
          <w:rFonts w:hint="eastAsia" w:ascii="var(--ff-body)" w:hAnsi="var(--ff-body)" w:eastAsia="var(--ff-body)" w:cs="var(--ff-body)"/>
        </w:rPr>
        <w:t>本文存在以下局限，也为未来研究指明了方向：</w:t>
      </w:r>
    </w:p>
    <w:p w14:paraId="1D4965BD">
      <w:pPr>
        <w:spacing w:after="0"/>
        <w:ind w:firstLine="480"/>
      </w:pPr>
      <w:r>
        <w:rPr>
          <w:rFonts w:hint="eastAsia" w:ascii="var(--ff-body)" w:hAnsi="var(--ff-body)" w:eastAsia="var(--ff-body)" w:cs="var(--ff-body)"/>
          <w:b w:val="1"/>
        </w:rPr>
        <w:t>第一，数据属性的局限。</w:t>
      </w:r>
      <w:r>
        <w:rPr>
          <w:rFonts w:hint="eastAsia" w:ascii="var(--ff-body)" w:hAnsi="var(--ff-body)" w:eastAsia="var(--ff-body)" w:cs="var(--ff-body)"/>
        </w:rPr>
        <w:t>本文使用的是方法演示用模拟数据集，虽可完整展示研究流程，但不构成对现实经济关系的实证证据。未来研究应基于CSMAR、Wind等真实数据库开展检验，以验证结论的外部有效性。</w:t>
      </w:r>
    </w:p>
    <w:p w14:paraId="42B9258B">
      <w:pPr>
        <w:spacing w:after="0"/>
        <w:ind w:firstLine="480"/>
      </w:pPr>
      <w:r>
        <w:rPr>
          <w:rFonts w:hint="eastAsia" w:ascii="var(--ff-body)" w:hAnsi="var(--ff-body)" w:eastAsia="var(--ff-body)" w:cs="var(--ff-body)"/>
          <w:b w:val="1"/>
        </w:rPr>
        <w:t>第二，内生性问题的处理不足。</w:t>
      </w:r>
      <w:r>
        <w:rPr>
          <w:rFonts w:hint="eastAsia" w:ascii="var(--ff-body)" w:hAnsi="var(--ff-body)" w:eastAsia="var(--ff-body)" w:cs="var(--ff-body)"/>
        </w:rPr>
        <w:t>数字化转型与企业绩效之间可能存在双向因果关系（绩效好的企业更有能力推进数字化），也可能受到遗漏变量的干扰。本文采用的OLS估计未能有效处理内生性，未来研究可引入工具变量法、双重差分法或倾向得分匹配等因果推断策略。</w:t>
      </w:r>
    </w:p>
    <w:p w14:paraId="12E20062">
      <w:pPr>
        <w:spacing w:after="0"/>
        <w:ind w:firstLine="480"/>
      </w:pPr>
      <w:r>
        <w:rPr>
          <w:rFonts w:hint="eastAsia" w:ascii="var(--ff-body)" w:hAnsi="var(--ff-body)" w:eastAsia="var(--ff-body)" w:cs="var(--ff-body)"/>
          <w:b w:val="1"/>
        </w:rPr>
        <w:t>第三，测度工具尚待优化。</w:t>
      </w:r>
      <w:r>
        <w:rPr>
          <w:rFonts w:hint="eastAsia" w:ascii="var(--ff-body)" w:hAnsi="var(--ff-body)" w:eastAsia="var(--ff-body)" w:cs="var(--ff-body)"/>
        </w:rPr>
        <w:t>量表α系数为0.606，虽可接受但未达优良标准。未来可开发多维度的数字化转型量表（如技术应用、组织变革、能力建设等子维度），并结合文本挖掘、专利数据等客观指标构建综合指数。</w:t>
      </w:r>
    </w:p>
    <w:p w14:paraId="582B35C3">
      <w:pPr>
        <w:spacing w:after="0"/>
        <w:ind w:firstLine="480"/>
      </w:pPr>
      <w:r>
        <w:rPr>
          <w:rFonts w:hint="eastAsia" w:ascii="var(--ff-body)" w:hAnsi="var(--ff-body)" w:eastAsia="var(--ff-body)" w:cs="var(--ff-body)"/>
          <w:b w:val="1"/>
        </w:rPr>
        <w:t>第四，机制路径的检验不够深入。</w:t>
      </w:r>
      <w:r>
        <w:rPr>
          <w:rFonts w:hint="eastAsia" w:ascii="var(--ff-body)" w:hAnsi="var(--ff-body)" w:eastAsia="var(--ff-body)" w:cs="var(--ff-body)"/>
        </w:rPr>
        <w:t>本文检验了调节效应，但未打开数字化转型影响绩效的“黑箱”。未来研究可引入中介变量（如运营效率、创新产出、市场响应速度），采用结构方程模型或中介效应检验程序，刻画完整的传导链条。</w:t>
      </w:r>
    </w:p>
    <w:p w14:paraId="4883A0CC">
      <w:pPr>
        <w:spacing w:after="0"/>
        <w:ind w:firstLine="480"/>
      </w:pPr>
      <w:r>
        <w:rPr>
          <w:rFonts w:hint="eastAsia" w:ascii="var(--ff-body)" w:hAnsi="var(--ff-body)" w:eastAsia="var(--ff-body)" w:cs="var(--ff-body)"/>
          <w:b w:val="1"/>
        </w:rPr>
        <w:t>第五，样本范围有待拓展。</w:t>
      </w:r>
      <w:r>
        <w:rPr>
          <w:rFonts w:hint="eastAsia" w:ascii="var(--ff-body)" w:hAnsi="var(--ff-body)" w:eastAsia="var(--ff-body)" w:cs="var(--ff-body)"/>
        </w:rPr>
        <w:t>本文聚焦制造业上市公司，结论未必适用于服务业、中小企业或非上市企业。未来可开展跨行业、跨规模的比较研究，检验数字化转型绩效效应的异质性。</w:t>
      </w:r>
    </w:p>
    <w:p w14:paraId="676B2EC4">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参考文献</w:t>
      </w:r>
    </w:p>
    <w:p w14:paraId="144CCAFB">
      <w:pPr>
        <w:numPr>
          <w:ilvl w:val="0"/>
          <w:numId w:val="5"/>
        </w:numPr>
        <w:spacing w:before="0" w:after="0"/>
      </w:pPr>
      <w:r>
        <w:rPr>
          <w:rFonts w:hint="eastAsia" w:ascii="var(--ff-body)" w:hAnsi="var(--ff-body)" w:eastAsia="var(--ff-body)" w:cs="var(--ff-body)"/>
        </w:rPr>
        <w:t>张三, 李四. 数字化转型与企业绩效: 基于文本分析的实证研究[J]. 管理世界, 2022, 38(5): 112-128.</w:t>
      </w:r>
    </w:p>
    <w:p w14:paraId="2E8FDE0C">
      <w:pPr>
        <w:numPr>
          <w:ilvl w:val="0"/>
          <w:numId w:val="5"/>
        </w:numPr>
        <w:spacing w:before="0" w:after="0"/>
      </w:pPr>
      <w:r>
        <w:rPr>
          <w:rFonts w:hint="eastAsia" w:ascii="var(--ff-body)" w:hAnsi="var(--ff-body)" w:eastAsia="var(--ff-body)" w:cs="var(--ff-body)"/>
        </w:rPr>
        <w:t>王晓明, 陈静. 数字经济时代制造业企业转型升级路径研究[J]. 中国工业经济, 2021(8): 45-62.</w:t>
      </w:r>
    </w:p>
    <w:p w14:paraId="01306DF5">
      <w:pPr>
        <w:numPr>
          <w:ilvl w:val="0"/>
          <w:numId w:val="5"/>
        </w:numPr>
        <w:spacing w:before="0" w:after="0"/>
      </w:pPr>
      <w:r>
        <w:rPr>
          <w:rFonts w:hint="eastAsia" w:ascii="var(--ff-body)" w:hAnsi="var(--ff-body)" w:eastAsia="var(--ff-body)" w:cs="var(--ff-body)"/>
        </w:rPr>
        <w:t>刘伟, 赵敏. 企业数字化转型的绩效效应及其时滞特征[J]. 经济研究, 2023, 58(3): 89-105.</w:t>
      </w:r>
    </w:p>
    <w:p w14:paraId="1EAB0C76">
      <w:pPr>
        <w:numPr>
          <w:ilvl w:val="0"/>
          <w:numId w:val="5"/>
        </w:numPr>
        <w:spacing w:before="0" w:after="0"/>
      </w:pPr>
      <w:r>
        <w:rPr>
          <w:rFonts w:hint="eastAsia" w:ascii="var(--ff-body)" w:hAnsi="var(--ff-body)" w:eastAsia="var(--ff-body)" w:cs="var(--ff-body)"/>
        </w:rPr>
        <w:t>孙丽华. 资源基础观视角下企业数字化能力构建研究[J]. 南开管理评论, 2022, 25(4): 156-168.</w:t>
      </w:r>
    </w:p>
    <w:p w14:paraId="3BC7EE8E">
      <w:pPr>
        <w:numPr>
          <w:ilvl w:val="0"/>
          <w:numId w:val="5"/>
        </w:numPr>
        <w:spacing w:before="0" w:after="0"/>
      </w:pPr>
      <w:r>
        <w:rPr>
          <w:rFonts w:hint="eastAsia" w:ascii="var(--ff-body)" w:hAnsi="var(--ff-body)" w:eastAsia="var(--ff-body)" w:cs="var(--ff-body)"/>
        </w:rPr>
        <w:t>周建国, 吴敏. 财务杠杆、融资约束与企业创新投入[J]. 金融研究, 2020(6): 78-94.</w:t>
      </w:r>
    </w:p>
    <w:p w14:paraId="11107F6A">
      <w:pPr>
        <w:numPr>
          <w:ilvl w:val="0"/>
          <w:numId w:val="5"/>
        </w:numPr>
        <w:spacing w:before="0" w:after="0"/>
      </w:pPr>
      <w:r>
        <w:rPr>
          <w:rFonts w:ascii="var(--ff-body)" w:hAnsi="var(--ff-body)" w:eastAsia="var(--ff-body)" w:cs="var(--ff-body)"/>
        </w:rPr>
        <w:t>Barney, J. B. Firm Resources and Sustained Competitive Advantage[J]. Journal of Management, 1991, 17(1): 99-120.</w:t>
      </w:r>
    </w:p>
    <w:p w14:paraId="58875784">
      <w:pPr>
        <w:numPr>
          <w:ilvl w:val="0"/>
          <w:numId w:val="5"/>
        </w:numPr>
        <w:spacing w:before="0" w:after="0"/>
      </w:pPr>
      <w:r>
        <w:rPr>
          <w:rFonts w:ascii="var(--ff-body)" w:hAnsi="var(--ff-body)" w:eastAsia="var(--ff-body)" w:cs="var(--ff-body)"/>
        </w:rPr>
        <w:t>Teece, D. J., Pisano, G., Shuen, A. Dynamic Capabilities and Strategic Management[J]. Strategic Management Journal, 1997, 18(7): 509-533.</w:t>
      </w:r>
    </w:p>
    <w:p w14:paraId="0527648F">
      <w:pPr>
        <w:numPr>
          <w:ilvl w:val="0"/>
          <w:numId w:val="5"/>
        </w:numPr>
        <w:spacing w:before="0" w:after="0"/>
      </w:pPr>
      <w:r>
        <w:rPr>
          <w:rFonts w:ascii="var(--ff-body)" w:hAnsi="var(--ff-body)" w:eastAsia="var(--ff-body)" w:cs="var(--ff-body)"/>
        </w:rPr>
        <w:t>Nunnally, J. C., Bernstein, I. H. Psychometric Theory[M]. New York: McGraw-Hill, 1994.</w:t>
      </w:r>
    </w:p>
    <w:p w14:paraId="3B7193EA">
      <w:pPr>
        <w:numPr>
          <w:ilvl w:val="0"/>
          <w:numId w:val="5"/>
        </w:numPr>
        <w:spacing w:before="0" w:after="0"/>
      </w:pPr>
      <w:r>
        <w:rPr>
          <w:rFonts w:ascii="var(--ff-body)" w:hAnsi="var(--ff-body)" w:eastAsia="var(--ff-body)" w:cs="var(--ff-body)"/>
        </w:rPr>
        <w:t>Hair, J. F., Black, W. C., Babin, B. J., et al. Multivariate Data Analysis[M]. 8th ed. Cengage Learning, 2019.</w:t>
      </w:r>
    </w:p>
    <w:p w14:paraId="1249B997">
      <w:pPr>
        <w:numPr>
          <w:ilvl w:val="0"/>
          <w:numId w:val="5"/>
        </w:numPr>
        <w:spacing w:before="0" w:after="0"/>
      </w:pPr>
      <w:r>
        <w:rPr>
          <w:rFonts w:hint="eastAsia" w:ascii="var(--ff-body)" w:hAnsi="var(--ff-body)" w:eastAsia="var(--ff-body)" w:cs="var(--ff-body)"/>
        </w:rPr>
        <w:t>国家统计局. 中国统计年鉴2023[M]. 北京: 中国统计出版社, 2023.</w:t>
      </w:r>
    </w:p>
    <w:p w14:paraId="1B8EE60D">
      <w:pPr>
        <w:pStyle w:val="Heading1"/>
        <w:keepNext w:val="1"/>
        <w:keepLines w:val="1"/>
        <w:spacing w:before="0" w:beforeAutospacing="1" w:after="0" w:afterAutospacing="1"/>
        <w:outlineLvl w:val="0"/>
        <w:rPr>
          <w:kern w:val="44"/>
          <w:sz w:val="44"/>
          <w:szCs w:val="44"/>
        </w:rPr>
      </w:pPr>
      <w:r>
        <w:rPr>
          <w:rFonts w:hint="eastAsia" w:ascii="var(--ff-body)" w:hAnsi="var(--ff-body)" w:eastAsia="var(--ff-body)" w:cs="var(--ff-body)"/>
          <w:b w:val="1"/>
        </w:rPr>
        <w:t>附：数据与代码可用性声明</w:t>
      </w:r>
    </w:p>
    <w:p w14:paraId="7FB98D1B">
      <w:pPr>
        <w:spacing w:after="0"/>
        <w:ind w:firstLine="480"/>
      </w:pPr>
      <w:r>
        <w:rPr>
          <w:rFonts w:hint="eastAsia" w:ascii="var(--ff-body)" w:hAnsi="var(--ff-body)" w:eastAsia="var(--ff-body)" w:cs="var(--ff-body)"/>
        </w:rPr>
        <w:t>为保障研究的可复现性，本文配套开源了完整的数据生成脚本、分析代码与结果文件。分析框架采用固定随机种子（seed=42），重复运行可完全复现论文中所有统计结果。需郑重说明：本文数据为方法教学演示用途的模拟数据，不代表真实企业的经营状况；实际研究中请替换为CSMAR、Wind等权威数据库的导出数据，分析流程无须改动即可迁移使用。</w:t>
      </w:r>
    </w:p>
    <w:p w14:paraId="10665888"/>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lvl w:ilvl="0">
      <w:start w:val="1"/>
      <w:numFmt w:val="bullet"/>
      <w:lvlText w:val=""/>
      <w:lvlJc w:val="left"/>
      <w:pPr>
        <w:ind w:left="420" w:hanging="420"/>
      </w:pPr>
      <w:rPr>
        <w:rFonts w:hint="default" w:ascii="Wingdings" w:hAnsi="Wingdings"/>
      </w:rPr>
    </w:lvl>
  </w:abstractNum>
  <w:abstractNum w:abstractNumId="1">
    <w:lvl w:ilvl="0">
      <w:start w:val="1"/>
      <w:numFmt w:val="decimal"/>
      <w:lvlText w:val="%1."/>
      <w:lvlJc w:val="left"/>
      <w:pPr>
        <w:ind w:left="420" w:hanging="420"/>
      </w:pPr>
    </w:lvl>
  </w:abstractNum>
  <w:abstractNum w:abstractNumId="2">
    <w:lvl w:ilvl="0">
      <w:start w:val="1"/>
      <w:numFmt w:val="decimal"/>
      <w:lvlText w:val="%1."/>
      <w:lvlJc w:val="left"/>
      <w:pPr>
        <w:ind w:left="420" w:hanging="420"/>
      </w:pPr>
    </w:lvl>
  </w:abstractNum>
  <w:abstractNum w:abstractNumId="3">
    <w:lvl w:ilvl="0">
      <w:start w:val="1"/>
      <w:numFmt w:val="decimal"/>
      <w:lvlText w:val="%1."/>
      <w:lvlJc w:val="left"/>
      <w:pPr>
        <w:ind w:left="420" w:hanging="420"/>
      </w:pPr>
    </w:lvl>
  </w:abstractNum>
  <w:abstractNum w:abstractNumId="4">
    <w:lvl w:ilvl="1">
      <w:start w:val="1"/>
      <w:numFmt w:val="decimal"/>
      <w:lvlText w:val="%2)"/>
      <w:lvlJc w:val="left"/>
      <w:pPr>
        <w:ind w:left="840" w:hanging="420"/>
      </w:pPr>
    </w:lvl>
    <w:lvl w:ilvl="0">
      <w:start w:val="1"/>
      <w:numFmt w:val="decimal"/>
      <w:lvlText w:val="%1."/>
      <w:lvlJc w:val="left"/>
      <w:pPr>
        <w:ind w:left="420" w:hanging="420"/>
      </w:pPr>
    </w:lvl>
  </w:abstractNum>
  <w:num w:numId="4">
    <w:abstractNumId w:val="3"/>
  </w:num>
  <w:num w:numId="2">
    <w:abstractNumId w:val="2"/>
  </w:num>
  <w:num w:numId="1">
    <w:abstractNumId w:val="4"/>
  </w:num>
  <w:num w:numId="3">
    <w:abstractNumId w:val="0"/>
  </w:num>
  <w:num w:numId="5">
    <w:abstractNumId w:val="1"/>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style w:type="paragraph" w:styleId="Heading1">
    <w:name w:val="heading 1"/>
    <w:basedOn w:val="Normal"/>
    <w:next w:val="Normal"/>
    <w:qFormat/>
    <w:pPr>
      <w:keepNext/>
      <w:keepLines/>
      <w:spacing w:before="240" w:after="120"/>
      <w:outlineLvl w:val="0"/>
    </w:pPr>
    <w:rPr>
      <w:rFonts w:ascii="黑体" w:hAnsi="黑体" w:eastAsia="黑体" w:cs="黑体"/>
      <w:b w:val="1"/>
      <w:color w:val="000000"/>
      <w:sz w:val="32"/>
      <w:szCs w:val="32"/>
    </w:rPr>
  </w:style>
  <w:style w:type="paragraph" w:styleId="Heading2">
    <w:name w:val="heading 2"/>
    <w:basedOn w:val="Normal"/>
    <w:next w:val="Normal"/>
    <w:qFormat/>
    <w:pPr>
      <w:keepNext/>
      <w:keepLines/>
      <w:spacing w:before="200" w:after="100"/>
      <w:outlineLvl w:val="1"/>
    </w:pPr>
    <w:rPr>
      <w:rFonts w:ascii="黑体" w:hAnsi="黑体" w:eastAsia="黑体" w:cs="黑体"/>
      <w:b w:val="1"/>
      <w:color w:val="000000"/>
      <w:sz w:val="28"/>
      <w:szCs w:val="28"/>
    </w:rPr>
  </w:style>
  <w:style w:type="paragraph" w:styleId="Heading3">
    <w:name w:val="heading 3"/>
    <w:basedOn w:val="Normal"/>
    <w:next w:val="Normal"/>
    <w:qFormat/>
    <w:pPr>
      <w:keepNext/>
      <w:keepLines/>
      <w:spacing w:before="160" w:after="80"/>
      <w:outlineLvl w:val="2"/>
    </w:pPr>
    <w:rPr>
      <w:rFonts w:ascii="黑体" w:hAnsi="黑体" w:eastAsia="黑体" w:cs="黑体"/>
      <w:b w:val="1"/>
      <w:color w:val="000000"/>
      <w:sz w:val="24"/>
      <w:szCs w:val="24"/>
    </w:rPr>
  </w:style>
  <w:style w:type="paragraph" w:styleId="Normal" w:default="1">
    <w:name w:val="Normal"/>
    <w:pPr>
      <w:spacing w:line="360" w:lineRule="auto"/>
    </w:pPr>
    <w:rPr>
      <w:rFonts w:ascii="宋体" w:hAnsi="宋体" w:eastAsia="宋体"/>
      <w:sz w:val="24"/>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1" Type="http://schemas.openxmlformats.org/officeDocument/2006/relationships/settings" Target="settings.xml" /><Relationship Id="rId0" Type="http://schemas.openxmlformats.org/officeDocument/2006/relationships/styles" Target="styles.xml" /></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http://purl.org/dc/elements/1.1/" xmlns:dcterms="http://purl.org/dc/terms/" xmlns:cp="http://schemas.openxmlformats.org/package/2006/metadata/core-properties">
  <dcterms:created xsi:type="dcterms:W3CDTF">2026-10-13T17:34:01Z</dcterms:created>
  <dcterms:modified xsi:type="dcterms:W3CDTF">2026-10-13T17:34:01Z</dcterms:modified>
</cp:coreProperties>
</file>