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923B054" w14:textId="77777777" w:rsidR="00DF4D1D" w:rsidRDefault="00000000">
      <w:r>
        <w:t>COINCIDING SETTLEMENTS. The Contract is contingent until 9 p. The County Association</w:t>
      </w:r>
    </w:p>
    <w:p w14:paraId="5B20FCE8" w14:textId="77777777" w:rsidR="00DF4D1D" w:rsidRDefault="00000000"/>
    <w:p w14:paraId="23F0A24B" w14:textId="77777777" w:rsidR="00DF4D1D" w:rsidRDefault="00000000">
      <w:r>
        <w:t>Settlement on the Contract is contingent upon the settlement on the contractfor the sale of Buyer s Property located at   Buyer s Property   Acopy of said contract is attached evidencing that all contingencies. m.  Inc</w:t>
      </w:r>
    </w:p>
    <w:p w14:paraId="73B35A44" w14:textId="77777777" w:rsidR="00DF4D1D" w:rsidRDefault="00000000"/>
    <w:p w14:paraId="6D29D0BD" w14:textId="77777777" w:rsidR="00DF4D1D" w:rsidRDefault="00000000">
      <w:r>
        <w:t> other than financing.  on the day from the Date of Contract Acceptance  Deadline  to allow Seller to enter into a contract of sale to purchaseanother home of Seller s election.  assumes NO liability in the event this form fails to protect the interest of the parties</w:t>
      </w:r>
    </w:p>
    <w:p w14:paraId="446A6786" w14:textId="77777777" w:rsidR="00DF4D1D" w:rsidRDefault="00000000"/>
    <w:p w14:paraId="782C0766" w14:textId="77777777" w:rsidR="00DF4D1D" w:rsidRDefault="00000000">
      <w:r>
        <w:t> have been removed or waived.  This provision and the Contract will remain in full force and effect unless. </w:t>
      </w:r>
    </w:p>
    <w:p w14:paraId="385F7977" w14:textId="77777777" w:rsidR="00DF4D1D" w:rsidRDefault="00000000"/>
    <w:p w14:paraId="324E0B1F" w14:textId="77777777" w:rsidR="00DF4D1D" w:rsidRDefault="00000000">
      <w:r>
        <w:t> alongwith a prequalification letter as described in the Qualification Letter Contingency Paragraph of this Addendum for thepurchase of Buyer s Property.  prior to theDeadline</w:t>
      </w:r>
    </w:p>
    <w:p w14:paraId="3F0E03D1" w14:textId="77777777" w:rsidR="00DF4D1D" w:rsidRDefault="00000000"/>
    <w:p w14:paraId="581EADC2" w14:textId="77777777" w:rsidR="00DF4D1D" w:rsidRDefault="00000000">
      <w:r>
        <w:t> Settlement under the Contract may not be delayed more than days after the settlementdate as specified in the Contract without the parties! prior written consent.  Seller</w:t>
      </w:r>
    </w:p>
    <w:p w14:paraId="5079DD15" w14:textId="77777777" w:rsidR="00DF4D1D" w:rsidRDefault="00000000"/>
    <w:p w14:paraId="51A3764E" w14:textId="77777777" w:rsidR="00DF4D1D" w:rsidRDefault="00000000">
      <w:r>
        <w:t> Ifa further delay is required to obtain coincidingsettlements and the parties do not agree.  upon written notice to Buyer shall declare the Contract null and void</w:t>
      </w:r>
    </w:p>
    <w:p w14:paraId="1470450A" w14:textId="77777777" w:rsidR="00DF4D1D" w:rsidRDefault="00000000"/>
    <w:p w14:paraId="638A45B8" w14:textId="77777777" w:rsidR="00DF4D1D" w:rsidRDefault="00000000">
      <w:r>
        <w:t> upon written notice by either Seller or Buyer the Contract may be declared null andvoid. BACK-UP CONTRACT OR OFFER</w:t>
      </w:r>
    </w:p>
    <w:p w14:paraId="3CC916B9" w14:textId="77777777" w:rsidR="00DF4D1D" w:rsidRDefault="00000000"/>
    <w:p w14:paraId="60C6C40E" w14:textId="77777777" w:rsidR="00DF4D1D" w:rsidRDefault="00000000">
      <w:r>
        <w:t> If at any time the contract for the sale of Buyers Property becomes void because of a failure of a contingency in thecontract of sale for Buyer s property.  The Contract is first back-up to another contract of sale dated between Seller and as Buyer   the PrimaryContract  </w:t>
      </w:r>
    </w:p>
    <w:p w14:paraId="61227E56" w14:textId="77777777" w:rsidR="00DF4D1D" w:rsidRDefault="00000000"/>
    <w:p w14:paraId="5B88E15E" w14:textId="77777777" w:rsidR="00DF4D1D" w:rsidRDefault="00000000">
      <w:r>
        <w:t> Buyer shall immediately deliver written notice to Seller together with evidence of awritten release of the contract of sale at which time either Seller or Buyer upon written notice may declare the Contract nulland void by delivering notice to the other partyCONTINGENT ON SELLER PURCHASING ANOTHER HOME.  The Contract shall become the primary contract immediately upon delivery of notice from Seller to Buyer thatthe other contract is of no further force and effect along with a copy of the fully executed release of the Primary Contract</w:t>
      </w:r>
    </w:p>
    <w:p w14:paraId="346C0D5A" w14:textId="77777777" w:rsidR="00DF4D1D" w:rsidRDefault="00000000"/>
    <w:p w14:paraId="0A0F085A" w14:textId="77777777" w:rsidR="00DF4D1D" w:rsidRDefault="00000000">
      <w:r>
        <w:drawing>
          <wp:inline distT="0" distB="0" distL="0" distR="0" wp14:anchorId="0877840E" wp14:editId="191A1272">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8D3DB80" w14:textId="77777777" w:rsidR="00DF4D1D" w:rsidRDefault="00000000">
      <w:r>
        <w:p>
          <w:r>
            <w:rPr>
              <w:vanish/>
            </w:rPr>
            <w:t>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</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qQHDAApU9xVsiHfcyRS76tsAK05XubHuVadQVSdAq8nDmoIkfpPnh532oBoR7rbZo7IbgeneFL5fG4xmF3cG1edP0yqNK8c53ygH72_TkBvCfEvLcK4FysqLzhhFq5uxFIEAt-PsNApsvECh84nW72oRYbBm64Aht-D1xbvvBAAnPhg8x4IPH13_obBq2uWO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