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灵犀智能问数项目串讲稿</w:t>
      </w:r>
    </w:p>
    <w:p>
      <w:r>
        <w:t>面向小佩智能宠物硬件业务场景的 500 表升级设计</w:t>
      </w:r>
    </w:p>
    <w:p>
      <w:r>
        <w:t>2026 年 10 月 16 日</w:t>
      </w:r>
    </w:p>
    <w:p>
      <w:pPr>
        <w:pStyle w:val="Heading1"/>
      </w:pPr>
      <w:r>
        <w:t>阅读与使用说明</w:t>
      </w:r>
    </w:p>
    <w:p>
      <w:r>
        <w:t>本稿用于讲解灵犀项目现状及升级设计。项目以小佩公开的智能宠物硬件业务为背景，自建模拟数据，不代表小佩委托、内部数据接入或实际生产上线。文中的表结构、指标和演示问题均为项目自建方案，不代表该公司真实内部系统。</w:t>
      </w:r>
    </w:p>
    <w:p>
      <w:r>
        <w:t>当前代码仍是原有 6 表演示版本，已具备自然语言生成 SQL、安全检查、DuckDB 只读执行、一次执行失败修复、自动图表、AI 洞察、API 和历史记录等基础模块。500 表目录、混合检索、语义层、权限隔离及受控执行属于升级设计，尚未完成实施验证。</w:t>
      </w:r>
    </w:p>
    <w:p>
      <w:r>
        <w:t>面试时用“现有版本已经实现”描述已存在代码，用“我设计的升级方案是”介绍后续架构。涉及个人职责时，只采用本人实际完成的部分；不把设计稿转换为虚构的团队经历、客户成果或性能数据。</w:t>
      </w:r>
    </w:p>
    <w:p>
      <w:pPr>
        <w:pStyle w:val="Heading1"/>
      </w:pPr>
      <w:r>
        <w:t>一 项目开篇介绍</w:t>
      </w:r>
    </w:p>
    <w:p>
      <w:pPr>
        <w:pStyle w:val="Heading2"/>
      </w:pPr>
      <w:r>
        <w:t>一分钟版本</w:t>
      </w:r>
    </w:p>
    <w:p>
      <w:r>
        <w:t>灵犀是一个面向企业数据分析的智能问数项目。用户可以用中文提问，系统生成 SQL，经过校验后查询数据库，再返回结果、图表和解释。原有版本已经打通了 6 张表上的端到端流程。</w:t>
      </w:r>
    </w:p>
    <w:p>
      <w:r>
        <w:t>现在我把升级场景放在智能宠物硬件行业，以小佩公开业务为背景设计模拟数据。重点围绕销售、设备运营和售后，支持分析不同产品型号的销量、激活情况和售后表现。</w:t>
      </w:r>
    </w:p>
    <w:p>
      <w:r>
        <w:t>升级的核心是面向 500 表目录，从全量 Schema 注入转为按问题检索元数据，并通过指标口径、关联关系和权限控制约束 SQL。当前已完成升级方案设计，500 表链路和效果指标还需要实施评测。</w:t>
      </w:r>
    </w:p>
    <w:p>
      <w:pPr>
        <w:pStyle w:val="Heading2"/>
      </w:pPr>
      <w:r>
        <w:t>三分钟版本</w:t>
      </w:r>
    </w:p>
    <w:p>
      <w:r>
        <w:t>这个项目主要解决业务人员查数依赖开发写 SQL 的问题。比如运营人员想看“上个月不同渠道的智能喂食器净销售额”，售后人员想看“哪些型号近三个月的售后设备率上升”，如果每次都排期开发，分析效率会受影响。</w:t>
      </w:r>
    </w:p>
    <w:p>
      <w:r>
        <w:t>原有灵犀已经实现了中文问题到 SQL、只读执行、图表和洞察的完整流程，但元数据来自代码中的 6 张表，全部注入 Prompt。这个方案适合小规模演示。表数量增加后，仅靠扩大上下文，无法可靠解决相似表区分、字段选择、指标口径和多表关联的问题。</w:t>
      </w:r>
    </w:p>
    <w:p>
      <w:r>
        <w:t>因此我设计了三个层面的升级。第一是元数据治理，把表、字段、业务术语、指标和关联关系统一管理，并记录版本。第二是检索式 Schema 供给，根据问题，在授权范围内混合召回相关信息，再补齐指标依赖与关联路径。第三是受控执行，对查询计划和 SQL 做校验，限制权限、资源和结果规模。</w:t>
      </w:r>
    </w:p>
    <w:p>
      <w:r>
        <w:t>业务上先覆盖销售、设备和售后三个域。比如“购买某型号设备的订单，其售后设备占比是否升高”，需要把订单明细、实际设备和售后记录关联起来。这里最容易出错的是数据粒度：一个订单可能有多台设备，一台设备可能有多个工单，直接关联后求和会重复统计。</w:t>
      </w:r>
    </w:p>
    <w:p>
      <w:r>
        <w:t>这个项目的目标是证明：面对较大表目录，系统能够找到足够的元数据，按照明确的业务口径生成受控 SQL。数据目前采用模拟方式，未接入小佩内部系统，也没有把目标指标当作已实现成绩。</w:t>
      </w:r>
    </w:p>
    <w:p>
      <w:pPr>
        <w:pStyle w:val="Heading1"/>
      </w:pPr>
      <w:r>
        <w:t>二 项目背景与业务边界</w:t>
      </w:r>
    </w:p>
    <w:p>
      <w:pPr>
        <w:pStyle w:val="Heading2"/>
      </w:pPr>
      <w:r>
        <w:t>为什么选择这个业务场景</w:t>
      </w:r>
    </w:p>
    <w:p>
      <w:r>
        <w:t>小佩公开业务包含智能喂食器、饮水机和猫砂盆等设备及配套 App。与只有订单销售的场景相比，这类业务可以自然连接商品、订单、实物设备、激活与使用事件、售后服务，适合展示跨域问数的技术难点。</w:t>
      </w:r>
    </w:p>
    <w:p>
      <w:r>
        <w:t>项目第一阶段面向企业内部经营分析，不做消费者设备控制，不根据宠物行为生成医疗诊断，也不接入家庭视频等非必要数据。首批查询以销售、设备运营、售后质量为主，后续才扩展库存、采购等场景。</w:t>
      </w:r>
    </w:p>
    <w:p>
      <w:pPr>
        <w:pStyle w:val="Heading2"/>
      </w:pPr>
      <w:r>
        <w:t>业务域与典型问题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3168"/>
        <w:gridCol w:w="4882"/>
      </w:tblGrid>
      <w:tr>
        <w:trPr>
          <w:cantSplit/>
          <w:tblHeader/>
        </w:trPr>
        <w:tc>
          <w:tcPr>
            <w:tcW w:type="dxa" w:w="1944"/>
            <w:vAlign w:val="center"/>
            <w:shd w:fill="2444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80" w:before="80" w:line="271" w:lineRule="auto"/>
            </w:pPr>
            <w:r>
              <w:rPr>
                <w:b/>
                <w:color w:val="FFFFFF"/>
                <w:sz w:val="20"/>
              </w:rPr>
              <w:t>业务域</w:t>
            </w:r>
          </w:p>
        </w:tc>
        <w:tc>
          <w:tcPr>
            <w:tcW w:type="dxa" w:w="3168"/>
            <w:vAlign w:val="center"/>
            <w:shd w:fill="2444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80" w:before="80" w:line="271" w:lineRule="auto"/>
            </w:pPr>
            <w:r>
              <w:rPr>
                <w:b/>
                <w:color w:val="FFFFFF"/>
                <w:sz w:val="20"/>
              </w:rPr>
              <w:t>关注对象</w:t>
            </w:r>
          </w:p>
        </w:tc>
        <w:tc>
          <w:tcPr>
            <w:tcW w:type="dxa" w:w="4882"/>
            <w:vAlign w:val="center"/>
            <w:shd w:fill="2444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80" w:before="80" w:line="271" w:lineRule="auto"/>
            </w:pPr>
            <w:r>
              <w:rPr>
                <w:b/>
                <w:color w:val="FFFFFF"/>
                <w:sz w:val="20"/>
              </w:rPr>
              <w:t>典型问题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销售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订单 明细 支付 退款 渠道</w:t>
            </w:r>
          </w:p>
        </w:tc>
        <w:tc>
          <w:tcPr>
            <w:tcW w:type="dxa" w:w="488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上月各渠道净销售额及退款占比是多少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设备运营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设备 激活 绑定 日活 固件</w:t>
            </w:r>
          </w:p>
        </w:tc>
        <w:tc>
          <w:tcPr>
            <w:tcW w:type="dxa" w:w="48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某型号在售出后 30 天内的激活率是多少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售后质量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工单 故障 维修 换新</w:t>
            </w:r>
          </w:p>
        </w:tc>
        <w:tc>
          <w:tcPr>
            <w:tcW w:type="dxa" w:w="488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哪些型号的售后设备率持续升高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库存 采购 出入库</w:t>
            </w:r>
          </w:p>
        </w:tc>
        <w:tc>
          <w:tcPr>
            <w:tcW w:type="dxa" w:w="48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哪些型号库存周转变慢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商品与主数据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型号 SKU 产品系列 映射</w:t>
            </w:r>
          </w:p>
        </w:tc>
        <w:tc>
          <w:tcPr>
            <w:tcW w:type="dxa" w:w="488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同一型号不同 SKU 应如何统一统计</w:t>
            </w:r>
          </w:p>
        </w:tc>
      </w:tr>
    </w:tbl>
    <w:p>
      <w:pPr>
        <w:spacing w:after="0"/>
      </w:pPr>
    </w:p>
    <w:p>
      <w:r>
        <w:t>供应链等域属于扩展设计；核心演示优先把前三个域做完整，而不是同时支持全部业务。</w:t>
      </w:r>
    </w:p>
    <w:p>
      <w:pPr>
        <w:pStyle w:val="Heading1"/>
      </w:pPr>
      <w:r>
        <w:t>三 当前版本与升级设计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3168"/>
        <w:gridCol w:w="4882"/>
      </w:tblGrid>
      <w:tr>
        <w:trPr>
          <w:cantSplit/>
          <w:tblHeader/>
        </w:trPr>
        <w:tc>
          <w:tcPr>
            <w:tcW w:type="dxa" w:w="1944"/>
            <w:vAlign w:val="center"/>
            <w:shd w:fill="2444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80" w:before="80" w:line="271" w:lineRule="auto"/>
            </w:pPr>
            <w:r>
              <w:rPr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3168"/>
            <w:vAlign w:val="center"/>
            <w:shd w:fill="2444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80" w:before="80" w:line="271" w:lineRule="auto"/>
            </w:pPr>
            <w:r>
              <w:rPr>
                <w:b/>
                <w:color w:val="FFFFFF"/>
                <w:sz w:val="20"/>
              </w:rPr>
              <w:t>当前版本</w:t>
            </w:r>
          </w:p>
        </w:tc>
        <w:tc>
          <w:tcPr>
            <w:tcW w:type="dxa" w:w="4882"/>
            <w:vAlign w:val="center"/>
            <w:shd w:fill="2444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80" w:before="80" w:line="271" w:lineRule="auto"/>
            </w:pPr>
            <w:r>
              <w:rPr>
                <w:b/>
                <w:color w:val="FFFFFF"/>
                <w:sz w:val="20"/>
              </w:rPr>
              <w:t>升级设计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业务数据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原有制造业 6 表</w:t>
            </w:r>
          </w:p>
        </w:tc>
        <w:tc>
          <w:tcPr>
            <w:tcW w:type="dxa" w:w="488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宠物智能硬件模拟数据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元数据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Python 静态定义</w:t>
            </w:r>
          </w:p>
        </w:tc>
        <w:tc>
          <w:tcPr>
            <w:tcW w:type="dxa" w:w="48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版本化目录与业务语义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Schema 供给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全量表字段注入</w:t>
            </w:r>
          </w:p>
        </w:tc>
        <w:tc>
          <w:tcPr>
            <w:tcW w:type="dxa" w:w="488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授权检索 重排 依赖补全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查询生成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单轮生成与一次执行修复</w:t>
            </w:r>
          </w:p>
        </w:tc>
        <w:tc>
          <w:tcPr>
            <w:tcW w:type="dxa" w:w="48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先计划 后生成 支持澄清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SQL 控制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词法白名单与 LIMIT</w:t>
            </w:r>
          </w:p>
        </w:tc>
        <w:tc>
          <w:tcPr>
            <w:tcW w:type="dxa" w:w="488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AST 权限 关联及资源校验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数据执行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DuckDB 只读连接</w:t>
            </w:r>
          </w:p>
        </w:tc>
        <w:tc>
          <w:tcPr>
            <w:tcW w:type="dxa" w:w="48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连接器与受控执行边界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历史记录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SQLite 历史收藏</w:t>
            </w:r>
          </w:p>
        </w:tc>
        <w:tc>
          <w:tcPr>
            <w:tcW w:type="dxa" w:w="488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用户隔离和权限校验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质量证明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18 条用例及扩表报告</w:t>
            </w:r>
          </w:p>
        </w:tc>
        <w:tc>
          <w:tcPr>
            <w:tcW w:type="dxa" w:w="48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分层盲测 安全与负载评测</w:t>
            </w:r>
          </w:p>
        </w:tc>
      </w:tr>
    </w:tbl>
    <w:p>
      <w:pPr>
        <w:spacing w:after="0"/>
      </w:pPr>
    </w:p>
    <w:p>
      <w:r>
        <w:t>现有 README 和扩表实验报告中的准确率不一致：前者记录 100%，后者在 6 表基线记录 33.3%。目前不能直接引用任意一份作为最终成绩，应先核查数据快照、代码版本、SQL 和结果比较规则。</w:t>
      </w:r>
    </w:p>
    <w:p>
      <w:pPr>
        <w:pStyle w:val="Heading1"/>
      </w:pPr>
      <w:r>
        <w:t>四 系统构建流程</w:t>
      </w:r>
    </w:p>
    <w:p>
      <w:pPr>
        <w:pStyle w:val="Heading2"/>
      </w:pPr>
      <w:r>
        <w:t>第一步 建立一致的模拟业务数据</w:t>
      </w:r>
    </w:p>
    <w:p>
      <w:r>
        <w:t>先定义业务对象和时间顺序，再生成数据。销售侧按照订单、订单明细、支付和退款建立关联；设备侧维护设备唯一标识、型号、售出和激活时间；售后侧关联设备和工单。产品型号与销售 SKU 用独立映射管理，不能假设两者一一对应。</w:t>
      </w:r>
    </w:p>
    <w:p>
      <w:r>
        <w:t>生成脚本应固定随机种子，并能输出数据摘要。激活时间不能早于合理的出厂时间，退款金额不能无约束地超过对应可退金额，同一台设备可以有多条工单。对于换新、重新绑定等情况，应建立明确规则，避免生成逻辑自相矛盾的数据。</w:t>
      </w:r>
    </w:p>
    <w:p>
      <w:r>
        <w:t>为了让演示可解释，可以人为注入已知模式，例如某型号退款占比升高、某固件版本离线设备占比变化。这些模式应记录在生成配置和参考答案中，不能在报告中描述成对真实企业的发现。</w:t>
      </w:r>
    </w:p>
    <w:p>
      <w:pPr>
        <w:pStyle w:val="Heading2"/>
      </w:pPr>
      <w:r>
        <w:t>第二步 建设元数据目录</w:t>
      </w:r>
    </w:p>
    <w:p>
      <w:r>
        <w:t>元数据分为技术信息和业务信息。技术信息包括库、Schema、表、字段、类型、主键和已声明外键；业务信息包括表粒度、领域、别名、指标定义、实体值、敏感等级和负责人。</w:t>
      </w:r>
    </w:p>
    <w:p>
      <w:r>
        <w:t>表元数据回答“这张表是什么”；字段元数据回答“这个字段代表什么”；指标元数据回答“这个业务数怎样算”；关系元数据回答“这些表为什么能关联，以及关联后是否会重复”。</w:t>
      </w:r>
    </w:p>
    <w:p>
      <w:r>
        <w:t>短期可以通过文件或配置验证接口，目标设计使用结构化元数据库管理。若采用 PostgreSQL 管理元数据，可先评估 pgvector 承载向量索引；暂不把 Qdrant、Elasticsearch 或多套存储作为必须部署的组件。</w:t>
      </w:r>
    </w:p>
    <w:p>
      <w:pPr>
        <w:pStyle w:val="Heading2"/>
      </w:pPr>
      <w:r>
        <w:t>第三步 定义指标与关系</w:t>
      </w:r>
    </w:p>
    <w:p>
      <w:r>
        <w:t>每个指标包含名称、别名、业务含义、计算公式、来源表、依赖字段、默认过滤、时间字段、允许维度、单位和版本。比如净销售额要说明是否扣除退款、使用何种时间归属、如何处理税和币种。</w:t>
      </w:r>
    </w:p>
    <w:p>
      <w:r>
        <w:t>关系不仅记录连接键，还记录一对一、一对多或多对多基数。订单头关联订单行是典型一对多；设备关联工单也可能是一对多。模型必须知道，销售额不能在工单明细关联之后直接求和。</w:t>
      </w:r>
    </w:p>
    <w:p>
      <w:pPr>
        <w:pStyle w:val="Heading2"/>
      </w:pPr>
      <w:r>
        <w:t>第四步 构建分层检索索引</w:t>
      </w:r>
    </w:p>
    <w:p>
      <w:r>
        <w:t>分别建立表、字段、指标的检索单元，并保留父子关系。向量化文本包括名称、说明、业务别名和非敏感示例；结构化属性包括所属业务域、来源、版本、类型和授权标识。</w:t>
      </w:r>
    </w:p>
    <w:p>
      <w:r>
        <w:t>实体值单独建索引，解决问题中的型号、渠道、状态或地区如何映射到字段取值的问题。示例值不能无限采样，更不能为了检索把敏感个人信息散落到索引里。</w:t>
      </w:r>
    </w:p>
    <w:p>
      <w:pPr>
        <w:pStyle w:val="Heading2"/>
      </w:pPr>
      <w:r>
        <w:t>第五步 构建评测资产</w:t>
      </w:r>
    </w:p>
    <w:p>
      <w:r>
        <w:t>为每个演示问题准备所需表、字段、指标、参考 SQL 和预期结果。先覆盖少量核心问题，再扩展不同表达、困难关联、歧义、无权限和无法回答的情形。开发样例与冻结盲测分开，避免把同一道题既作为 few-shot 又作为效果证明。</w:t>
      </w:r>
    </w:p>
    <w:p>
      <w:pPr>
        <w:pStyle w:val="Heading1"/>
      </w:pPr>
      <w:r>
        <w:t>五 一次问数的查询流程</w:t>
      </w:r>
    </w:p>
    <w:p>
      <w:pPr>
        <w:pStyle w:val="Heading2"/>
      </w:pPr>
      <w:r>
        <w:t>从问题到候选业务域</w:t>
      </w:r>
    </w:p>
    <w:p>
      <w:r>
        <w:t>用户提交问题后，先获取身份、角色和数据范围。系统识别指标、时间、维度、过滤条件和实体，判断是否缺少关键口径。像“上个月卖得怎么样”可以在已有业务默认规则下解释；“激活率”存在多个分母且没有默认规则时，需要先澄清。</w:t>
      </w:r>
    </w:p>
    <w:p>
      <w:r>
        <w:t>业务域路由允许返回多个候选。对于订单与售后联合分析，不能只选销售域后就永久排除售后表。路由的作用是减少噪声，而不是形成无法恢复的硬截断。</w:t>
      </w:r>
    </w:p>
    <w:p>
      <w:pPr>
        <w:pStyle w:val="Heading2"/>
      </w:pPr>
      <w:r>
        <w:t>从多路召回到最小充分上下文</w:t>
      </w:r>
    </w:p>
    <w:p>
      <w:r>
        <w:t>关键词检索处理精确字段名、产品型号和缩写，向量检索处理业务别名和语义表达。召回结果经过融合和重排，再根据指标定义补齐依赖字段，并补齐候选表之间经过确认的关联路径。</w:t>
      </w:r>
    </w:p>
    <w:p>
      <w:r>
        <w:t>上下文精简不能只保留“看起来像问题关键词”的列。必须保留关联键、过滤列、时间列、公式依赖以及粒度和关系说明。完整性确认后，再按 token 预算裁剪无关字段和冗余示例。</w:t>
      </w:r>
    </w:p>
    <w:p>
      <w:pPr>
        <w:pStyle w:val="Heading2"/>
      </w:pPr>
      <w:r>
        <w:t>从查询计划到 SQL</w:t>
      </w:r>
    </w:p>
    <w:p>
      <w:r>
        <w:t>先形成结构化计划，明确使用哪个指标版本、按什么维度分组、用哪个时间字段、采用哪条关联路径以及是否存在待澄清项。校验计划后，模型输出目标数据库方言的 SQL。</w:t>
      </w:r>
    </w:p>
    <w:p>
      <w:r>
        <w:t>语法树校验解析真实引用的表列及作用域，结合授权范围、批准关系和执行策略做检查。根据数据库能力评估执行计划；不能把 EXPLAIN 成功解释为业务正确，也不能默认使用会真正运行 SQL 的分析命令。</w:t>
      </w:r>
    </w:p>
    <w:p>
      <w:pPr>
        <w:pStyle w:val="Heading2"/>
      </w:pPr>
      <w:r>
        <w:t>从执行到展示</w:t>
      </w:r>
    </w:p>
    <w:p>
      <w:r>
        <w:t>执行器使用最小权限连接，约束超时、并发和资源，并限制结果行数及字节大小。报错后按类别决定是否修复，修复 SQL 重新走全部检查。成功后返回数据、图表、指标口径和数据时间；洞察仅依据返回结果，不把相关变化写成因果结论。</w:t>
      </w:r>
    </w:p>
    <w:p>
      <w:pPr>
        <w:pStyle w:val="Heading1"/>
      </w:pPr>
      <w:r>
        <w:t>六 一个贯穿全链路的演示案例</w:t>
      </w:r>
    </w:p>
    <w:p>
      <w:r>
        <w:t>用户问题：“统计 2026 年 9 月各型号已支付订单设备的售后设备占比。”</w:t>
      </w:r>
    </w:p>
    <w:p>
      <w:r>
        <w:t>这个问题必须先确定观察窗口。为了演示，假定指标定义为：分母是 9 月已支付且符合口径的售出设备去重数；分子是这批设备在支付后 30 天内发生指定售后工单的设备去重数。取消、全额退款和观察期未完成如何处理，都由指标定义明确。</w:t>
      </w:r>
    </w:p>
    <w:p>
      <w:r>
        <w:t>检索需要找到订单、订单明细、订单与设备映射、设备主数据和工单表。如果型号统一口径来自型号维表，还要补入该表。仅找到“售后”和“订单”两张相似表并不够。</w:t>
      </w:r>
    </w:p>
    <w:p>
      <w:r>
        <w:t>生成 SQL 时，先形成符合条件的设备集合，再形成观察窗内的售后设备去重集合，最后按型号关联聚合。不能直接把订单明细和全部工单连接后用 COUNT(*) 作为设备数。</w:t>
      </w:r>
    </w:p>
    <w:p>
      <w:r>
        <w:t>对于 9 月末支付的设备，支付后 30 天可能尚未完整结束，应按指标规则排除未成熟样本，或标注为截至某日的暂定结果。不能为了凑出结果忽略观察窗口。</w:t>
      </w:r>
    </w:p>
    <w:p>
      <w:r>
        <w:t>这一案例可以展示三个技术点：检索是否补齐桥接表；指标口径是否明确；SQL 是否按照设备粒度去重。具体数值需在数据生成和评测后填入，本稿不预置实验成绩。</w:t>
      </w:r>
    </w:p>
    <w:p>
      <w:pPr>
        <w:pStyle w:val="Heading1"/>
      </w:pPr>
      <w:r>
        <w:t>七 技术选型讲解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3168"/>
        <w:gridCol w:w="4882"/>
      </w:tblGrid>
      <w:tr>
        <w:trPr>
          <w:cantSplit/>
          <w:tblHeader/>
        </w:trPr>
        <w:tc>
          <w:tcPr>
            <w:tcW w:type="dxa" w:w="1944"/>
            <w:vAlign w:val="center"/>
            <w:shd w:fill="2444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80" w:before="80" w:line="271" w:lineRule="auto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168"/>
            <w:vAlign w:val="center"/>
            <w:shd w:fill="2444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80" w:before="80" w:line="271" w:lineRule="auto"/>
            </w:pPr>
            <w:r>
              <w:rPr>
                <w:b/>
                <w:color w:val="FFFFFF"/>
                <w:sz w:val="20"/>
              </w:rPr>
              <w:t>当前或拟采用方案</w:t>
            </w:r>
          </w:p>
        </w:tc>
        <w:tc>
          <w:tcPr>
            <w:tcW w:type="dxa" w:w="4882"/>
            <w:vAlign w:val="center"/>
            <w:shd w:fill="2444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80" w:before="80" w:line="271" w:lineRule="auto"/>
            </w:pPr>
            <w:r>
              <w:rPr>
                <w:b/>
                <w:color w:val="FFFFFF"/>
                <w:sz w:val="20"/>
              </w:rPr>
              <w:t>讲述重点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API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保留 FastAPI</w:t>
            </w:r>
          </w:p>
        </w:tc>
        <w:tc>
          <w:tcPr>
            <w:tcW w:type="dxa" w:w="488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复用已有接口 增加身份和状态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演示前端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保留 Streamlit 与 Plotly</w:t>
            </w:r>
          </w:p>
        </w:tc>
        <w:tc>
          <w:tcPr>
            <w:tcW w:type="dxa" w:w="48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展示问题 SQL 结果和检索依据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本地分析库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保留 DuckDB</w:t>
            </w:r>
          </w:p>
        </w:tc>
        <w:tc>
          <w:tcPr>
            <w:tcW w:type="dxa" w:w="488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适合可复现模拟分析 不等于生产权限系统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元数据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PostgreSQL 候选</w:t>
            </w:r>
          </w:p>
        </w:tc>
        <w:tc>
          <w:tcPr>
            <w:tcW w:type="dxa" w:w="48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存结构化目录 语义定义与版本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向量检索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pgvector 候选</w:t>
            </w:r>
          </w:p>
        </w:tc>
        <w:tc>
          <w:tcPr>
            <w:tcW w:type="dxa" w:w="488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先减少组件 用评测决定是否独立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词法检索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中文分词与 BM25</w:t>
            </w:r>
          </w:p>
        </w:tc>
        <w:tc>
          <w:tcPr>
            <w:tcW w:type="dxa" w:w="48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精确名称 型号与别名匹配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Embedding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中文模型 待评测</w:t>
            </w:r>
          </w:p>
        </w:tc>
        <w:tc>
          <w:tcPr>
            <w:tcW w:type="dxa" w:w="488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比较业务术语召回和推理成本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SQL 解析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成熟 AST 工具 待适配</w:t>
            </w:r>
          </w:p>
        </w:tc>
        <w:tc>
          <w:tcPr>
            <w:tcW w:type="dxa" w:w="48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方言 作用域与真实依赖解析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LLM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复用兼容接口</w:t>
            </w:r>
          </w:p>
        </w:tc>
        <w:tc>
          <w:tcPr>
            <w:tcW w:type="dxa" w:w="488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模型和部署配置经验证后确定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流程编排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先显式 Python 流程</w:t>
            </w:r>
          </w:p>
        </w:tc>
        <w:tc>
          <w:tcPr>
            <w:tcW w:type="dxa" w:w="48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状态和分支复杂后再评估 LangGraph</w:t>
            </w:r>
          </w:p>
        </w:tc>
      </w:tr>
    </w:tbl>
    <w:p>
      <w:pPr>
        <w:spacing w:after="0"/>
      </w:pPr>
    </w:p>
    <w:p>
      <w:r>
        <w:t>不直接照搬参考稿中的 GPU、模型名称、QPS 或推理参数。当前并没有自建 GPU 推理与压测证据；部署方式应依赖可用资源和真实调用情况。上述候选组件属于设计选择，实施时需要锁定兼容版本。</w:t>
      </w:r>
    </w:p>
    <w:p>
      <w:pPr>
        <w:pStyle w:val="Heading1"/>
      </w:pPr>
      <w:r>
        <w:t>八 规模与评测口径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618"/>
      </w:tblGrid>
      <w:tr>
        <w:trPr>
          <w:cantSplit/>
          <w:tblHeader/>
        </w:trPr>
        <w:tc>
          <w:tcPr>
            <w:tcW w:type="dxa" w:w="2376"/>
            <w:vAlign w:val="center"/>
            <w:shd w:fill="2444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80" w:before="80" w:line="271" w:lineRule="auto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618"/>
            <w:vAlign w:val="center"/>
            <w:shd w:fill="2444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80" w:before="80" w:line="271" w:lineRule="auto"/>
            </w:pPr>
            <w:r>
              <w:rPr>
                <w:b/>
                <w:color w:val="FFFFFF"/>
                <w:sz w:val="20"/>
              </w:rPr>
              <w:t>当前状态或设计目标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当前业务表</w:t>
            </w:r>
          </w:p>
        </w:tc>
        <w:tc>
          <w:tcPr>
            <w:tcW w:type="dxa" w:w="761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原有版本 6 张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升级目录</w:t>
            </w:r>
          </w:p>
        </w:tc>
        <w:tc>
          <w:tcPr>
            <w:tcW w:type="dxa" w:w="761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目标 500 张 目前未生成验证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核心业务表</w:t>
            </w:r>
          </w:p>
        </w:tc>
        <w:tc>
          <w:tcPr>
            <w:tcW w:type="dxa" w:w="761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计划约 30～50 张 按模型细化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其余业务表</w:t>
            </w:r>
          </w:p>
        </w:tc>
        <w:tc>
          <w:tcPr>
            <w:tcW w:type="dxa" w:w="761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扩展目录与抗干扰实验 配基础模拟数据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当前用例</w:t>
            </w:r>
          </w:p>
        </w:tc>
        <w:tc>
          <w:tcPr>
            <w:tcW w:type="dxa" w:w="761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18 条 基线报告差异待核查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首批核心演示</w:t>
            </w:r>
          </w:p>
        </w:tc>
        <w:tc>
          <w:tcPr>
            <w:tcW w:type="dxa" w:w="761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建议先完成 20～30 个问题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后续评测</w:t>
            </w:r>
          </w:p>
        </w:tc>
        <w:tc>
          <w:tcPr>
            <w:tcW w:type="dxa" w:w="761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逐步扩展至 200 条以上 再视范围扩展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准确率与性能</w:t>
            </w:r>
          </w:p>
        </w:tc>
        <w:tc>
          <w:tcPr>
            <w:tcW w:type="dxa" w:w="761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待真实模型运行后填报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生产部署</w:t>
            </w:r>
          </w:p>
        </w:tc>
        <w:tc>
          <w:tcPr>
            <w:tcW w:type="dxa" w:w="761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尚未接入企业数据或正式上线</w:t>
            </w:r>
          </w:p>
        </w:tc>
      </w:tr>
    </w:tbl>
    <w:p>
      <w:pPr>
        <w:spacing w:after="0"/>
      </w:pPr>
    </w:p>
    <w:p>
      <w:r>
        <w:t>500 表目录规模、500 张物理表存在、500 表业务覆盖和500表问数准确率是不同概念。需要分别说明已完成哪一项，不能用目录规模替代业务覆盖证明。</w:t>
      </w:r>
    </w:p>
    <w:p>
      <w:r>
        <w:t>检索评测统计必需表是否全部召回、字段依赖和关联路径是否齐全；生成评测统计执行成功和结果正确；端到端评测纳入澄清、拒绝、权限及延迟。Recall@K 需明确是表级命中比例还是单题完整召回，并固定 K 或上下文预算。</w:t>
      </w:r>
    </w:p>
    <w:p>
      <w:r>
        <w:t>结果比较需区分排序和无序集合，处理重复行、NULL、日期和数值容差。不能只比较汇总总数，也不能使用足以掩盖业务错误的宽松容差。P95 延迟应结合并发、数据量、硬件、缓存状态和模型配置报告。</w:t>
      </w:r>
    </w:p>
    <w:p>
      <w:pPr>
        <w:pStyle w:val="Heading1"/>
      </w:pPr>
      <w:r>
        <w:t>九 面试高频问答</w:t>
      </w:r>
    </w:p>
    <w:p>
      <w:pPr>
        <w:pStyle w:val="Heading2"/>
      </w:pPr>
      <w:r>
        <w:t>1 请介绍整体流程和你负责的内容</w:t>
      </w:r>
    </w:p>
    <w:p>
      <w:r>
        <w:t>现有链路是问题到 SQL，再校验、执行、选图和生成洞察。升级设计增加身份上下文、元数据检索、关联补全和查询计划。我目前可以详细讲解这些模块的设计与代码改造位置；个人职责只介绍我实际完成和能解释的部分。500 表升级尚未完成验证，因此不会说成已经在企业生产运行。</w:t>
      </w:r>
    </w:p>
    <w:p>
      <w:pPr>
        <w:pStyle w:val="Heading2"/>
      </w:pPr>
      <w:r>
        <w:t>2 为什么不直接把全部 Schema 给模型</w:t>
      </w:r>
    </w:p>
    <w:p>
      <w:r>
        <w:t>上下文长度只是一个因素，更实际的问题是噪声和歧义。相似表、历史表和同名字段增加后，模型可能选择能执行但口径不对的路径。检索的作用是提供足够且相关的上下文，语义层再约束如何计算。全量注入仍可作为小规模基线比较，不能预设它在每个规模下一定失败。</w:t>
      </w:r>
    </w:p>
    <w:p>
      <w:pPr>
        <w:pStyle w:val="Heading2"/>
      </w:pPr>
      <w:r>
        <w:t>3 为什么采用混合检索</w:t>
      </w:r>
    </w:p>
    <w:p>
      <w:r>
        <w:t>精确型号、字段名和缩写更适合词法匹配，业务表达与字段说明不完全同词时，语义检索有帮助。两路互补后融合重排。是否优于单路检索，需要在冻结问题集上比较完整召回率和结果正确率，而不只看相似度。</w:t>
      </w:r>
    </w:p>
    <w:p>
      <w:pPr>
        <w:pStyle w:val="Heading2"/>
      </w:pPr>
      <w:r>
        <w:t>4 表和字段分别怎么切块</w:t>
      </w:r>
    </w:p>
    <w:p>
      <w:r>
        <w:t>表级索引保留业务角色、粒度及主要列摘要；字段级索引保留字段意义、所属表、别名和类型；指标单独索引公式与依赖。命中后回到同一版本元数据取完整结构。不能把每个字段当成失去所属表的独立短句，否则容易把多个表里的 amount 混在一起。</w:t>
      </w:r>
    </w:p>
    <w:p>
      <w:pPr>
        <w:pStyle w:val="Heading2"/>
      </w:pPr>
      <w:r>
        <w:t>5 检索到多少张表比较合适</w:t>
      </w:r>
    </w:p>
    <w:p>
      <w:r>
        <w:t>不固定为 10 张或 20 张。简单问题可能只需一张事实表与少量维表，复杂问题需要桥接关系。先保证指标依赖和路径完整，再在上下文预算内减少无关信息。调参时同时观察完整召回、生成正确率和 token 成本。</w:t>
      </w:r>
    </w:p>
    <w:p>
      <w:pPr>
        <w:pStyle w:val="Heading2"/>
      </w:pPr>
      <w:r>
        <w:t>6 怎么防止先选错业务域</w:t>
      </w:r>
    </w:p>
    <w:p>
      <w:r>
        <w:t>路由保留多个候选域，允许跨域召回。低置信度时扩大候选或请求澄清，不采用只能落到单域的硬规则。还要单独统计路由漏域造成的失败，避免把所有错误归到向量模型。</w:t>
      </w:r>
    </w:p>
    <w:p>
      <w:pPr>
        <w:pStyle w:val="Heading2"/>
      </w:pPr>
      <w:r>
        <w:t>7 用户提到的型号和渠道怎样匹配</w:t>
      </w:r>
    </w:p>
    <w:p>
      <w:r>
        <w:t>把标准名称、业务别名和经过批准的枚举值建成实体值映射。命中后返回所属字段、标准值和来源，而不是只返回一段字符串。同名实体可能落到不同业务对象，无法确定时结合上下文或询问用户。</w:t>
      </w:r>
    </w:p>
    <w:p>
      <w:pPr>
        <w:pStyle w:val="Heading2"/>
      </w:pPr>
      <w:r>
        <w:t>8 外键不存在怎么办</w:t>
      </w:r>
    </w:p>
    <w:p>
      <w:r>
        <w:t>企业数据并不一定声明外键。设计上允许维护经过确认的逻辑关系，记录键、基数、业务条件和版本。同名字段只能作为发现候选的线索，不能自动成为生产可用的关联边。</w:t>
      </w:r>
    </w:p>
    <w:p>
      <w:pPr>
        <w:pStyle w:val="Heading2"/>
      </w:pPr>
      <w:r>
        <w:t>9 为什么不把邻居表全部拉进来</w:t>
      </w:r>
    </w:p>
    <w:p>
      <w:r>
        <w:t>客户、日期、商品等公共维表可能连接很多表，无限制扩展会让检索重新接近全量注入。应该围绕问题所需对象补齐经过批准的路径，并限制跳数和预算。多条路径都合理时，需要指标规则或澄清来确定。</w:t>
      </w:r>
    </w:p>
    <w:p>
      <w:pPr>
        <w:pStyle w:val="Heading2"/>
      </w:pPr>
      <w:r>
        <w:t>10 指标库和字段描述有什么区别</w:t>
      </w:r>
    </w:p>
    <w:p>
      <w:r>
        <w:t>字段描述解释数据是什么，指标库解释业务数怎样计算。例如 amount 可能是含税订单金额，净销售额还需要退款和状态规则。指标定义应明确粒度、时间、过滤和版本，不能只写一个含糊的“销售金额”。</w:t>
      </w:r>
    </w:p>
    <w:p>
      <w:pPr>
        <w:pStyle w:val="Heading2"/>
      </w:pPr>
      <w:r>
        <w:t>11 怎么避免多表关联重复计算</w:t>
      </w:r>
    </w:p>
    <w:p>
      <w:r>
        <w:t>先检查各表粒度和关联基数，识别一对多、多对多扩张。需要时先去重、预聚合，或通过批准的桥接表关联。用 SUM(DISTINCT amount) 不是通用修复，因为两个不同订单完全可能金额相同。</w:t>
      </w:r>
    </w:p>
    <w:p>
      <w:pPr>
        <w:pStyle w:val="Heading2"/>
      </w:pPr>
      <w:r>
        <w:t>12 SQL 能执行为什么还可能错</w:t>
      </w:r>
    </w:p>
    <w:p>
      <w:r>
        <w:t>数据库只验证语法和绑定，不知道用户想要哪个口径。选错时间字段、把订单数当设备数、漏掉退款、重复关联，都可能正常执行。结果正确性必须由指标规则、参考 SQL 和预期结果来验证。</w:t>
      </w:r>
    </w:p>
    <w:p>
      <w:pPr>
        <w:pStyle w:val="Heading2"/>
      </w:pPr>
      <w:r>
        <w:t>13 什么情况下让用户澄清</w:t>
      </w:r>
    </w:p>
    <w:p>
      <w:r>
        <w:t>缺少会显著改变答案的条件时澄清，例如激活率分母、售后观察窗、渠道口径。若已有经过批准的默认规则，可以明确展示该规则再执行。澄清要具体，例如“按设备售出后 30 天内激活计算，还是按本月首次激活计算”，不要泛泛要求补充信息。</w:t>
      </w:r>
    </w:p>
    <w:p>
      <w:pPr>
        <w:pStyle w:val="Heading2"/>
      </w:pPr>
      <w:r>
        <w:t>14 为什么先生成查询计划</w:t>
      </w:r>
    </w:p>
    <w:p>
      <w:r>
        <w:t>计划把业务理解显式化，方便检查指标、维度、过滤、时间和关联。SQL 出错后也更容易区分理解错误还是语法错误。但计划本身也可能错，因此需要规则校验，不能只增加一个模型步骤就认为更可靠。</w:t>
      </w:r>
    </w:p>
    <w:p>
      <w:pPr>
        <w:pStyle w:val="Heading2"/>
      </w:pPr>
      <w:r>
        <w:t>15 要不要使用 LangGraph</w:t>
      </w:r>
    </w:p>
    <w:p>
      <w:r>
        <w:t>原有项目是直接的 Python 引擎流程。升级初期可以保留清晰的显式状态和函数接口。如果澄清、分支、修复、恢复和持久化状态变复杂，再评估 LangGraph。技术选择由流程需要决定，不为了与参考讲稿一致而引入。</w:t>
      </w:r>
    </w:p>
    <w:p>
      <w:pPr>
        <w:pStyle w:val="Heading2"/>
      </w:pPr>
      <w:r>
        <w:t>16 Self consistency 为什么没有默认开启</w:t>
      </w:r>
    </w:p>
    <w:p>
      <w:r>
        <w:t>多次生成会增加调用与数据库负载，多个候选还可能共享错误指标定义。先建立可靠上下文和语义约束，再针对复杂问题比较多候选收益。只有执行成功或结果一致，不能作为正确性的充分证据。</w:t>
      </w:r>
    </w:p>
    <w:p>
      <w:pPr>
        <w:pStyle w:val="Heading2"/>
      </w:pPr>
      <w:r>
        <w:t>17 SQL 修复如何避免无限循环</w:t>
      </w:r>
    </w:p>
    <w:p>
      <w:r>
        <w:t>按错误分类设置可修复范围，限制次数、总耗时和总 token。语法或字段绑定问题可进入修复，权限拒绝不能通过改写绕过。修复使用同一授权和版本上下文，生成后重新校验，再决定是否执行。</w:t>
      </w:r>
    </w:p>
    <w:p>
      <w:pPr>
        <w:pStyle w:val="Heading2"/>
      </w:pPr>
      <w:r>
        <w:t>18 只允许 SELECT 是否足够安全</w:t>
      </w:r>
    </w:p>
    <w:p>
      <w:r>
        <w:t>不够。SELECT 也可能读取不该看的数据、触发外部访问，或消耗大量资源。需要结合语法树规则、数据库最小权限、外部访问限制、执行隔离和超时取消。当前词法白名单是演示基础，不应描述成完整生产安全方案。</w:t>
      </w:r>
    </w:p>
    <w:p>
      <w:pPr>
        <w:pStyle w:val="Heading2"/>
      </w:pPr>
      <w:r>
        <w:t>19 LIMIT 为什么不等于资源限制</w:t>
      </w:r>
    </w:p>
    <w:p>
      <w:r>
        <w:t>数据库可能先扫描、关联或排序大量数据，再只返回少量结果。即使只返回一行聚合值，也可能消耗很多资源。执行器需要限制时间、内存、并发和临时空间，并结合数据分区及预聚合优化。</w:t>
      </w:r>
    </w:p>
    <w:p>
      <w:pPr>
        <w:pStyle w:val="Heading2"/>
      </w:pPr>
      <w:r>
        <w:t>20 行级权限放在哪里</w:t>
      </w:r>
    </w:p>
    <w:p>
      <w:r>
        <w:t>应在可验证的执行边界落实，优先使用数据源原生能力或受控安全视图。Prompt 中写“只能查本部门”不构成权限隔离。身份要贯穿检索、执行、结果、历史和缓存。对 PostgreSQL 还要检查执行账号是否能绕过 RLS。</w:t>
      </w:r>
    </w:p>
    <w:p>
      <w:pPr>
        <w:pStyle w:val="Heading2"/>
      </w:pPr>
      <w:r>
        <w:t>21 表白名单和用户权限有什么区别</w:t>
      </w:r>
    </w:p>
    <w:p>
      <w:r>
        <w:t>全局白名单说明系统允许访问哪些对象，用户权限说明当前主体能访问其中哪些列、哪些行。检索到某张表不意味着有权执行；有权执行也不意味着应该把全部元数据暴露给用户。两种规则应分别建模并保持一致。</w:t>
      </w:r>
    </w:p>
    <w:p>
      <w:pPr>
        <w:pStyle w:val="Heading2"/>
      </w:pPr>
      <w:r>
        <w:t>22 怎么防止缓存和历史泄露</w:t>
      </w:r>
    </w:p>
    <w:p>
      <w:r>
        <w:t>历史按主体授权，不能只凭递增 ID 读取。缓存键包含权限作用域、查询参数、指标和元数据版本及数据新鲜度。结果复用前检查当前权限，权限或版本变更后失效。不同用户问同一句话不代表可以共享原始结果。</w:t>
      </w:r>
    </w:p>
    <w:p>
      <w:pPr>
        <w:pStyle w:val="Heading2"/>
      </w:pPr>
      <w:r>
        <w:t>23 模拟数据如何体现真实性</w:t>
      </w:r>
    </w:p>
    <w:p>
      <w:r>
        <w:t>真实性主要来自业务约束，不是随机数量大。订单、退款、设备和工单需要一致的关联、时间和金额规则。使用固定种子、可配置异常和参考查询，使演示可复现。模拟数据仍然不能证明真实生产负载或真实业务收益。</w:t>
      </w:r>
    </w:p>
    <w:p>
      <w:pPr>
        <w:pStyle w:val="Heading2"/>
      </w:pPr>
      <w:r>
        <w:t>24 500 表是不是为了凑规模</w:t>
      </w:r>
    </w:p>
    <w:p>
      <w:r>
        <w:t>500 表是目录检索实验目标，必须说明核心问数覆盖和长尾覆盖分别有多大。计划把 30～50 张核心表做成完整业务闭环，其他表承担扩展业务和干扰测试。只有全部相关场景逐步验证后，才扩大业务覆盖声明。</w:t>
      </w:r>
    </w:p>
    <w:p>
      <w:pPr>
        <w:pStyle w:val="Heading2"/>
      </w:pPr>
      <w:r>
        <w:t>25 为什么还保留 DuckDB</w:t>
      </w:r>
    </w:p>
    <w:p>
      <w:r>
        <w:t>本地模拟数据和参考 SQL 评测适合使用 DuckDB，便于复现。生产数据源通过连接器抽象，SQL 方言、权限和执行策略由适配器处理。是否切换引擎要看并发和扫描负载，不仅看表数。</w:t>
      </w:r>
    </w:p>
    <w:p>
      <w:pPr>
        <w:pStyle w:val="Heading2"/>
      </w:pPr>
      <w:r>
        <w:t>26 为什么优先考虑 PostgreSQL 加 pgvector</w:t>
      </w:r>
    </w:p>
    <w:p>
      <w:r>
        <w:t>元数据规模初期不大，可以评估在一个服务中管理结构化目录和向量，减少部署维护成本。这是候选设计，不表示已经证明其效果最佳。如果检索负载或运维需求变化，再用实测决定是否采用独立向量库。</w:t>
      </w:r>
    </w:p>
    <w:p>
      <w:pPr>
        <w:pStyle w:val="Heading2"/>
      </w:pPr>
      <w:r>
        <w:t>27 检索精筛是否都交给大模型</w:t>
      </w:r>
    </w:p>
    <w:p>
      <w:r>
        <w:t>不是。权限过滤、版本一致性、依赖补全和预算规则应确定执行。模型可以辅助语义重排，但不能随意删除关联键或改变授权。精筛后的上下文还要通过完整性检查，防止删掉生成 SQL 必需的信息。</w:t>
      </w:r>
    </w:p>
    <w:p>
      <w:pPr>
        <w:pStyle w:val="Heading2"/>
      </w:pPr>
      <w:r>
        <w:t>28 准确率怎样定义</w:t>
      </w:r>
    </w:p>
    <w:p>
      <w:r>
        <w:t>分别报告执行成功率、可判定问题的结果正确率、澄清与拒绝正确率，以及端到端任务完成情况。报告总样本、支持范围和失败类型。不能把无法回答的题全部剔除后只展示一个高准确率。</w:t>
      </w:r>
    </w:p>
    <w:p>
      <w:pPr>
        <w:pStyle w:val="Heading2"/>
      </w:pPr>
      <w:r>
        <w:t>29 检索如何做消融实验</w:t>
      </w:r>
    </w:p>
    <w:p>
      <w:r>
        <w:t>冻结模型、问题集和数据，比较全量 Schema、关键词、向量、混合以及增加关系补全后的结果。记录完整表召回、字段路径覆盖、答案正确率、延迟和成本。每次只改变明确因素，才能判断提升来自哪里。</w:t>
      </w:r>
    </w:p>
    <w:p>
      <w:pPr>
        <w:pStyle w:val="Heading2"/>
      </w:pPr>
      <w:r>
        <w:t>30 增加干扰表能证明 500 表能力吗</w:t>
      </w:r>
    </w:p>
    <w:p>
      <w:r>
        <w:t>只能证明固定任务下的抗干扰能力，不能证明新增域业务已经支持。还要增加真正依赖新增表的问题和跨域问题。两类实验分别报告，不能把原有 18 题正确当作 500 表全面正确。</w:t>
      </w:r>
    </w:p>
    <w:p>
      <w:pPr>
        <w:pStyle w:val="Heading2"/>
      </w:pPr>
      <w:r>
        <w:t>31 如何分析一个 bad case</w:t>
      </w:r>
    </w:p>
    <w:p>
      <w:r>
        <w:t>先检查问题是否有明确口径，再看路由、召回、实体值、关联路径、计划、SQL 和结果比较。定位到具体环节后修复，并把同类问题加入回归。不要遇到错误就只改 Prompt，因为错误可能来自元数据或参考答案。</w:t>
      </w:r>
    </w:p>
    <w:p>
      <w:pPr>
        <w:pStyle w:val="Heading2"/>
      </w:pPr>
      <w:r>
        <w:t>32 新增表或改字段后怎样更新</w:t>
      </w:r>
    </w:p>
    <w:p>
      <w:r>
        <w:t>先采集变化并生成版本差异，再更新语义依赖与索引，完成校验后发布一致快照。请求绑定版本，避免检索使用旧字段而执行面对新结构。重大变化触发受影响指标、历史问题和权限回归，必要时暂停受影响查询。</w:t>
      </w:r>
    </w:p>
    <w:p>
      <w:pPr>
        <w:pStyle w:val="Heading2"/>
      </w:pPr>
      <w:r>
        <w:t>33 设备事件很多怎么办</w:t>
      </w:r>
    </w:p>
    <w:p>
      <w:r>
        <w:t>先按分析问题建立设备日或型号日聚合，常规问数优先访问治理后的分析层。原始事件查询需要时间范围和资源约束。离线率、活跃率等指标先明确观测窗口和分母，再决定预聚合粒度。</w:t>
      </w:r>
    </w:p>
    <w:p>
      <w:pPr>
        <w:pStyle w:val="Heading2"/>
      </w:pPr>
      <w:r>
        <w:t>34 AI 洞察怎样避免编造</w:t>
      </w:r>
    </w:p>
    <w:p>
      <w:r>
        <w:t>把真实返回结果、字段意义和口径交给模型，并限制其只描述可支持的事实。结果截断、数据不完整或观察期未满时要标注。只能看到售后占比升高，就不能断言是固件导致；因果分析需要另外的证据和方法。</w:t>
      </w:r>
    </w:p>
    <w:p>
      <w:pPr>
        <w:pStyle w:val="Heading2"/>
      </w:pPr>
      <w:r>
        <w:t>35 目前做得最不足的地方是什么</w:t>
      </w:r>
    </w:p>
    <w:p>
      <w:r>
        <w:t>当前最大不足是升级链路尚未实施验证，现有评测基线也有报告差异。后续优先形成可信数据、问题和参考答案，再验证检索、权限与结果。这个回答比提前承诺准确率更能明确工程状态。</w:t>
      </w:r>
    </w:p>
    <w:p>
      <w:pPr>
        <w:pStyle w:val="Heading2"/>
      </w:pPr>
      <w:r>
        <w:t>36 如果正式接入企业数据 下一步怎么做</w:t>
      </w:r>
    </w:p>
    <w:p>
      <w:r>
        <w:t>先取得授权和数据字典，对齐业务主体、字段、指标及权限。使用只读样本环境完成映射和验证，再评估生产数据量、网络与部署。模拟数据接口能减少改造，但不能替代真实数据质量检查和业务验收。</w:t>
      </w:r>
    </w:p>
    <w:p>
      <w:pPr>
        <w:pStyle w:val="Heading1"/>
      </w:pPr>
      <w:r>
        <w:t>十 技术难点与回答思路</w:t>
      </w:r>
    </w:p>
    <w:p>
      <w:pPr>
        <w:pStyle w:val="Heading2"/>
      </w:pPr>
      <w:r>
        <w:t>难点一 元数据召回不完整</w:t>
      </w:r>
    </w:p>
    <w:p>
      <w:r>
        <w:t>表现是命中了业务表却漏掉桥接表或指标依赖。设计上采用表字段指标分层检索，并从版本化依赖图补全。验证时按“每题必需表全部召回”统计，不能只看某张目标表进入 TopK。</w:t>
      </w:r>
    </w:p>
    <w:p>
      <w:pPr>
        <w:pStyle w:val="Heading2"/>
      </w:pPr>
      <w:r>
        <w:t>难点二 多粒度关联造成错误结果</w:t>
      </w:r>
    </w:p>
    <w:p>
      <w:r>
        <w:t>表现是 SQL 执行成功但设备数、订单金额被放大。设计上维护表粒度与关系基数，先生成计划，并用去重集合或预聚合约束 SQL。通过一台设备多工单、一单多设备的专门用例验证。</w:t>
      </w:r>
    </w:p>
    <w:p>
      <w:pPr>
        <w:pStyle w:val="Heading2"/>
      </w:pPr>
      <w:r>
        <w:t>难点三 演示规模与真实能力边界</w:t>
      </w:r>
    </w:p>
    <w:p>
      <w:r>
        <w:t>500 表容易造成“全面支持”的误解。设计上分别展示目录规模、数据规模、已覆盖问题和盲测结果。只有完成真实评测后再更新成绩，避免把数据生成成功等同于平台准确可靠。</w:t>
      </w:r>
    </w:p>
    <w:p>
      <w:pPr>
        <w:pStyle w:val="Heading1"/>
      </w:pPr>
      <w:r>
        <w:t>十一 面试演示顺序</w:t>
      </w:r>
    </w:p>
    <w:p>
      <w:r>
        <w:t>先用单域问题展示基本能力，例如上月各渠道净销售额；再用设备激活问题解释 cohort 和观察窗口；随后用订单与售后联合问题展示桥接关系和去重；最后展示一个需要澄清的问题和一个权限拒绝例子。</w:t>
      </w:r>
    </w:p>
    <w:p>
      <w:r>
        <w:t>每个演示页面建议呈现问题、业务口径、检索出的表与依据、最终 SQL、结果和图表。异常演示必须来自实际实现，尚未完成的节点可以用设计图讲解，不制作伪造运行截图。</w:t>
      </w:r>
    </w:p>
    <w:p>
      <w:r>
        <w:t>演示前准备固定数据快照与可复现查询。若模型服务不可用，明确切换至标注的演示模式，不能让规则输出冒充真实模型效果。</w:t>
      </w:r>
    </w:p>
    <w:p>
      <w:pPr>
        <w:pStyle w:val="Heading1"/>
      </w:pPr>
      <w:r>
        <w:t>十二 可背诵的结尾与简历表述</w:t>
      </w:r>
    </w:p>
    <w:p>
      <w:pPr>
        <w:pStyle w:val="Heading2"/>
      </w:pPr>
      <w:r>
        <w:t>项目结尾</w:t>
      </w:r>
    </w:p>
    <w:p>
      <w:r>
        <w:t>这个项目最重要的设计，是让模型在有约束的数据上下文中完成问数。检索负责找到相关信息，语义层负责明确业务口径和关联方式，执行治理负责控制权限与资源。500 表是目录规模目标，真正需要验证的是具体问题能否找到完整上下文，并得到可解释、可核验的结果。</w:t>
      </w:r>
    </w:p>
    <w:p>
      <w:pPr>
        <w:pStyle w:val="Heading2"/>
      </w:pPr>
      <w:r>
        <w:t>当前可用的简历表述</w:t>
      </w:r>
    </w:p>
    <w:p>
      <w:r>
        <w:t>基于现有 Text-to-SQL 演示项目，设计面向智能宠物硬件业务的 500 表智能问数升级方案，覆盖元数据治理、混合检索、指标口径、关联补全与受控 SQL 执行；规划销售、设备运营和售后模拟数据及分层评测。</w:t>
      </w:r>
    </w:p>
    <w:p>
      <w:pPr>
        <w:pStyle w:val="Heading2"/>
      </w:pPr>
      <w:r>
        <w:t>完成代码后再更新的表述</w:t>
      </w:r>
    </w:p>
    <w:p>
      <w:r>
        <w:t>完成哪些模块，就具体写哪些模块；运行结果和盲测指标确定后，补充样本规模、统计口径及配置。未经验证不填写准确率、并发、QPS、节约人力或已上线客户数量。</w:t>
      </w:r>
    </w:p>
    <w:p>
      <w:pPr>
        <w:pStyle w:val="Heading1"/>
      </w:pPr>
      <w:r>
        <w:t>十三 实施后需要回填的记录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618"/>
      </w:tblGrid>
      <w:tr>
        <w:trPr>
          <w:cantSplit/>
          <w:tblHeader/>
        </w:trPr>
        <w:tc>
          <w:tcPr>
            <w:tcW w:type="dxa" w:w="2376"/>
            <w:vAlign w:val="center"/>
            <w:shd w:fill="2444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80" w:before="80" w:line="271" w:lineRule="auto"/>
            </w:pPr>
            <w:r>
              <w:rPr>
                <w:b/>
                <w:color w:val="FFFFFF"/>
                <w:sz w:val="20"/>
              </w:rPr>
              <w:t>回填项</w:t>
            </w:r>
          </w:p>
        </w:tc>
        <w:tc>
          <w:tcPr>
            <w:tcW w:type="dxa" w:w="7618"/>
            <w:vAlign w:val="center"/>
            <w:shd w:fill="2444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80" w:before="80" w:line="271" w:lineRule="auto"/>
            </w:pPr>
            <w:r>
              <w:rPr>
                <w:b/>
                <w:color w:val="FFFFFF"/>
                <w:sz w:val="20"/>
              </w:rPr>
              <w:t>应记录的证据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数据规模</w:t>
            </w:r>
          </w:p>
        </w:tc>
        <w:tc>
          <w:tcPr>
            <w:tcW w:type="dxa" w:w="761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实际表数 核心表数 字段数 各表行数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检索配置</w:t>
            </w:r>
          </w:p>
        </w:tc>
        <w:tc>
          <w:tcPr>
            <w:tcW w:type="dxa" w:w="761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模型版本 分词 融合 重排 K 与 token 预算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生成配置</w:t>
            </w:r>
          </w:p>
        </w:tc>
        <w:tc>
          <w:tcPr>
            <w:tcW w:type="dxa" w:w="761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模型标识 接口 采样参数 Prompt 版本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质量结果</w:t>
            </w:r>
          </w:p>
        </w:tc>
        <w:tc>
          <w:tcPr>
            <w:tcW w:type="dxa" w:w="761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盲测样本 执行成功 结果正确 澄清拒绝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性能结果</w:t>
            </w:r>
          </w:p>
        </w:tc>
        <w:tc>
          <w:tcPr>
            <w:tcW w:type="dxa" w:w="761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硬件 并发 缓存状态 P50 P95 超时率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安全验证</w:t>
            </w:r>
          </w:p>
        </w:tc>
        <w:tc>
          <w:tcPr>
            <w:tcW w:type="dxa" w:w="761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权限矩阵 越权用例 历史及缓存隔离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完成边界</w:t>
            </w:r>
          </w:p>
        </w:tc>
        <w:tc>
          <w:tcPr>
            <w:tcW w:type="dxa" w:w="761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已实现模块 未支持场景 已知问题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十四 资料与核验入口</w:t>
      </w:r>
    </w:p>
    <w:p>
      <w:r>
        <w:t>项目依据：D:\projects\lingxi\README.md；src\engine\prompts.py、engine.py、executor.py、sql_guard.py；reports\table_scaling_experiment.md；docs\企业级500表升级计划.md。</w:t>
      </w:r>
    </w:p>
    <w:p>
      <w:r>
        <w:t>参考稿仅用于组织结构和问答密度，不沿用其中未经本项目验证的基础设施、模型、压测或成果数字。</w:t>
      </w:r>
    </w:p>
    <w:p>
      <w:r>
        <w:t>公开业务背景：PETKIT 官方介绍 https://www.petkit.com/pages/about-us 。企业数据接入时应确认授权主体；官方隐私政策 https://m.petkit.cn/app/about/policy/cn.html 说明 App 运营主体变更情况。</w:t>
      </w:r>
    </w:p>
    <w:p>
      <w:r>
        <w:t>执行安全参考：DuckDB 官方安全说明 https://duckdb.org/docs/current/operations_manual/securing_duckdb/overview 。行级权限参考：PostgreSQL 官方文档 https://www.postgresql.org/docs/current/ddl-rowsecurity.html 。实施时按所选版本重新核对。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93" w:lineRule="auto"/>
    </w:pPr>
    <w:rPr>
      <w:rFonts w:ascii="Microsoft YaHei" w:hAnsi="Microsoft YaHei" w:eastAsia="Microsoft YaHe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9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20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9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202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93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93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0202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灵犀智能问数项目串讲稿</dc:title>
  <dc:subject>小佩智能宠物硬件业务场景 500表升级设计与面试问答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