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60"/>
        </w:rPr>
        <w:t>A股周度复盘报告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i w:val="0"/>
          <w:color w:val="95A5A6"/>
          <w:sz w:val="24"/>
        </w:rPr>
        <w:t>WEEKLY MARKET REVIEW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2980B9"/>
          <w:sz w:val="28"/>
        </w:rPr>
        <w:t>复盘周期：____年__月__日 — __月__日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i w:val="0"/>
          <w:color w:val="95A5A6"/>
          <w:sz w:val="20"/>
        </w:rPr>
        <w:t>共 5 个交易日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color w:val="95A5A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7F8C8D"/>
          <w:sz w:val="24"/>
        </w:rPr>
        <w:t xml:space="preserve">上证指数  </w:t>
      </w:r>
      <w:r>
        <w:rPr>
          <w:rFonts w:ascii="Microsoft YaHei" w:hAnsi="Microsoft YaHei" w:eastAsia="Microsoft YaHei"/>
          <w:b/>
          <w:color w:val="1A1A2E"/>
          <w:sz w:val="44"/>
        </w:rPr>
        <w:t>____.__</w:t>
      </w:r>
      <w:r>
        <w:rPr>
          <w:rFonts w:ascii="Microsoft YaHei" w:hAnsi="Microsoft YaHei" w:eastAsia="Microsoft YaHei"/>
          <w:color w:val="95A5A6"/>
          <w:sz w:val="20"/>
        </w:rPr>
        <w:t xml:space="preserve">  周涨跌：____%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7F8C8D"/>
          <w:sz w:val="24"/>
        </w:rPr>
        <w:t xml:space="preserve">深证成指  </w:t>
      </w:r>
      <w:r>
        <w:rPr>
          <w:rFonts w:ascii="Microsoft YaHei" w:hAnsi="Microsoft YaHei" w:eastAsia="Microsoft YaHei"/>
          <w:b/>
          <w:color w:val="1A1A2E"/>
          <w:sz w:val="44"/>
        </w:rPr>
        <w:t>____.__</w:t>
      </w:r>
      <w:r>
        <w:rPr>
          <w:rFonts w:ascii="Microsoft YaHei" w:hAnsi="Microsoft YaHei" w:eastAsia="Microsoft YaHei"/>
          <w:color w:val="95A5A6"/>
          <w:sz w:val="20"/>
        </w:rPr>
        <w:t xml:space="preserve">  周涨跌：____%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7F8C8D"/>
          <w:sz w:val="24"/>
        </w:rPr>
        <w:t xml:space="preserve">创业板指  </w:t>
      </w:r>
      <w:r>
        <w:rPr>
          <w:rFonts w:ascii="Microsoft YaHei" w:hAnsi="Microsoft YaHei" w:eastAsia="Microsoft YaHei"/>
          <w:b/>
          <w:color w:val="1A1A2E"/>
          <w:sz w:val="44"/>
        </w:rPr>
        <w:t>____.__</w:t>
      </w:r>
      <w:r>
        <w:rPr>
          <w:rFonts w:ascii="Microsoft YaHei" w:hAnsi="Microsoft YaHei" w:eastAsia="Microsoft YaHei"/>
          <w:color w:val="95A5A6"/>
          <w:sz w:val="20"/>
        </w:rPr>
        <w:t xml:space="preserve">  周涨跌：____%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7F8C8D"/>
          <w:sz w:val="24"/>
        </w:rPr>
        <w:t xml:space="preserve">周均成交额  </w:t>
      </w:r>
      <w:r>
        <w:rPr>
          <w:rFonts w:ascii="Microsoft YaHei" w:hAnsi="Microsoft YaHei" w:eastAsia="Microsoft YaHei"/>
          <w:b/>
          <w:color w:val="1A1A2E"/>
          <w:sz w:val="44"/>
        </w:rPr>
        <w:t>____万亿</w:t>
      </w:r>
      <w:r>
        <w:rPr>
          <w:rFonts w:ascii="Microsoft YaHei" w:hAnsi="Microsoft YaHei" w:eastAsia="Microsoft YaHei"/>
          <w:color w:val="95A5A6"/>
          <w:sz w:val="20"/>
        </w:rPr>
        <w:t xml:space="preserve">  较上周：____%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7F8C8D"/>
          <w:sz w:val="24"/>
        </w:rPr>
        <w:t xml:space="preserve">综合评分  </w:t>
      </w:r>
      <w:r>
        <w:rPr>
          <w:rFonts w:ascii="Microsoft YaHei" w:hAnsi="Microsoft YaHei" w:eastAsia="Microsoft YaHei"/>
          <w:b/>
          <w:color w:val="1A1A2E"/>
          <w:sz w:val="44"/>
        </w:rPr>
        <w:t>__分</w:t>
      </w:r>
      <w:r>
        <w:rPr>
          <w:rFonts w:ascii="Microsoft YaHei" w:hAnsi="Microsoft YaHei" w:eastAsia="Microsoft YaHei"/>
          <w:color w:val="95A5A6"/>
          <w:sz w:val="20"/>
        </w:rPr>
        <w:t xml:space="preserve">  仓位上限：__成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color w:val="95A5A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目  录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一、本周市场全景</w:t>
      </w:r>
      <w:r>
        <w:rPr>
          <w:rFonts w:ascii="Microsoft YaHei" w:hAnsi="Microsoft YaHei" w:eastAsia="Microsoft YaHei"/>
          <w:color w:val="95A5A6"/>
          <w:sz w:val="18"/>
        </w:rPr>
        <w:t xml:space="preserve">    —— 五大指数周度表现 + 量价关系总览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二、日度市场轨迹</w:t>
      </w:r>
      <w:r>
        <w:rPr>
          <w:rFonts w:ascii="Microsoft YaHei" w:hAnsi="Microsoft YaHei" w:eastAsia="Microsoft YaHei"/>
          <w:color w:val="95A5A6"/>
          <w:sz w:val="18"/>
        </w:rPr>
        <w:t xml:space="preserve">    —— 5个交易日关键数据逐日对比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三、情绪周期周度演变</w:t>
      </w:r>
      <w:r>
        <w:rPr>
          <w:rFonts w:ascii="Microsoft YaHei" w:hAnsi="Microsoft YaHei" w:eastAsia="Microsoft YaHei"/>
          <w:color w:val="95A5A6"/>
          <w:sz w:val="18"/>
        </w:rPr>
        <w:t xml:space="preserve">    —— 连板高度、涨停/跌停、炸板率的5日轨迹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四、主线与板块轮动</w:t>
      </w:r>
      <w:r>
        <w:rPr>
          <w:rFonts w:ascii="Microsoft YaHei" w:hAnsi="Microsoft YaHei" w:eastAsia="Microsoft YaHei"/>
          <w:color w:val="95A5A6"/>
          <w:sz w:val="18"/>
        </w:rPr>
        <w:t xml:space="preserve">    —— 本周涨幅/跌幅板块 + 主线持续性与切换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五、资金面周度分析</w:t>
      </w:r>
      <w:r>
        <w:rPr>
          <w:rFonts w:ascii="Microsoft YaHei" w:hAnsi="Microsoft YaHei" w:eastAsia="Microsoft YaHei"/>
          <w:color w:val="95A5A6"/>
          <w:sz w:val="18"/>
        </w:rPr>
        <w:t xml:space="preserve">    —— 北向资金 + 机构/游资 + 主力板块流向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六、题材生命周期图谱</w:t>
      </w:r>
      <w:r>
        <w:rPr>
          <w:rFonts w:ascii="Microsoft YaHei" w:hAnsi="Microsoft YaHei" w:eastAsia="Microsoft YaHei"/>
          <w:color w:val="95A5A6"/>
          <w:sz w:val="18"/>
        </w:rPr>
        <w:t xml:space="preserve">    —— 各主线所处的生命阶段定位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七、量价结构周度分析</w:t>
      </w:r>
      <w:r>
        <w:rPr>
          <w:rFonts w:ascii="Microsoft YaHei" w:hAnsi="Microsoft YaHei" w:eastAsia="Microsoft YaHei"/>
          <w:color w:val="95A5A6"/>
          <w:sz w:val="18"/>
        </w:rPr>
        <w:t xml:space="preserve">    —— 周线级别量价关系 + 关键支撑/压力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八、综合评分（周度版）</w:t>
      </w:r>
      <w:r>
        <w:rPr>
          <w:rFonts w:ascii="Microsoft YaHei" w:hAnsi="Microsoft YaHei" w:eastAsia="Microsoft YaHei"/>
          <w:color w:val="95A5A6"/>
          <w:sz w:val="18"/>
        </w:rPr>
        <w:t xml:space="preserve">    —— 8个维度加权评分 + 市场阶段判定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九、本周交易复盘</w:t>
      </w:r>
      <w:r>
        <w:rPr>
          <w:rFonts w:ascii="Microsoft YaHei" w:hAnsi="Microsoft YaHei" w:eastAsia="Microsoft YaHei"/>
          <w:color w:val="95A5A6"/>
          <w:sz w:val="18"/>
        </w:rPr>
        <w:t xml:space="preserve">    —— 交割单回顾 + 盈亏归因 + 错误清单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十、周末大事件与下周影响</w:t>
      </w:r>
      <w:r>
        <w:rPr>
          <w:rFonts w:ascii="Microsoft YaHei" w:hAnsi="Microsoft YaHei" w:eastAsia="Microsoft YaHei"/>
          <w:color w:val="95A5A6"/>
          <w:sz w:val="18"/>
        </w:rPr>
        <w:t xml:space="preserve">    —— 国内政策/海外市场/产业催化/地缘风险全景扫描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十一、下周作战计划</w:t>
      </w:r>
      <w:r>
        <w:rPr>
          <w:rFonts w:ascii="Microsoft YaHei" w:hAnsi="Microsoft YaHei" w:eastAsia="Microsoft YaHei"/>
          <w:color w:val="95A5A6"/>
          <w:sz w:val="18"/>
        </w:rPr>
        <w:t xml:space="preserve">    —— 基于事件驱动的日历 + 主攻方向 + 仓位策略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980B9"/>
          <w:sz w:val="23"/>
        </w:rPr>
        <w:t>十二、核心结论</w:t>
      </w:r>
      <w:r>
        <w:rPr>
          <w:rFonts w:ascii="Microsoft YaHei" w:hAnsi="Microsoft YaHei" w:eastAsia="Microsoft YaHei"/>
          <w:color w:val="95A5A6"/>
          <w:sz w:val="18"/>
        </w:rPr>
        <w:t xml:space="preserve">    —— 一句话定性 + 三大预判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一、本周市场全景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一句话概括本周市场：_____________________________________________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1.1  五大核心指数周度表现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指数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周一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周二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周三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周四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周五</w:t>
            </w:r>
          </w:p>
        </w:tc>
        <w:tc>
          <w:tcPr>
            <w:tcW w:type="dxa" w:w="79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周涨跌</w:t>
            </w:r>
          </w:p>
        </w:tc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周线形态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关键位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上证指数</w:t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79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□阳 □阴 □十字</w:t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支撑:____ 压力:____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深证成指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□阳 □阴 □十字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支撑:____ 压力:____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创业板指</w:t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79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□阳 □阴 □十字</w:t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支撑:____ 压力:____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科创50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□阳 □阴 □十字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支撑:____ 压力:____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上证50</w:t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79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□阳 □阴 □十字</w:t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支撑:____ 压力:____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i/>
          <w:color w:val="95A5A6"/>
          <w:sz w:val="18"/>
        </w:rPr>
        <w:t>填写说明：填入每日收盘涨跌幅，周线形态勾选，关键位基于周线级别。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1.2  周量价关系总览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本周数值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上周数值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环比变化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趋势判断</w:t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周总成交额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____万亿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____万亿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□放量 □缩量 □持平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日均成交额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____万亿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____万亿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最大单日成交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____万亿（周_）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最小单日成交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____万亿（周_）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上涨家数合计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____只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□偏多 □偏空 □均衡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下跌家数合计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图表：上证指数周K线 + 周成交量柱状图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叠加5周/20周均线，标注关键支撑压力位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二、日度市场轨迹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逐日关键数据对比，观察趋势演变而非孤立的日度数据。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2.1  五大核心指标日度对比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周一 __/__</w:t>
            </w:r>
          </w:p>
        </w:tc>
        <w:tc>
          <w:tcPr>
            <w:tcW w:type="dxa" w:w="136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周二 __/__</w:t>
            </w:r>
          </w:p>
        </w:tc>
        <w:tc>
          <w:tcPr>
            <w:tcW w:type="dxa" w:w="136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周三 __/__</w:t>
            </w:r>
          </w:p>
        </w:tc>
        <w:tc>
          <w:tcPr>
            <w:tcW w:type="dxa" w:w="136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周四 __/__</w:t>
            </w:r>
          </w:p>
        </w:tc>
        <w:tc>
          <w:tcPr>
            <w:tcW w:type="dxa" w:w="136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周五 __/__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周趋势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上涨家数</w:t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□递增 □递减 □震荡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涨停家数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□递增 □递减 □震荡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跌停家数</w:t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□递增 □递减 □震荡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炸板率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□好转 □恶化 □震荡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成交额(亿)</w:t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6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□放量 □缩量 □持平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2.2  连板高度日度追踪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最高板数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最高板个股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所属题材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2进3成功率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3板+家数</w:t>
            </w:r>
          </w:p>
        </w:tc>
        <w:tc>
          <w:tcPr>
            <w:tcW w:type="dxa" w:w="243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高位股状态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周一 __/__</w:t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43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周二 __/__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周三 __/__</w:t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43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周四 __/__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周五 __/__</w:t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43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图表：连板高度5日折线图 + 涨停/跌停家数双柱图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X轴=5个交易日，观察连板高度是否出现断崖下跌或稳步爬升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三、情绪周期周度演变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3.1  情绪温度计（周度综合）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周一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周二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周三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周四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周五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本周均值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上周均值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涨停家数</w:t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□↑ □↓ □→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跌停家数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□↑ □↓ □→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炸板率%</w:t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□↑ □↓ □→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连板晋级率%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□↑ □↓ □→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上涨占比%</w:t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□↑ □↓ □→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新高/新低比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□↑ □↓ □→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3.2  情绪周期阶段判定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判定维度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本周特征</w:t>
            </w:r>
          </w:p>
        </w:tc>
        <w:tc>
          <w:tcPr>
            <w:tcW w:type="dxa" w:w="328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阶段归属</w:t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涨停数趋势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28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□冰点(&lt;50) □退潮(50-80) □震荡(80-120) □主升(120-150) □高潮(&gt;150)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连板高度趋势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□压缩 □横盘 □爬升</w:t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高位股亏钱效应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28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□严重 □中等 □轻微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低位新方向试探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□无 □零星 □活跃 □已成主线</w:t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综合周期判定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28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图表：情绪周期仪表盘（周度版）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六指标雷达图 + 情绪阶段时间轴（标注本周所处阶段）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四、主线与板块轮动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4.1  本周涨幅TOP 8板块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周涨幅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核心驱动逻辑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龙头股</w:t>
            </w:r>
          </w:p>
        </w:tc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梯队健康度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可持续性评估</w:t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3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5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7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□部分 □无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4.2  本周跌幅TOP 5板块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96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周跌幅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下跌原因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是否值得抄底</w:t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□是 □否，理由：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3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5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96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4.3  主线切换与持续性评估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上周主线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本周主线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切换信号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下周预判</w:t>
            </w:r>
          </w:p>
        </w:tc>
      </w:tr>
      <w:tr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第一主线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□延续 □切换 □待观察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第二主线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□延续 □切换 □待观察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第三主线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□延续 □切换 □待观察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暗线/独立逻辑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图表：板块周涨幅排行榜柱状图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TOP5涨幅板块 + TOP3跌幅板块，标注资金净流入方向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五、资金面周度分析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5.1  北向资金5日流向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沪股通(亿)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深股通(亿)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合计(亿)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累计5日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方向判断</w:t>
            </w:r>
          </w:p>
        </w:tc>
      </w:tr>
      <w:tr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周一 __/__</w:t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周二 __/__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周三 __/__</w:t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周四 __/__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周五 __/__</w:t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北向资金周度总计：净____（流入/流出）____亿，较上周____（增加/减少）____%。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5.2  主力资金板块流向（周度累计）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本周主力净额(亿)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流入天数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与涨跌幅匹配?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资金态度</w:t>
            </w:r>
          </w:p>
        </w:tc>
      </w:tr>
      <w:tr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（流入第一板块）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□是 □否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（流入第二板块）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□是 □否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（流入第三板块）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□是 □否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（流出第一板块）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□是 □否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□减仓 □恐慌出逃</w:t>
            </w:r>
          </w:p>
        </w:tc>
      </w:tr>
      <w:tr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（流出第二板块）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□是 □否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5.3  机构 vs 游资 周度动向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资金性质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本周净额(亿)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主攻方向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操作特征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信号意义</w:t>
            </w:r>
          </w:p>
        </w:tc>
      </w:tr>
      <w:tr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机构席位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□趋势建仓 □加速加仓 □减仓 □观望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一线游资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□共振 □分歧 □撤出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量化资金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□活跃 □收缩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图表：北向资金5日累计净流向折线图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叠加沪股通/深股通分项，标注累计净流入/流出拐点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六、题材生命周期图谱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将本周活跃的5-8个核心题材定位到生命周期坐标上，判断所处阶段并预判下一步演变。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题材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启动日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当前阶段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本周演变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梯队状态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分歧/一致</w:t>
            </w:r>
          </w:p>
        </w:tc>
        <w:tc>
          <w:tcPr>
            <w:tcW w:type="dxa" w:w="130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下周预判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□萌芽 □发酵 □高潮 □分化 □退潮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□残缺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□一致 □分歧</w:t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□继续 □退潮 □切换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□萌芽 □发酵 □高潮 □分化 □退潮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□残缺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□一致 □分歧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□继续 □退潮 □切换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□萌芽 □发酵 □高潮 □分化 □退潮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□残缺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□一致 □分歧</w:t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□继续 □退潮 □切换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□萌芽 □发酵 □高潮 □分化 □退潮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□残缺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□一致 □分歧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□继续 □退潮 □切换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□萌芽 □发酵 □高潮 □分化 □退潮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□完整 □残缺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□一致 □分歧</w:t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□继续 □退潮 □切换</w:t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图表：题材生命周期坐标图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横轴=时间，纵轴=热度，标注萌芽/发酵/高潮/分化/退潮五个阶段，将各题材定位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七、量价结构周度分析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7.1  指数周线形态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指数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本周涨幅</w:t>
            </w:r>
          </w:p>
        </w:tc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周线形态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量价关系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均线系统</w:t>
            </w:r>
          </w:p>
        </w:tc>
        <w:tc>
          <w:tcPr>
            <w:tcW w:type="dxa" w:w="238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关键信号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上证指数</w:t>
            </w:r>
          </w:p>
        </w:tc>
        <w:tc>
          <w:tcPr>
            <w:tcW w:type="dxa" w:w="102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□量价配合 □量价背离</w:t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□多头 □空头 □缠绕</w:t>
            </w:r>
          </w:p>
        </w:tc>
        <w:tc>
          <w:tcPr>
            <w:tcW w:type="dxa" w:w="238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创业板指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□量价配合 □量价背离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□多头 □空头 □缠绕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7.2  关键支撑与压力（周线级别）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本周最高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本周最低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关键压力位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关键支撑位</w:t>
            </w:r>
          </w:p>
        </w:tc>
        <w:tc>
          <w:tcPr>
            <w:tcW w:type="dxa" w:w="238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下周波动区间预判</w:t>
            </w:r>
          </w:p>
        </w:tc>
      </w:tr>
      <w:tr>
        <w:tc>
          <w:tcPr>
            <w:tcW w:type="dxa" w:w="124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上证指数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38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 - ____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创业板指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 - ____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7.3  大小盘风格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上周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变化方向</w:t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沪深300 周涨跌</w:t>
            </w:r>
          </w:p>
        </w:tc>
        <w:tc>
          <w:tcPr>
            <w:tcW w:type="dxa" w:w="255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中证1000 周涨跌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中证2000 周涨跌</w:t>
            </w:r>
          </w:p>
        </w:tc>
        <w:tc>
          <w:tcPr>
            <w:tcW w:type="dxa" w:w="255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风格判断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□大盘占优  □小盘占优  □均衡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图表：上证指数周线图（标注5周/20周/60周均线）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标注本周K线位置 + 成交量对比上周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八、综合评分（周度版）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周度评分标准：以5个交易日的综合状态为评估对象，权重相比日度版有调整。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8.1  八维评分卡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评分维度</w:t>
            </w:r>
          </w:p>
        </w:tc>
        <w:tc>
          <w:tcPr>
            <w:tcW w:type="dxa" w:w="73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73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得分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满分参考（周度）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评分理由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周均成交额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20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≥1.5万亿=满分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本周日均成交____万亿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周涨跌方向与量价关系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放量上涨=满分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炸板率周均值+高位股稳定性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15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炸板率≤20%+高位无崩塌=满分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本周高位股是否出现一字跌停？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主线持续性（周内是否切换）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主线贯穿全周=满分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本周主线是延续还是切换？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涨停家数周均值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10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≥100只=满分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周均涨停____只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跌停家数周均值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≤10只=满分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周均跌停____只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连板高度趋势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5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≥7板且稳定=满分</w:t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本周最高板____板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北向资金周累计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净流入≥100亿=满分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本周北向累计____亿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合计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100</w:t>
            </w:r>
          </w:p>
        </w:tc>
        <w:tc>
          <w:tcPr>
            <w:tcW w:type="dxa" w:w="73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68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8.2  市场阶段与仓位对应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评分区间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市场阶段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仓位上限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操作策略</w:t>
            </w:r>
          </w:p>
        </w:tc>
        <w:tc>
          <w:tcPr>
            <w:tcW w:type="dxa" w:w="272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本周是否命中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≥80分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高潮/主升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5成</w:t>
            </w:r>
          </w:p>
        </w:tc>
        <w:tc>
          <w:tcPr>
            <w:tcW w:type="dxa" w:w="255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持股为主，不追高，分批止盈</w:t>
            </w:r>
          </w:p>
        </w:tc>
        <w:tc>
          <w:tcPr>
            <w:tcW w:type="dxa" w:w="272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60-80分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主升/震荡偏强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5-8成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积极操作，聚焦主线龙头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40-60分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震荡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3-5成</w:t>
            </w:r>
          </w:p>
        </w:tc>
        <w:tc>
          <w:tcPr>
            <w:tcW w:type="dxa" w:w="255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高抛低吸，减少开仓</w:t>
            </w:r>
          </w:p>
        </w:tc>
        <w:tc>
          <w:tcPr>
            <w:tcW w:type="dxa" w:w="272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20-40分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退潮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≤2成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防守为主，不开新仓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≤20分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冰点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空仓</w:t>
            </w:r>
          </w:p>
        </w:tc>
        <w:tc>
          <w:tcPr>
            <w:tcW w:type="dxa" w:w="255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等待拐点信号</w:t>
            </w:r>
          </w:p>
        </w:tc>
        <w:tc>
          <w:tcPr>
            <w:tcW w:type="dxa" w:w="272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</w:t>
            </w:r>
          </w:p>
        </w:tc>
      </w:tr>
    </w:tbl>
    <w:p/>
    <w:p>
      <w:pPr>
        <w:spacing w:after="160"/>
      </w:pPr>
      <w:r>
        <w:rPr>
          <w:rFonts w:ascii="Microsoft YaHei" w:hAnsi="Microsoft YaHei" w:eastAsia="Microsoft YaHei"/>
          <w:b/>
          <w:i w:val="0"/>
          <w:color w:val="E74C3C"/>
          <w:sz w:val="22"/>
        </w:rPr>
        <w:t>本周综合评分：____分 → 仓位上限：____成  →  实际执行仓位：____成</w:t>
      </w:r>
    </w:p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图表：周度八维评分雷达图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标注本周得分 vs 上周得分，观察评分趋势变化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九、本周交易复盘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这是周复盘最有价值的模块。不粉饰，不回避，真实面对每一笔交易。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9.1  交割单回顾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代码/名称</w:t>
            </w:r>
          </w:p>
        </w:tc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仓位%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买入价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卖出价</w:t>
            </w:r>
          </w:p>
        </w:tc>
        <w:tc>
          <w:tcPr>
            <w:tcW w:type="dxa" w:w="68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盈亏%</w:t>
            </w:r>
          </w:p>
        </w:tc>
        <w:tc>
          <w:tcPr>
            <w:tcW w:type="dxa" w:w="68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持仓天数</w:t>
            </w:r>
          </w:p>
        </w:tc>
        <w:tc>
          <w:tcPr>
            <w:tcW w:type="dxa" w:w="130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所属题材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操作评价</w:t>
            </w:r>
          </w:p>
        </w:tc>
      </w:tr>
      <w:tr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□买 □卖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□正确 □错误 □运气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9.2  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归类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笔数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总盈亏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占总盈亏%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代表交易</w:t>
            </w:r>
          </w:p>
        </w:tc>
      </w:tr>
      <w:tr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主线龙头（正确）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11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主线跟风（尚可）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非主线杂毛（错误）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11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追高被套（错误）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止损执行（纪律）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11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情绪化交易（错误）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9.3  五大错误清单（本周必须反思）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>错误1：________________________________________________________________________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 xml:space="preserve">      → 正确做法：_________________________________________________________________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>错误2：________________________________________________________________________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 xml:space="preserve">      → 正确做法：_________________________________________________________________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>错误3：________________________________________________________________________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 xml:space="preserve">      → 正确做法：_________________________________________________________________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>错误4：________________________________________________________________________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 xml:space="preserve">      → 正确做法：_________________________________________________________________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>错误5：________________________________________________________________________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19"/>
        </w:rPr>
        <w:t xml:space="preserve">      → 正确做法：_________________________________________________________________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9.4  本周交易纪律评分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纪律项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自评（1-10）</w:t>
            </w:r>
          </w:p>
        </w:tc>
        <w:tc>
          <w:tcPr>
            <w:tcW w:type="dxa" w:w="385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是否只在主线内交易</w:t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85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是否严格执行止损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是否避免了追高（&gt;5%不追）</w:t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85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是否控制仓位在计划内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是否避免了情绪化交易</w:t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85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是否每日完成复盘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纪律总分</w:t>
            </w:r>
          </w:p>
        </w:tc>
        <w:tc>
          <w:tcPr>
            <w:tcW w:type="dxa" w:w="198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____/60</w:t>
            </w:r>
          </w:p>
        </w:tc>
        <w:tc>
          <w:tcPr>
            <w:tcW w:type="dxa" w:w="385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十、周末大事件与下周影响（截至 __月__日周末）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本模块聚焦周五收盘后至周日晚间的国内外重大消息，评估其对下周A股开盘及周内走势的潜在冲击。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10.1  国内政策与消息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事件/政策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层级/来源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影响板块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影响等级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下周预期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周六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（示例）央行降准/降息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央行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释放流动性约__亿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银行/地产/券商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★★★★★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利好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周一高开，金融板块领涨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周六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周日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国内消息面综合判断：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（填写：周末国内政策/消息整体是偏暖、偏冷还是中性，以及最核心的1-2条驱动逻辑。）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10.2  海外市场与宏观</w:t>
      </w:r>
    </w:p>
    <w:p>
      <w:pPr>
        <w:pStyle w:val="Heading3"/>
      </w:pPr>
      <w:r>
        <w:rPr>
          <w:rFonts w:ascii="Microsoft YaHei" w:hAnsi="Microsoft YaHei" w:eastAsia="Microsoft YaHei"/>
          <w:color w:val="1A1A2E"/>
        </w:rPr>
        <w:t>▶ 美股（周五收盘）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指数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收盘价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周涨跌幅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关键位置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对A股情绪影响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道琼斯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纳斯达克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标普500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A1A2E"/>
        </w:rPr>
        <w:t>▶ 其他大类资产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资产类别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最新价/位置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周度变化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趋势信号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对A股映射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美元指数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人民币汇率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美债10Y收益率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原油(WTI)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黄金(COMEX)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铜(LME)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恒生指数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A50期货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海外市场综合判断：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（填写：美股周五收盘情绪、周末外围是否有突发事件、外资对中国资产的态度变化等。）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10.3  产业催化与主题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催化来源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核心事件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涉及板块/个股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催化强度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持续性预判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是否纳入主攻方向</w:t>
            </w:r>
          </w:p>
        </w:tc>
      </w:tr>
      <w:tr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产业政策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（示例）AI大模型牌照发放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AI/算力/数据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★★★★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中长期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是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技术突破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产品发布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业绩预告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重组/并购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产业催化综合判断：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（填写：本周最值得关注的产业方向，是否有超预期的催化剂。）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10.4  地缘政治与风险事件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风险类型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事件描述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对A股影响路径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风险等级</w:t>
            </w:r>
          </w:p>
        </w:tc>
        <w:tc>
          <w:tcPr>
            <w:tcW w:type="dxa" w:w="151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应急策略</w:t>
            </w:r>
          </w:p>
        </w:tc>
      </w:tr>
      <w:tr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地缘冲突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贸易制裁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疫情/卫生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金融风险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自然灾害</w:t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512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10.5  周末大事件综合评分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评估维度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评分(1-10)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加权分</w:t>
            </w:r>
          </w:p>
        </w:tc>
        <w:tc>
          <w:tcPr>
            <w:tcW w:type="dxa" w:w="181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国内政策面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25%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海外市场面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产业催化面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25%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资金流向面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风险事件面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15%</w:t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综合评分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100%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（加权求和，≥7偏多，≤4偏空，5-6中性）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周末大事件综合定性：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（一句话总结：本周末消息面对下周A股的整体影响方向和力度。）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十一、下周作战计划（__月__日 — __月__日）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10.1  下周关键事件日历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事件/数据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影响等级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影响方向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应对预案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周一 __/__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□★★★ □★★ □★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周二 __/__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□★★★ □★★ □★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周三 __/__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□★★★ □★★ □★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周四 __/__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□★★★ □★★ □★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周五 __/__</w:t>
            </w:r>
          </w:p>
        </w:tc>
        <w:tc>
          <w:tcPr>
            <w:tcW w:type="dxa" w:w="215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□★★★ □★★ □★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835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10.2  主攻方向与观察池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题材/方向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核心标的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观察触发条件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最大仓位</w:t>
            </w:r>
          </w:p>
        </w:tc>
        <w:tc>
          <w:tcPr>
            <w:tcW w:type="dxa" w:w="187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退出条件</w:t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第一主攻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87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第二主攻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第三备选</w:t>
            </w:r>
          </w:p>
        </w:tc>
        <w:tc>
          <w:tcPr>
            <w:tcW w:type="dxa" w:w="1417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871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独立逻辑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10.3  仓位策略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市场情景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概率评估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仓位策略</w:t>
            </w:r>
          </w:p>
        </w:tc>
        <w:tc>
          <w:tcPr>
            <w:tcW w:type="dxa" w:w="4139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操作原则</w:t>
            </w:r>
          </w:p>
        </w:tc>
      </w:tr>
      <w:tr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情景A：主线延续+放量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____成</w:t>
            </w:r>
          </w:p>
        </w:tc>
        <w:tc>
          <w:tcPr>
            <w:tcW w:type="dxa" w:w="4139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情景B：主线分歧+缩量震荡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____成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268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情景C：主线退潮+新方向未出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134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____成</w:t>
            </w:r>
          </w:p>
        </w:tc>
        <w:tc>
          <w:tcPr>
            <w:tcW w:type="dxa" w:w="4139"/>
            <w:shd w:fill="F5F6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情景D：系统性风险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  <w:t>____成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1A1A2E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2E"/>
        </w:rPr>
        <w:t>10.4  风控红线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账户单周最大回撤：____%（触及即停止当周交易）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单票最大仓位：总资金 ____%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单日最多开仓：____ 只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持仓最多数量：____ 只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亏损超 ____% 无条件止损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开盘 ____ 分钟内不交易（等待情绪稳定）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 xml:space="preserve">  ■  禁止操作清单：__________________________________________________</w:t>
      </w:r>
    </w:p>
    <w:p>
      <w:pPr>
        <w:spacing w:before="160" w:after="40"/>
        <w:jc w:val="center"/>
      </w:pPr>
      <w:r>
        <w:rPr>
          <w:rFonts w:ascii="Microsoft YaHei" w:hAnsi="Microsoft YaHei" w:eastAsia="Microsoft YaHei"/>
          <w:i/>
          <w:color w:val="95A5A6"/>
          <w:sz w:val="18"/>
        </w:rPr>
        <w:t>[ 图表：下周关键价位预判图 ]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16"/>
        </w:rPr>
        <w:t>标注上证指数关键支撑/压力位 + 三种情景推演路径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</w:rPr>
        <w:t>十二、核心结论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12.1  一句话定性</w:t>
      </w:r>
    </w:p>
    <w:p>
      <w:pPr>
        <w:spacing w:after="240"/>
      </w:pPr>
      <w:r>
        <w:rPr>
          <w:rFonts w:ascii="Microsoft YaHei" w:hAnsi="Microsoft YaHei" w:eastAsia="Microsoft YaHei"/>
          <w:b/>
          <w:i w:val="0"/>
          <w:color w:val="1A1A2E"/>
          <w:sz w:val="26"/>
        </w:rPr>
        <w:t>_____________________________________________________________________________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12.2  三大核心预判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预判1（方向）：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_____________________________________________________________________________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预判2（主线）：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_____________________________________________________________________________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预判3（风险）：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A1A2E"/>
          <w:sz w:val="20"/>
        </w:rPr>
        <w:t>_____________________________________________________________________________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12.3  三个"如果…则…"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如果___________________________________，则___________________________________。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如果___________________________________，则___________________________________。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1A1A2E"/>
          <w:sz w:val="21"/>
        </w:rPr>
        <w:t>如果___________________________________，则___________________________________。</w:t>
      </w:r>
    </w:p>
    <w:p>
      <w:pPr>
        <w:pStyle w:val="Heading2"/>
      </w:pPr>
      <w:r>
        <w:rPr>
          <w:rFonts w:ascii="Microsoft YaHei" w:hAnsi="Microsoft YaHei" w:eastAsia="Microsoft YaHei"/>
          <w:color w:val="1A1A2E"/>
        </w:rPr>
        <w:t>12.4  本周最重要的一个教训</w:t>
      </w:r>
    </w:p>
    <w:p>
      <w:pPr>
        <w:spacing w:after="240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>_____________________________________________________________________________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color w:val="95A5A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7F8C8D"/>
          <w:sz w:val="20"/>
        </w:rPr>
        <w:t>复盘的意义不在于预测下周涨跌，而在于：看懂本周市场说了什么，然后为下周的每一种可能性做好准备。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95A5A6"/>
          <w:sz w:val="18"/>
        </w:rPr>
        <w:t>报告生成日期：________   |   下次周复盘：________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