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海箱旅蛙程序执行方案</w:t>
      </w:r>
    </w:p>
    <w:p>
      <w:pPr>
        <w:pageBreakBefore w:val="0"/>
      </w:pPr>
      <w:r>
        <w:rPr>
          <w:rFonts w:ascii="Microsoft YaHei" w:hAnsi="Microsoft YaHei" w:eastAsia="Microsoft YaHei"/>
        </w:rPr>
        <w:t>Demo 自主出游版 V0.2 2026年10月13日</w:t>
      </w:r>
    </w:p>
    <w:p>
      <w:pPr>
        <w:pageBreakBefore w:val="0"/>
      </w:pPr>
      <w:r>
        <w:rPr>
          <w:rFonts w:ascii="Microsoft YaHei" w:hAnsi="Microsoft YaHei" w:eastAsia="Microsoft YaHei"/>
        </w:rPr>
        <w:t>本版确立玩家经营岛屿与准备补给、伙伴自主出游的第一版功能基准。伙伴可在线和离线决定并完成旅行；玩家通过行囊预算、一次地点愿望与暂缓参与。程序接入状态：本次更新方案文档，新规则尚待开发和验收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第一版统一职责与规则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职责。</w:t>
      </w:r>
      <w:r>
        <w:rPr>
          <w:rFonts w:ascii="Microsoft YaHei" w:hAnsi="Microsoft YaHei" w:eastAsia="Microsoft YaHei"/>
        </w:rPr>
        <w:t>玩家经营岛屿、购买并装载补给、升级、开箱和出售；伙伴自行选择出发时间、已解锁海域和短长航程。伙伴是通用角色概念，海蛙是第一位伙伴。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正常准备。</w:t>
      </w:r>
      <w:r>
        <w:rPr>
          <w:rFonts w:ascii="Microsoft YaHei" w:hAnsi="Microsoft YaHei" w:eastAsia="Microsoft YaHei"/>
        </w:rPr>
        <w:t>条件满足后随机等待 60～180 秒；本次海域、航程和出发时间保存，在线离线都推进，重进不重抽或重置等待。普通海域及短长航程的选择权重在配置表维护，具体比例尚未冻结。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休息与首航。</w:t>
      </w:r>
      <w:r>
        <w:rPr>
          <w:rFonts w:ascii="Microsoft YaHei" w:hAnsi="Microsoft YaHei" w:eastAsia="Microsoft YaHei"/>
        </w:rPr>
        <w:t>实际归家后休息 180 秒，再进入下一次 60～180 秒准备。首航准备 30 秒、航行 60 秒、收益倍率 1。测试准备窗口保留 15～30 秒，其余时间沿用测试倍率；正式与测试参数分离。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玩家愿望。</w:t>
      </w:r>
      <w:r>
        <w:rPr>
          <w:rFonts w:ascii="Microsoft YaHei" w:hAnsi="Microsoft YaHei" w:eastAsia="Microsoft YaHei"/>
        </w:rPr>
        <w:t>每趟最多一次有效改地点建议：80% 采纳，20% 保留原决定。原本同一海域直接同意；未解锁海域说明原因，不消耗有效建议机会。结果保存且只影响下一趟，途中不改航线。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手动暂缓。</w:t>
      </w:r>
      <w:r>
        <w:rPr>
          <w:rFonts w:ascii="Microsoft YaHei" w:hAnsi="Microsoft YaHei" w:eastAsia="Microsoft YaHei"/>
        </w:rPr>
        <w:t>出发前暂缓必定生效；暂停标记持久保存，只有玩家明确恢复才解除。取空行囊取消出发准备，但保留路线决定，重新装入后生成一次等待，避免反复取放刷路线。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行囊。</w:t>
      </w:r>
      <w:r>
        <w:rPr>
          <w:rFonts w:ascii="Microsoft YaHei" w:hAnsi="Microsoft YaHei" w:eastAsia="Microsoft YaHei"/>
        </w:rPr>
        <w:t>仓库补给与行囊补给分开；购买只增加仓库。行囊固定最多 3 份，装入按钮默认转移 1 份，需玩家主动操作；也可装满或收回。伙伴在家休息、准备时可调整，在途和未靠岸时只读。每趟出发扣 1 份，在途行囊归零仍正常完成。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容量与停止。</w:t>
      </w:r>
      <w:r>
        <w:rPr>
          <w:rFonts w:ascii="Microsoft YaHei" w:hAnsi="Microsoft YaHei" w:eastAsia="Microsoft YaHei"/>
        </w:rPr>
        <w:t>住宅箱位 Lv1 为 3、Lv2 为 6，行囊始终为 3。占用量为未开封箱加在途预约，每趟出发预约 1 位，归家原子转换为 1 只封箱；只有开箱释放箱位。无行囊补给、箱满、船施工时待命，条件恢复后按休息及等待时间再出发。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离线多趟。</w:t>
      </w:r>
      <w:r>
        <w:rPr>
          <w:rFonts w:ascii="Microsoft YaHei" w:hAnsi="Microsoft YaHei" w:eastAsia="Microsoft YaHei"/>
        </w:rPr>
        <w:t>离线也可在家形成决定、出发、归家、休息并继续下一趟。沿原绝对时间线补算，受真实经过时间、行囊和空箱位限制；一次装载最多三趟，包括已经扣补给的在途航次。仓库库存不会自动补入行囊。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归家入库。</w:t>
      </w:r>
      <w:r>
        <w:rPr>
          <w:rFonts w:ascii="Microsoft YaHei" w:hAnsi="Microsoft YaHei" w:eastAsia="Microsoft YaHei"/>
        </w:rPr>
        <w:t>归家自动将封箱放入箱区、特产按数量合并到背包、明信片记入收藏。商品和木材开箱后入库；特产及商品发现、实际卡片 ID 与已开箱品质分别解锁。查看记录只标记已读，不发奖、不释放箱位、不阻止下一趟。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旅行记录。</w:t>
      </w:r>
      <w:r>
        <w:rPr>
          <w:rFonts w:ascii="Microsoft YaHei" w:hAnsi="Microsoft YaHei" w:eastAsia="Microsoft YaHei"/>
        </w:rPr>
        <w:t>保存最近 10 趟详细记录，另保存尚未查看的收获汇总。记录包括航次、海域、时间、明信片、特产和对应箱 ID。重进显示新完成趟数、收获、行囊剩余、箱区占用、待命原因及当前在途倒计时；旧记录清理不影响资产、未读汇总和防重复结算。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品质保密。</w:t>
      </w:r>
      <w:r>
        <w:rPr>
          <w:rFonts w:ascii="Microsoft YaHei" w:hAnsi="Microsoft YaHei" w:eastAsia="Microsoft YaHei"/>
        </w:rPr>
        <w:t>封箱只显示中性箱体及海域；未开箱不展示品质、商品、木材内容或估值。日志和离线小结同样遵守。每趟唯一航次 ID，补给、预约、入库和结算标记保证只提交一次。</w:t>
      </w:r>
    </w:p>
    <w:p>
      <w:pPr>
        <w:pageBreakBefore w:val="0"/>
      </w:pPr>
      <w:r>
        <w:rPr>
          <w:rFonts w:ascii="Microsoft YaHei" w:hAnsi="Microsoft YaHei" w:eastAsia="Microsoft YaHei"/>
          <w:b/>
        </w:rPr>
        <w:t>岛屿与表现。</w:t>
      </w:r>
      <w:r>
        <w:rPr>
          <w:rFonts w:ascii="Microsoft YaHei" w:hAnsi="Microsoft YaHei" w:eastAsia="Microsoft YaHei"/>
        </w:rPr>
        <w:t>四人共享一座主岛，每人独立住宅、船位和箱区，共享港口和商店，拍卖区为白模。岛上交互为 3D；伙伴离港后玩家仍可在岛上活动，主动打开可关闭的 2D 旅行观察窗。远方不制作真实 3D 关卡，明信片使用 2D 插画。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第一版参数基准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2551"/>
        <w:gridCol w:w="4479"/>
      </w:tblGrid>
      <w:tr>
        <w:trPr>
          <w:cantSplit w:val="true"/>
          <w:tblHeader w:val="true"/>
        </w:trPr>
        <w:tc>
          <w:tcPr>
            <w:tcW w:type="dxa" w:w="2268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2551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数值</w:t>
            </w:r>
          </w:p>
        </w:tc>
        <w:tc>
          <w:tcPr>
            <w:tcW w:type="dxa" w:w="4479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正常准备等待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60～180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随机一次并保存截止时间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实际归家休息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与查看收获无关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有效地点建议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80% 采纳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20% 保留原决定 每趟一次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手动暂缓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必定生效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玩家恢复前持久暂停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行囊上限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 份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每趟出发消耗 1 份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箱区容量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Lv1 3 位 Lv2 6 位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包含在途预约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详细旅行记录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最近 10 趟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未读汇总单独保留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首航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 30 秒 航行 60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收益倍率固定 1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测试准备窗口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15～30 秒</w:t>
            </w:r>
          </w:p>
        </w:tc>
        <w:tc>
          <w:tcPr>
            <w:tcW w:type="dxa" w:w="4479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单独配置 避免随倍率缩到不可干涉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已确认的经营与航程配置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540"/>
      </w:tblGrid>
      <w:tr>
        <w:trPr>
          <w:cantSplit w:val="true"/>
          <w:tblHeader w:val="true"/>
        </w:trPr>
        <w:tc>
          <w:tcPr>
            <w:tcW w:type="dxa" w:w="1757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540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初始资产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 金币、仓库补给 3 份、行囊 0 份、木材 4；住宅和船均 Lv1。购买补给 5 金币/份。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住宅升级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 金币 + 8 木材，施工 180 秒；箱位 3→6，换较大木屋。可与旅行并行。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船升级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 金币 + 6 木材，施工 120 秒；木船换帆船并解锁近海，施工期间禁止新出发，在途不能施工。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升级余量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扣费后保留至少 1 份仓库或行囊补给，或至少 5 金币。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正式航程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浅滩短航 600 秒/收益倍率 1，长航 1800 秒/倍率 3；近海短航 1800 秒/倍率 1，长航 3600 秒/倍率 2。伙伴从合法配置中选择。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奖励数量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每趟 1 箱、1 张明信片；特产数量为收益倍率。开箱抽取 3×倍率 件商品，固定 2 木材。首航倍率 1。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品质权重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普通、生活、精良三品质；浅滩 90/10/0%，近海 20/20/60%。品质、奖励快照留在服务端，船升级不直接改变海域权重。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内容与出售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 件箱内商品、3 件特产、10 张明信片。固定售价沿用既定 15 个条目；出售后保留图鉴。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应急补给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金币不足 5，仓库及行囊均无补给，背包无可售资产、无封箱且无在途时，可领 1 份到仓库；仍需装入行囊。不能反复领或出售补给。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后续范围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P0 不做菜地、交易拍卖、动态市场、付费、真实远海驾驶、复杂性格/服从度和途中召回。P1/P2 的独立规划保留，不作为本轮制作任务。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新规则开发顺序与交付门槛</w:t>
      </w:r>
    </w:p>
    <w:p>
      <w:pPr>
        <w:pageBreakBefore w:val="0"/>
      </w:pPr>
      <w:r>
        <w:rPr>
          <w:rFonts w:ascii="Microsoft YaHei" w:hAnsi="Microsoft YaHei" w:eastAsia="Microsoft YaHei"/>
        </w:rPr>
        <w:t>先扩展现有业务存档和规则，再接入行囊、自主决定、自动归家与离线多趟；最后改界面并回归经营和联机。通用框架继续复用，正式美术按功能验证结果替换占位资源。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025"/>
        <w:gridCol w:w="3572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4025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开发内容</w:t>
            </w:r>
          </w:p>
        </w:tc>
        <w:tc>
          <w:tcPr>
            <w:tcW w:type="dxa" w:w="3572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M0 统一目标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同步自主出游、行囊、暂停、收获记录与配置口径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正文、状态、接口、UI 和验收一致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M1 存档扩展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仓库/行囊分开，保存决定、暂停、随机序列、箱位预约、航次提交标记和未读汇总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恢复旧存档不覆盖资产，重进不重抽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M2 行囊交互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购买、装入、装满、收回与在家校验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每次转移数量守恒，重复请求不重复扣增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M3 自主决定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准备计时、合法海域/航程、一次愿望、暂缓和恢复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80/20 只抽一次，离线准备仍推进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M4 归家与离线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绝对时间线、多趟推进、自动入库、休息及容量转换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最多三趟，已在途归家不被无补给或箱满拦截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M5 收获与经营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未读小结、最近10趟记录、开箱出售、升级和图鉴回归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查看不发奖，日志裁剪不影响资产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M6 世界与界面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四人岛屿、伙伴意图/待命提示、行囊和收获面板、2D 观察窗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PC/手机可完成准备与干涉，正式资产可后续替换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M7 验收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准备前/中离线、在途、多趟、满箱、耗尽、暂缓、重进和存档失败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通过新规则验收后再进入后续版本</w:t>
            </w:r>
          </w:p>
        </w:tc>
      </w:tr>
    </w:tbl>
    <w:p>
      <w:pPr>
        <w:pageBreakBefore w:val="0"/>
      </w:pPr>
      <w:r>
        <w:rPr>
          <w:rFonts w:ascii="Microsoft YaHei" w:hAnsi="Microsoft YaHei" w:eastAsia="Microsoft YaHei"/>
        </w:rPr>
        <w:t>P0 通过后，P1 再扩展 AI 密封竞拍、动态市场与完整养成；P2 再规划真人交易、商业化和运营。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一 开发前提与接入范围</w:t>
      </w:r>
    </w:p>
    <w:p>
      <w:pPr>
        <w:pageBreakBefore w:val="0"/>
      </w:pPr>
      <w:r>
        <w:rPr>
          <w:rFonts w:ascii="Microsoft YaHei" w:hAnsi="Microsoft YaHei" w:eastAsia="Microsoft YaHei"/>
        </w:rPr>
        <w:t>本版是伙伴自主出游的目标执行方案。现有 TravelBuddy Demo 的玩家选海域与时长、确认出发、单趟离线和手动领取实现须在后续开发中调整。本次只更新三份文档，没有修改程序、配置工作簿、资源或 Roblox Studio，也不把旧规则实测结果当作新规则已验收。</w:t>
      </w:r>
    </w:p>
    <w:p>
      <w:pPr>
        <w:pageBreakBefore w:val="0"/>
      </w:pPr>
      <w:r>
        <w:rPr>
          <w:rFonts w:ascii="Microsoft YaHei" w:hAnsi="Microsoft YaHei" w:eastAsia="Microsoft YaHei"/>
        </w:rPr>
        <w:t>业务接入 F:\HunyueRoblox\TravelBuddy 现有框架。Framework 保持通用，业务 Service、Controller、规则和资源放 Game；业务只依赖 StorageService，会话持久化复用 ProfileStore。规划中的数据结构和接口名称用于下一轮实现，不代表目前工程已经存在。</w:t>
      </w:r>
    </w:p>
    <w:p>
      <w:pPr>
        <w:pageBreakBefore w:val="0"/>
      </w:pPr>
      <w:r>
        <w:rPr>
          <w:rFonts w:ascii="Microsoft YaHei" w:hAnsi="Microsoft YaHei" w:eastAsia="Microsoft YaHei"/>
        </w:rPr>
        <w:t>第一版验证玩家经营、行囊预算、伙伴自主决定、在线离线同规则、归家自动入库、开箱出售与两级成长。伙伴是通用角色身份；海蛙为首位角色，模型、动画和观察窗可按角色配置替换，任务规则不绑定海蛙外观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二 服务端职责与客户端边界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597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层</w:t>
            </w:r>
          </w:p>
        </w:tc>
        <w:tc>
          <w:tcPr>
            <w:tcW w:type="dxa" w:w="7597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服务端业务</w:t>
            </w:r>
          </w:p>
        </w:tc>
        <w:tc>
          <w:tcPr>
            <w:tcW w:type="dxa" w:w="759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校验账号归属、3D入口距离、状态和数量；管理补给转移、已保存计划、愿望结果、暂停、航次快照、箱位预约、归家入库、离线推进、开箱出售和升级。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存档适配</w:t>
            </w:r>
          </w:p>
        </w:tc>
        <w:tc>
          <w:tcPr>
            <w:tcW w:type="dxa" w:w="759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通过 StorageService 对账号业务模块进行复制事务更新；复用既有会话占用、加载失败保护、自动保存、离场及关服保存。不得另写直接 DataStore 或绕过框架会话锁。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客户端</w:t>
            </w:r>
          </w:p>
        </w:tc>
        <w:tc>
          <w:tcPr>
            <w:tcW w:type="dxa" w:w="759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绑定原生可编辑UI、发送合法意图、显示服务器公开状态/倒计时、播放3D离港归家和可关闭2D观察窗。客户端不决定航时、海域权限、价格、奖励、80%结果或完成时刻。</w:t>
            </w:r>
          </w:p>
        </w:tc>
      </w:tr>
    </w:tbl>
    <w:p>
      <w:pPr>
        <w:pageBreakBefore w:val="0"/>
      </w:pPr>
      <w:r>
        <w:rPr>
          <w:rFonts w:ascii="Microsoft YaHei" w:hAnsi="Microsoft YaHei" w:eastAsia="Microsoft YaHei"/>
        </w:rPr>
        <w:t>客户端仍使用操作编号和 ExpectedRevision。字段白名单、有限整数、合理字符串长度、设施距离、操作频率和成功收据回放沿用现有边界；确认不了结果时重试原编号，不能换编号重复扣费。操作成功表示会话事务已提交；持久化由框架执行，不能把内存更新或 UI 动画当作远程写盘确认。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三 伙伴状态与出游决定</w:t>
      </w:r>
    </w:p>
    <w:p>
      <w:pPr>
        <w:pageBreakBefore w:val="0"/>
      </w:pPr>
      <w:r>
        <w:rPr>
          <w:rFonts w:ascii="Microsoft YaHei" w:hAnsi="Microsoft YaHei" w:eastAsia="Microsoft YaHei"/>
        </w:rPr>
        <w:t>任务状态为 HomeIdle → Preparing → Voyaging → Returning → Resting → HomeIdle。HomeIdle 可展示待命原因；手动暂停用独立持久标记表示。未读收获与伙伴任务状态分开，不设置等待玩家领奖才允许下一趟的门槛。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4932"/>
        <w:gridCol w:w="2778"/>
      </w:tblGrid>
      <w:tr>
        <w:trPr>
          <w:cantSplit w:val="true"/>
          <w:tblHeader w:val="true"/>
        </w:trPr>
        <w:tc>
          <w:tcPr>
            <w:tcW w:type="dxa" w:w="1587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4932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进入与行为</w:t>
            </w:r>
          </w:p>
        </w:tc>
        <w:tc>
          <w:tcPr>
            <w:tcW w:type="dxa" w:w="2778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转移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HomeIdle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伙伴在家；检查休息完成、行囊、空箱位、船可用及手动暂停。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条件满足生成一次计划和等待截止时间，进入Preparing。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Preparing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伙伴透露已保存的海域意图；正常等待60～180秒，首航30秒。可提出一次有效地点建议或暂缓；在家可调整行囊。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到期且条件仍满足，由服务器内部启动航次。取空或船施工则停准备，保留本次路线决定。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Voyaging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出发扣1份行囊补给、预约1箱位，固定航次ID/奖励快照/StartAt/EndAt。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到EndAt自动进入归航完成流程，行囊余0不阻挡本趟。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Returning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逻辑完成航程并自动入库；在线播放靠岸，伙伴回家。箱位预约转换为封箱。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按实际归家时刻进入Resting；离线直接补算对应阶段。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Resting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归家后固定180秒。可在家装取补给、查看收获；休息不依赖查看。</w:t>
            </w:r>
          </w:p>
        </w:tc>
        <w:tc>
          <w:tcPr>
            <w:tcW w:type="dxa" w:w="277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到期回HomeIdle，条件满足后再等待60～180秒。</w:t>
            </w:r>
          </w:p>
        </w:tc>
      </w:tr>
    </w:tbl>
    <w:p>
      <w:pPr>
        <w:pageBreakBefore w:val="0"/>
      </w:pPr>
      <w:r>
        <w:rPr>
          <w:rFonts w:ascii="Microsoft YaHei" w:hAnsi="Microsoft YaHei" w:eastAsia="Microsoft YaHei"/>
        </w:rPr>
        <w:t>EndAt 定义为航程结束和逻辑归家结算时刻；在线靠岸动作为表现层，不额外增加每趟离线收益或再次结算。在线装取行囊需同时满足业务在家状态及靠岸完成，避免船尚在演出路径上就能补给。</w:t>
      </w:r>
    </w:p>
    <w:p>
      <w:pPr>
        <w:pageBreakBefore w:val="0"/>
      </w:pPr>
      <w:r>
        <w:rPr>
          <w:rFonts w:ascii="Microsoft YaHei" w:hAnsi="Microsoft YaHei" w:eastAsia="Microsoft YaHei"/>
        </w:rPr>
        <w:t>生成计划时保存 PlanId、SeaId、DurationId、ReadyAt、随机序列位置。候选海域必须已解锁；Lv1只浅滩，Lv2可浅滩或近海；短长航程只能从合法配置中选择。普通选择权重尚未冻结，接入前在配置中确认，不把箱品质权重误作海域选择概率。</w:t>
      </w:r>
    </w:p>
    <w:p>
      <w:pPr>
        <w:pageBreakBefore w:val="0"/>
      </w:pPr>
      <w:r>
        <w:rPr>
          <w:rFonts w:ascii="Microsoft YaHei" w:hAnsi="Microsoft YaHei" w:eastAsia="Microsoft YaHei"/>
        </w:rPr>
        <w:t>在已有计划的准备阶段，提交一次有效改地点愿望：原本相同直接同意，无需重抽；未解锁则说明原因且不消耗有效机会；原本不同且合法时，80%改为建议海域，20%保留原计划。采用同一长短档位的目标海域航程，首航仍固定60秒/倍率1。愿望结果保存，重发只回放，不能反复点击抽到同意。</w:t>
      </w:r>
    </w:p>
    <w:p>
      <w:pPr>
        <w:pageBreakBefore w:val="0"/>
      </w:pPr>
      <w:r>
        <w:rPr>
          <w:rFonts w:ascii="Microsoft YaHei" w:hAnsi="Microsoft YaHei" w:eastAsia="Microsoft YaHei"/>
        </w:rPr>
        <w:t>暂缓必定生效并保存 ManualPaused，离线和重进不解除；恢复后按未完成休息及一次新的准备等待安排出发，保留海域/长短决定。反复取空、装入或暂停恢复不能重抽路线或80%结果。已在途不支持召回或改航线。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四 行囊与箱位的数量规则</w:t>
      </w:r>
    </w:p>
    <w:p>
      <w:pPr>
        <w:pageBreakBefore w:val="0"/>
      </w:pPr>
      <w:r>
        <w:rPr>
          <w:rFonts w:ascii="Microsoft YaHei" w:hAnsi="Microsoft YaHei" w:eastAsia="Microsoft YaHei"/>
        </w:rPr>
        <w:t>WarehouseSupplies 是购买及应急获得的库存，PackedSupplies 是允许伙伴消费的行囊额度，范围0～3。装入和收回只在两者之间转移，保持数量守恒。默认装1份，装满最多补到3份；住宅升至Lv2不增加行囊。</w:t>
      </w:r>
    </w:p>
    <w:p>
      <w:pPr>
        <w:pageBreakBefore w:val="0"/>
      </w:pPr>
      <w:r>
        <w:rPr>
          <w:rFonts w:ascii="Microsoft YaHei" w:hAnsi="Microsoft YaHei" w:eastAsia="Microsoft YaHei"/>
        </w:rPr>
        <w:t>在家休息和准备阶段可操作行囊；在途或未靠岸时只读。出发时扣1份，此后不再次扣同航次；当前行囊为0只阻止下一趟，不能使已经付费的伙伴无法归家。仓库有库存也不会自动补入行囊。</w:t>
      </w:r>
    </w:p>
    <w:p>
      <w:pPr>
        <w:pageBreakBefore w:val="0"/>
      </w:pPr>
      <w:r>
        <w:rPr>
          <w:rFonts w:ascii="Microsoft YaHei" w:hAnsi="Microsoft YaHei" w:eastAsia="Microsoft YaHei"/>
        </w:rPr>
        <w:t>箱区只限制未开封箱数量。占用量等于未开封箱数加在途预约数，住宅容量为3或6；单伙伴最多一个在途预约。出发先检查并预约1位，归家在同一业务事务中增加对应封箱并释放预约，占用量不变。查看记录、出售特产、标记已读不释放箱位；开箱才释放该封箱位。</w:t>
      </w:r>
    </w:p>
    <w:p>
      <w:pPr>
        <w:pageBreakBefore w:val="0"/>
      </w:pPr>
      <w:r>
        <w:rPr>
          <w:rFonts w:ascii="Microsoft YaHei" w:hAnsi="Microsoft YaHei" w:eastAsia="Microsoft YaHei"/>
        </w:rPr>
        <w:t>补给不足、箱满或船施工时保存待命原因，剩余物资与资产保留。条件恢复只生成一次新的ReadyAt，不在每次tick、刷新或重进时重置。手动暂缓另由玩家明确恢复。示例：Lv1已有1箱、行囊3份且时间足够，新增2箱后箱区3/3，剩1份，停止下一趟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五 归家自动入库与离线多趟</w:t>
      </w:r>
    </w:p>
    <w:p>
      <w:pPr>
        <w:pageBreakBefore w:val="0"/>
      </w:pPr>
      <w:r>
        <w:rPr>
          <w:rFonts w:ascii="Microsoft YaHei" w:hAnsi="Microsoft YaHei" w:eastAsia="Microsoft YaHei"/>
        </w:rPr>
        <w:t>逻辑归家时一次提交：航次结算标记、封箱、特产、明信片计数和发现记录、箱位预约转换、归家时间/休息截止时间、旅行记录及未读汇总。查看收获不参与资产入账。商品和固定2木材仍在开箱时获得，开箱后才解锁箱品质。</w:t>
      </w:r>
    </w:p>
    <w:p>
      <w:pPr>
        <w:pageBreakBefore w:val="0"/>
      </w:pPr>
      <w:r>
        <w:rPr>
          <w:rFonts w:ascii="Microsoft YaHei" w:hAnsi="Microsoft YaHei" w:eastAsia="Microsoft YaHei"/>
        </w:rPr>
        <w:t>服务器保存已经形成的决定、绝对时间和随机序列。离线不需要常驻伙伴模型或后台NPC进程。重进加载档案后按原时间线推进：准备截止→出发→航程截止→归家→休息截止→下一次准备，直到当前服务器时间或资源边界。下一趟不能改成从登录时刻才开始计算。</w:t>
      </w:r>
    </w:p>
    <w:p>
      <w:pPr>
        <w:pageBreakBefore w:val="0"/>
      </w:pPr>
      <w:r>
        <w:rPr>
          <w:rFonts w:ascii="Microsoft YaHei" w:hAnsi="Microsoft YaHei" w:eastAsia="Microsoft YaHei"/>
        </w:rPr>
        <w:t>每轮装载最多三趟，包括下线时已经在途的已付费航次；剩余可启动次数受PackedSupplies和空箱位限制。实际已经完成几趟还取决于真实经过时间。行囊无补给、满箱、施工或手动暂缓立即停止新出发；在途仍结算正常归家。</w:t>
      </w:r>
    </w:p>
    <w:p>
      <w:pPr>
        <w:pageBreakBefore w:val="0"/>
      </w:pPr>
      <w:r>
        <w:rPr>
          <w:rFonts w:ascii="Microsoft YaHei" w:hAnsi="Microsoft YaHei" w:eastAsia="Microsoft YaHei"/>
        </w:rPr>
        <w:t>离线补算使用已保存种子及递增航次序号生成稳定的计划、航次ID和奖励快照，再整体提交候选数据。加载、提交失败时保留旧档，不重新随机发一套奖励或初始化新档覆盖。最近10条展示日志不能承担防重依据；持久随机序号和已结算航次标记必须独立保留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六 旅行记录与公开状态</w:t>
      </w:r>
    </w:p>
    <w:p>
      <w:pPr>
        <w:pageBreakBefore w:val="0"/>
      </w:pPr>
      <w:r>
        <w:rPr>
          <w:rFonts w:ascii="Microsoft YaHei" w:hAnsi="Microsoft YaHei" w:eastAsia="Microsoft YaHei"/>
        </w:rPr>
        <w:t>详细历史保留最近10趟；UnreadSummary与已读游标单独保存，统计尚未查看的完成趟数、封箱数、明信片和特产汇总。旧历史裁剪不删除资产、未读汇总或结算证据。查看记录只推进已读游标，不能再次加物品，也不阻塞下一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350"/>
      </w:tblGrid>
      <w:tr>
        <w:trPr>
          <w:cantSplit w:val="true"/>
          <w:tblHeader w:val="true"/>
        </w:trPr>
        <w:tc>
          <w:tcPr>
            <w:tcW w:type="dxa" w:w="2948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记录字段</w:t>
            </w:r>
          </w:p>
        </w:tc>
        <w:tc>
          <w:tcPr>
            <w:tcW w:type="dxa" w:w="6350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JourneyId及序号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唯一完成航次，与结算标记关联。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SeaId / DurationId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实际海域与航程档位。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StartAt / EndAt / ReturnedAt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出发、航程截止及逻辑归家时间。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ContainerId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对应封箱；已开箱则展示已处理状态，不假称还在箱区。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PostcardId / SpecialItems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实际获得的卡片及特产数量；重复卡累计收藏次数。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ReadCursor / UnreadSummary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展示已读进度和未读汇总，独立于经济结算。</w:t>
            </w:r>
          </w:p>
        </w:tc>
      </w:tr>
    </w:tbl>
    <w:p>
      <w:pPr>
        <w:pageBreakBefore w:val="0"/>
      </w:pPr>
      <w:r>
        <w:rPr>
          <w:rFonts w:ascii="Microsoft YaHei" w:hAnsi="Microsoft YaHei" w:eastAsia="Microsoft YaHei"/>
        </w:rPr>
        <w:t>重进小结分别显示已完成航次和当前在途航次；当前预约不能当作已到账封箱。还须显示行囊剩余、箱区已存/预约/容量、待命原因或归航倒计时。当前封箱总数与这次新获得数分别表述；若部分已开箱，记录显示已处理。</w:t>
      </w:r>
    </w:p>
    <w:p>
      <w:pPr>
        <w:pageBreakBefore w:val="0"/>
      </w:pPr>
      <w:r>
        <w:rPr>
          <w:rFonts w:ascii="Microsoft YaHei" w:hAnsi="Microsoft YaHei" w:eastAsia="Microsoft YaHei"/>
        </w:rPr>
        <w:t>公开状态和旅行记录不包含未开箱品质、箱内商品或木材列表、真实价值、奖励随机种子。明信片和归家特产可显示；卡片只解锁实际获得ID。开箱后显示品质及内容，出售后图鉴记录保留。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七 经营配置与接口</w:t>
      </w:r>
    </w:p>
    <w:p>
      <w:pPr>
        <w:pageBreakBefore w:val="0"/>
      </w:pPr>
      <w:r>
        <w:rPr>
          <w:rFonts w:ascii="Microsoft YaHei" w:hAnsi="Microsoft YaHei" w:eastAsia="Microsoft YaHei"/>
        </w:rPr>
        <w:t>数值以前置统一表为准：初始30金币、3仓库补给、0行囊、4木材；补给5金币；住宅60金币/8木材/180秒，船40金币/6木材/120秒。升级扣款后保留仓库或行囊1份补给，或5金币。住宅可与旅行并行，船在途不能升级，施工期间伙伴暂停新出发。</w:t>
      </w:r>
    </w:p>
    <w:p>
      <w:pPr>
        <w:pageBreakBefore w:val="0"/>
      </w:pPr>
      <w:r>
        <w:rPr>
          <w:rFonts w:ascii="Microsoft YaHei" w:hAnsi="Microsoft YaHei" w:eastAsia="Microsoft YaHei"/>
        </w:rPr>
        <w:t>每趟1箱、1卡，特产数量随收益倍率；开箱有放回抽3×倍率件商品并合并同类，固定2木材。浅滩品质90/10/0%，近海20/20/60%；航程时长与倍率见统一表。以下15个可售条目保持既定ID与售价。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1871"/>
        <w:gridCol w:w="1814"/>
        <w:gridCol w:w="2154"/>
      </w:tblGrid>
      <w:tr>
        <w:trPr>
          <w:cantSplit w:val="true"/>
          <w:tblHeader w:val="true"/>
        </w:trPr>
        <w:tc>
          <w:tcPr>
            <w:tcW w:type="dxa" w:w="3458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ID</w:t>
            </w:r>
          </w:p>
        </w:tc>
        <w:tc>
          <w:tcPr>
            <w:tcW w:type="dxa" w:w="1871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物品</w:t>
            </w:r>
          </w:p>
        </w:tc>
        <w:tc>
          <w:tcPr>
            <w:tcW w:type="dxa" w:w="1814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品质池</w:t>
            </w:r>
          </w:p>
        </w:tc>
        <w:tc>
          <w:tcPr>
            <w:tcW w:type="dxa" w:w="2154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固定售价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item_old_book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旧书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item_bottle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玻璃瓶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item_rope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绳索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item_clock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旧钟表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普通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item_food_can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食品罐头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生活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item_cloth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布料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生活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item_tool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工具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生活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item_lamp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灯具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生活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item_spice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香料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精良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25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item_tea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茶叶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精良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item_porcelain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瓷器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精良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35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item_silk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丝绸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精良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special_shell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贝壳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特产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special_conch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海螺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特产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special_pearl</w:t>
            </w:r>
          </w:p>
        </w:tc>
        <w:tc>
          <w:tcPr>
            <w:tcW w:type="dxa" w:w="187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珍珠</w:t>
            </w:r>
          </w:p>
        </w:tc>
        <w:tc>
          <w:tcPr>
            <w:tcW w:type="dxa" w:w="181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特产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</w:t>
            </w:r>
          </w:p>
        </w:tc>
      </w:tr>
    </w:tbl>
    <w:p>
      <w:pPr>
        <w:pageBreakBefore w:val="0"/>
      </w:pPr>
      <w:r>
        <w:rPr>
          <w:rFonts w:ascii="Microsoft YaHei" w:hAnsi="Microsoft YaHei" w:eastAsia="Microsoft YaHei"/>
        </w:rPr>
        <w:t>应急补给只在金币不足5、仓库与行囊均0、无可售背包、无封箱、无在途时获得1份仓库补给，仍需手动装载。救济不能连续领取；补给不可直接出售，不能以未查看收获为理由漏算已经入库资产。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463"/>
      </w:tblGrid>
      <w:tr>
        <w:trPr>
          <w:cantSplit w:val="true"/>
          <w:tblHeader w:val="true"/>
        </w:trPr>
        <w:tc>
          <w:tcPr>
            <w:tcW w:type="dxa" w:w="2835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入口</w:t>
            </w:r>
          </w:p>
        </w:tc>
        <w:tc>
          <w:tcPr>
            <w:tcW w:type="dxa" w:w="6463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服务器规则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ReadState</w:t>
            </w:r>
          </w:p>
        </w:tc>
        <w:tc>
          <w:tcPr>
            <w:tcW w:type="dxa" w:w="646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读取已打开档案，推进权威时间线并返回脱敏状态。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BuySupply</w:t>
            </w:r>
          </w:p>
        </w:tc>
        <w:tc>
          <w:tcPr>
            <w:tcW w:type="dxa" w:w="646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玩家在商店购买，金币扣一次，数量增加仓库，不自动授权出游。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PackSupply / UnpackSupply</w:t>
            </w:r>
          </w:p>
        </w:tc>
        <w:tc>
          <w:tcPr>
            <w:tcW w:type="dxa" w:w="646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数量、行囊上限、库存、在家与入口距离校验；原子转移。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SuggestSea</w:t>
            </w:r>
          </w:p>
        </w:tc>
        <w:tc>
          <w:tcPr>
            <w:tcW w:type="dxa" w:w="646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PlanId、合法SeaId、准备阶段、每趟一次有效机会；抽取并保存结果。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SetPaused / ResumeTravel</w:t>
            </w:r>
          </w:p>
        </w:tc>
        <w:tc>
          <w:tcPr>
            <w:tcW w:type="dxa" w:w="646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出发前暂缓及恢复；仅玩家解除手动暂停，重进不解除。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MarkTravelRead</w:t>
            </w:r>
          </w:p>
        </w:tc>
        <w:tc>
          <w:tcPr>
            <w:tcW w:type="dxa" w:w="646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只标记已读并返回汇总；不接受客户端自报收益，不发奖。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OpenContainer</w:t>
            </w:r>
          </w:p>
        </w:tc>
        <w:tc>
          <w:tcPr>
            <w:tcW w:type="dxa" w:w="646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本人封箱ID、入口距离、未开箱与重复操作检查；入物品木材并释放1箱位。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SellItem / SellAll / Upgrade</w:t>
            </w:r>
          </w:p>
        </w:tc>
        <w:tc>
          <w:tcPr>
            <w:tcW w:type="dxa" w:w="646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固定价、费用、状态、余量和升级时间由服务器决定。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ClaimRelief</w:t>
            </w:r>
          </w:p>
        </w:tc>
        <w:tc>
          <w:tcPr>
            <w:tcW w:type="dxa" w:w="646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满足应急条件才给1份仓库补给，并防连续重复领取。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内部 StartJourney / SettleJourney</w:t>
            </w:r>
          </w:p>
        </w:tc>
        <w:tc>
          <w:tcPr>
            <w:tcW w:type="dxa" w:w="646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只能由服务端推进调用；预留、扣款、奖励快照、自动归家提交。</w:t>
            </w:r>
          </w:p>
        </w:tc>
      </w:tr>
    </w:tbl>
    <w:p>
      <w:pPr>
        <w:pageBreakBefore w:val="0"/>
      </w:pPr>
      <w:r>
        <w:rPr>
          <w:rFonts w:ascii="Microsoft YaHei" w:hAnsi="Microsoft YaHei" w:eastAsia="Microsoft YaHei"/>
        </w:rPr>
        <w:t>接口名为目标契约，可在现有TravelBuddy.Request中映射。旧客户端StartJourney派遣入口和ClaimReturn手动领奖门槛退出本版；已有收据先兼容回放，不把旧未领奖快照丢弃或重复入账。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八 存档扩展与兼容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257"/>
      </w:tblGrid>
      <w:tr>
        <w:trPr>
          <w:cantSplit w:val="true"/>
          <w:tblHeader w:val="true"/>
        </w:trPr>
        <w:tc>
          <w:tcPr>
            <w:tcW w:type="dxa" w:w="2041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数据组</w:t>
            </w:r>
          </w:p>
        </w:tc>
        <w:tc>
          <w:tcPr>
            <w:tcW w:type="dxa" w:w="7257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目标字段与约束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版本与资产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SchemaVersion、Revision、Coins、Wood、WarehouseSupplies、PackedSupplies、HomeLevel、ShipLevel、Inventory、Containers；数量为合法非负整数，Packed为0～3。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升级施工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Upgrades.Home及Upgrades.Ship保存TargetLevel、EndAt或等价记录，按绝对时间恢复180/120秒施工；船施工状态参与新出发校验。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伙伴与准备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CompanionId、State、ManualPaused、PauseReason、PlanId、SeaId、DurationId、ReadyAt、WishUsed、WishOutcome、RandomSeed、RandomCursor。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当前航次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JourneyId、JourneySequence、StartAt、EndAt、ReturnedAt、RestUntil、ReservedSlot、私有RewardSnapshot、FirstJourneyStarted、SettlementStatus。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收集与记录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Postcards、DiscoveredItems、OpenedQualities、TravelHistory最近10、UnreadSummary、ReadCursor、独立结算序号或标记。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请求防重</w:t>
            </w:r>
          </w:p>
        </w:tc>
        <w:tc>
          <w:tcPr>
            <w:tcW w:type="dxa" w:w="725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沿用成功收据、原操作ID和版本；自动航次防重与日志独立，不以展示历史长度作为已结算范围。</w:t>
            </w:r>
          </w:p>
        </w:tc>
      </w:tr>
    </w:tbl>
    <w:p>
      <w:pPr>
        <w:pageBreakBefore w:val="0"/>
      </w:pPr>
      <w:r>
        <w:rPr>
          <w:rFonts w:ascii="Microsoft YaHei" w:hAnsi="Microsoft YaHei" w:eastAsia="Microsoft YaHei"/>
        </w:rPr>
        <w:t>迁移旧Supplies时先转入仓库，不默认装入行囊或授权自动消费。旧在途保留其ID、实际截止与奖励快照，已经扣过的补给不再扣；旧待领取航次仅自动入库一次，旧已领取航次不再结算。保留金币、木材、背包、等级、收藏和收据。迁移须有版本标记且可重复执行不重复增减，先在测试档验证再接入。</w:t>
      </w:r>
    </w:p>
    <w:p>
      <w:pPr>
        <w:pageBreakBefore w:val="0"/>
      </w:pPr>
      <w:r>
        <w:rPr>
          <w:rFonts w:ascii="Microsoft YaHei" w:hAnsi="Microsoft YaHei" w:eastAsia="Microsoft YaHei"/>
        </w:rPr>
        <w:t>数据加载失败保持未就绪，不建默认档覆盖；存档会话结束停止业务写入。展示反馈仅对已提交事务生效，出现不确定结果用原操作查询或回放。不要为每个业务请求重新打开档案或创建独立DataStore会话。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九 岛屿与设备接入</w:t>
      </w:r>
    </w:p>
    <w:p>
      <w:pPr>
        <w:pageBreakBefore w:val="0"/>
      </w:pPr>
      <w:r>
        <w:rPr>
          <w:rFonts w:ascii="Microsoft YaHei" w:hAnsi="Microsoft YaHei" w:eastAsia="Microsoft YaHei"/>
        </w:rPr>
        <w:t>四人共享主岛，各自住宅、船位、箱区与进度独立，公共港口/商店共享，拍卖只白模。离场释放临时地块，重进恢复账号状态并重新分配地块；离线不保留一个占位NPC。业务限制4人，正式发布时还须设置Place人数。</w:t>
      </w:r>
    </w:p>
    <w:p>
      <w:pPr>
        <w:pageBreakBefore w:val="0"/>
      </w:pPr>
      <w:r>
        <w:rPr>
          <w:rFonts w:ascii="Microsoft YaHei" w:hAnsi="Microsoft YaHei" w:eastAsia="Microsoft YaHei"/>
        </w:rPr>
        <w:t>岛上功能使用3D提示入口。准备面板显示仓库/行囊和伙伴意图，提供装入、装满、收回、地点愿望及暂缓/恢复；取消玩家直接选择航程和立即派遣。收获面板整合未读小结、旅行记录及开箱，玩家开箱出售仍在对应设施操作。</w:t>
      </w:r>
    </w:p>
    <w:p>
      <w:pPr>
        <w:pageBreakBefore w:val="0"/>
      </w:pPr>
      <w:r>
        <w:rPr>
          <w:rFonts w:ascii="Microsoft YaHei" w:hAnsi="Microsoft YaHei" w:eastAsia="Microsoft YaHei"/>
        </w:rPr>
        <w:t>伙伴离港后玩家可继续在岛上经营。点击查看旅途打开可关闭2D观察窗，仅显示海域和倒计时；动画表现Lv1划桨或Lv2掌舵，云浪等循环不改变任务状态。归家关闭观察窗并给新收获提示，提示不要求手动领奖。手机横竖屏触控目标至少44像素，长列表可滚动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十 新规则验收清单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030"/>
      </w:tblGrid>
      <w:tr>
        <w:trPr>
          <w:cantSplit w:val="true"/>
          <w:tblHeader w:val="true"/>
        </w:trPr>
        <w:tc>
          <w:tcPr>
            <w:tcW w:type="dxa" w:w="2268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7030"/>
            <w:vAlign w:val="center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仓库与行囊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购买不自动装载；装取总量守恒，上限3；仅在家可改，重复请求不多扣多给。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自主决定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伙伴合法选海域/档位，ReadyAt保存；未解锁不选，重进不重抽路线或重置等待。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愿望与暂缓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80%规则用可控随机用例覆盖采纳/保留；每趟一次，原目标同意，未解锁不耗机会；暂停100%并跨重进保留。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准备离线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在家已准备后下线，过ReadyAt会逻辑出发；不能仍按旧规则暂停到上线。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多趟离线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时间足够、3份且3空位完成3趟；只有2空位完成2趟且余1；尚未到截止不提前给结果。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在途归零与预约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本趟已经扣费，Packed=0仍归家；预约转换为一箱，归家不额外索取空位，不超容量。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自动入库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归家直接得到箱、特产、卡和记录；没看记录仍休息并下一趟；查看不发奖/放位。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记录与保密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已完成与在途分开；历史裁剪仍保资产/未读/防重；公开日志无封箱品质、内容或估值。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经营与四人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开箱正确商品/木材，固定价出售，两级施工，图鉴保留；四人不串档、旧玩家清理不影响新会话，第五住宅占用被拒绝。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持久化与失败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跨日/重复登录不重复扣补给或入库；旧在途/待领取迁移一次；加载或会话更新失败不覆盖旧档或显示假成功。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界面与演出</w:t>
            </w:r>
          </w:p>
        </w:tc>
        <w:tc>
          <w:tcPr>
            <w:tcW w:type="dxa" w:w="703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keepNext w:val="0"/>
              <w:keepLines/>
              <w:pageBreakBefore w:val="0"/>
              <w:spacing w:after="6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白模及原生UI可完成装载、愿望、暂停、观察、收获和经营；桌面/手机检查文字、滚动、按钮和归航。</w:t>
            </w:r>
          </w:p>
        </w:tc>
      </w:tr>
    </w:tbl>
    <w:p>
      <w:pPr>
        <w:pageBreakBefore w:val="0"/>
      </w:pPr>
      <w:r>
        <w:rPr>
          <w:rFonts w:ascii="Microsoft YaHei" w:hAnsi="Microsoft YaHei" w:eastAsia="Microsoft YaHei"/>
        </w:rPr>
        <w:t>本表是后续实现必须通过的验收要求，不代表自主出游新代码已经完成。已完成的旧Demo测试可用作经营与框架回归依据。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十一 后续版本范围</w:t>
      </w:r>
    </w:p>
    <w:p>
      <w:pPr>
        <w:pageBreakBefore w:val="0"/>
      </w:pPr>
      <w:r>
        <w:rPr>
          <w:rFonts w:ascii="Microsoft YaHei" w:hAnsi="Microsoft YaHei" w:eastAsia="Microsoft YaHei"/>
        </w:rPr>
        <w:t>P1 依次实现有效线索鉴箱、3个AI密封竞拍对手、更多海域和成长、每日配置物价；随机事件、天气收益、空箱破损、复杂性格和更多角色在对应阶段单独设计。P2 再实现真人竞拍、好友互动、皮肤、Robux和运营内容。Demo不制作菜地、动态市场、付费或远海实时驾驶。</w:t>
      </w:r>
    </w:p>
    <w:p>
      <w:pPr>
        <w:pageBreakBefore w:val="0"/>
      </w:pPr>
      <w:r>
        <w:rPr>
          <w:rFonts w:ascii="Microsoft YaHei" w:hAnsi="Microsoft YaHei" w:eastAsia="Microsoft YaHei"/>
        </w:rPr>
        <w:t>P1系统箱拍卖：30秒截止、单轮不可撤回密封整数报价，提交时冻结本人金币与最低生活预算；服务器不向客户端公开其他报价和箱内容，AI使用独立估值与预算。最高有效价按自己的报价成交，同价最早成功提交优先；未中标全额解冻。auctionId与结算防重独立，断线已提交仍有效，未提交视为放弃。真人模式需要P2再验证资产转移和串谋边界。</w:t>
      </w:r>
    </w:p>
    <w:p>
      <w:pPr>
        <w:pageBreakBefore w:val="0"/>
      </w:pPr>
      <w:r>
        <w:rPr>
          <w:rFonts w:ascii="Microsoft YaHei" w:hAnsi="Microsoft YaHei" w:eastAsia="Microsoft YaHei"/>
        </w:rPr>
        <w:t>P1动态售价按每日配置版本变化，提供固定价出售和持货择时，不提供系统买入。自由买卖套利、全局供给统计、玩家挂牌和跨服行情放P2单独确认。</w:t>
      </w:r>
    </w:p>
    <w:p>
      <w:pPr>
        <w:pageBreakBefore w:val="0"/>
      </w:pPr>
      <w:r>
        <w:rPr>
          <w:rFonts w:ascii="Microsoft YaHei" w:hAnsi="Microsoft YaHei" w:eastAsia="Microsoft YaHei"/>
        </w:rPr>
        <w:t>后续商业化使用届时官方交易流程，皮肤改变外观；加速和精准鉴箱可能影响收益，需要专门设计和上线前核验，不能在Demo中宣称已满足付费平衡或平台合规。</w:t>
      </w:r>
    </w:p>
    <w:p>
      <w:pPr>
        <w:pStyle w:val="Heading1"/>
        <w:keepNext/>
        <w:pageBreakBefore w:val="0"/>
      </w:pPr>
      <w:r>
        <w:rPr>
          <w:rFonts w:ascii="Microsoft YaHei" w:hAnsi="Microsoft YaHei" w:eastAsia="Microsoft YaHei"/>
          <w:color w:val="000000"/>
          <w:u w:val="none"/>
        </w:rPr>
        <w:t>十二 文档维护与待冻结配置</w:t>
      </w:r>
    </w:p>
    <w:p>
      <w:pPr>
        <w:pageBreakBefore w:val="0"/>
      </w:pPr>
      <w:r>
        <w:rPr>
          <w:rFonts w:ascii="Microsoft YaHei" w:hAnsi="Microsoft YaHei" w:eastAsia="Microsoft YaHei"/>
        </w:rPr>
        <w:t>后续文档统一维护于 D:\AI\Codex_Obsidian\10_Projects 项目\Roblox\00旅行伙伴。本版V0.2取代三份2026年10月12日对齐版中的旧派遣、仅在线出发、单趟离线及手动领奖门槛；原始来源文件保留。</w:t>
      </w:r>
    </w:p>
    <w:p>
      <w:pPr>
        <w:pageBreakBefore w:val="0"/>
      </w:pPr>
      <w:r>
        <w:rPr>
          <w:rFonts w:ascii="Microsoft YaHei" w:hAnsi="Microsoft YaHei" w:eastAsia="Microsoft YaHei"/>
        </w:rPr>
        <w:t>接入代码前还需冻结合法海域的常规选择权重、短长航程选择比例、愿望回应文案及测试休息倍率。已确认参数不得被这些配置覆盖：60～180秒准备、180秒休息、80%有效愿望、行囊3份、箱位3/6及最近10趟记录。</w:t>
      </w:r>
    </w:p>
    <w:sectPr>
      <w:footerReference w:type="default" r:id="rId3"/>
      <w:headerReference w:type="default" r:id="rId5"/>
      <w:pgSz w:orient="portrait" w:h="16838" w:w="11906"/>
      <w:pgMar w:top="1020" w:bottom="1020" w:left="1134" w:right="1134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60803">
    <w:lvl>
      <w:numFmt w:val="bullet"/>
      <w:suff w:val="tab"/>
      <w:lvlText w:val="•"/>
      <w:rPr>
        <w:color w:val="3370ff"/>
      </w:rPr>
    </w:lvl>
  </w:abstractNum>
  <w:abstractNum w:abstractNumId="1560804">
    <w:lvl>
      <w:numFmt w:val="bullet"/>
      <w:suff w:val="tab"/>
      <w:lvlText w:val="•"/>
      <w:rPr>
        <w:color w:val="3370ff"/>
      </w:rPr>
    </w:lvl>
  </w:abstractNum>
  <w:abstractNum w:abstractNumId="1560805">
    <w:lvl>
      <w:numFmt w:val="bullet"/>
      <w:suff w:val="tab"/>
      <w:lvlText w:val="•"/>
      <w:rPr>
        <w:color w:val="3370ff"/>
      </w:rPr>
    </w:lvl>
  </w:abstractNum>
  <w:abstractNum w:abstractNumId="1560806">
    <w:lvl>
      <w:numFmt w:val="bullet"/>
      <w:suff w:val="tab"/>
      <w:lvlText w:val="•"/>
      <w:rPr>
        <w:color w:val="3370ff"/>
      </w:rPr>
    </w:lvl>
  </w:abstractNum>
  <w:abstractNum w:abstractNumId="1560807">
    <w:lvl>
      <w:numFmt w:val="bullet"/>
      <w:suff w:val="tab"/>
      <w:lvlText w:val="•"/>
      <w:rPr>
        <w:color w:val="3370ff"/>
      </w:rPr>
    </w:lvl>
  </w:abstractNum>
  <w:abstractNum w:abstractNumId="1560808">
    <w:lvl>
      <w:numFmt w:val="bullet"/>
      <w:suff w:val="tab"/>
      <w:lvlText w:val="•"/>
      <w:rPr>
        <w:color w:val="3370ff"/>
      </w:rPr>
    </w:lvl>
  </w:abstractNum>
  <w:abstractNum w:abstractNumId="1560809">
    <w:lvl>
      <w:numFmt w:val="bullet"/>
      <w:suff w:val="tab"/>
      <w:lvlText w:val="•"/>
      <w:rPr>
        <w:color w:val="3370ff"/>
      </w:rPr>
    </w:lvl>
  </w:abstractNum>
  <w:abstractNum w:abstractNumId="1560810">
    <w:lvl>
      <w:numFmt w:val="bullet"/>
      <w:suff w:val="tab"/>
      <w:lvlText w:val="•"/>
      <w:rPr>
        <w:color w:val="3370ff"/>
      </w:rPr>
    </w:lvl>
  </w:abstractNum>
  <w:abstractNum w:abstractNumId="1560811">
    <w:lvl>
      <w:numFmt w:val="bullet"/>
      <w:suff w:val="tab"/>
      <w:lvlText w:val="•"/>
      <w:rPr>
        <w:color w:val="3370ff"/>
      </w:rPr>
    </w:lvl>
  </w:abstractNum>
  <w:abstractNum w:abstractNumId="1560812">
    <w:lvl>
      <w:numFmt w:val="bullet"/>
      <w:suff w:val="tab"/>
      <w:lvlText w:val="•"/>
      <w:rPr>
        <w:color w:val="3370ff"/>
      </w:rPr>
    </w:lvl>
  </w:abstractNum>
  <w:abstractNum w:abstractNumId="1560813">
    <w:lvl>
      <w:numFmt w:val="bullet"/>
      <w:suff w:val="tab"/>
      <w:lvlText w:val="•"/>
      <w:rPr>
        <w:color w:val="3370ff"/>
      </w:rPr>
    </w:lvl>
  </w:abstractNum>
  <w:abstractNum w:abstractNumId="1560814">
    <w:lvl>
      <w:numFmt w:val="bullet"/>
      <w:suff w:val="tab"/>
      <w:lvlText w:val="•"/>
      <w:rPr>
        <w:color w:val="3370ff"/>
      </w:rPr>
    </w:lvl>
  </w:abstractNum>
  <w:abstractNum w:abstractNumId="1560815">
    <w:lvl>
      <w:numFmt w:val="bullet"/>
      <w:suff w:val="tab"/>
      <w:lvlText w:val="•"/>
      <w:rPr>
        <w:color w:val="3370ff"/>
      </w:rPr>
    </w:lvl>
  </w:abstractNum>
  <w:abstractNum w:abstractNumId="1560816">
    <w:lvl>
      <w:numFmt w:val="bullet"/>
      <w:suff w:val="tab"/>
      <w:lvlText w:val="•"/>
      <w:rPr>
        <w:color w:val="3370ff"/>
      </w:rPr>
    </w:lvl>
  </w:abstractNum>
  <w:abstractNum w:abstractNumId="1560817">
    <w:lvl>
      <w:numFmt w:val="bullet"/>
      <w:suff w:val="tab"/>
      <w:lvlText w:val="•"/>
      <w:rPr>
        <w:color w:val="3370ff"/>
      </w:rPr>
    </w:lvl>
  </w:abstractNum>
  <w:abstractNum w:abstractNumId="1560818">
    <w:lvl>
      <w:numFmt w:val="bullet"/>
      <w:suff w:val="tab"/>
      <w:lvlText w:val="•"/>
      <w:rPr>
        <w:color w:val="3370ff"/>
      </w:rPr>
    </w:lvl>
  </w:abstractNum>
  <w:abstractNum w:abstractNumId="1560819">
    <w:lvl>
      <w:numFmt w:val="bullet"/>
      <w:suff w:val="tab"/>
      <w:lvlText w:val="•"/>
      <w:rPr>
        <w:color w:val="3370ff"/>
      </w:rPr>
    </w:lvl>
  </w:abstractNum>
  <w:abstractNum w:abstractNumId="1560820">
    <w:lvl>
      <w:numFmt w:val="bullet"/>
      <w:suff w:val="tab"/>
      <w:lvlText w:val="•"/>
      <w:rPr>
        <w:color w:val="3370ff"/>
      </w:rPr>
    </w:lvl>
  </w:abstractNum>
  <w:abstractNum w:abstractNumId="1560821">
    <w:lvl>
      <w:numFmt w:val="bullet"/>
      <w:suff w:val="tab"/>
      <w:lvlText w:val="•"/>
      <w:rPr>
        <w:color w:val="3370ff"/>
      </w:rPr>
    </w:lvl>
  </w:abstractNum>
  <w:abstractNum w:abstractNumId="1560822">
    <w:lvl>
      <w:numFmt w:val="bullet"/>
      <w:suff w:val="tab"/>
      <w:lvlText w:val="•"/>
      <w:rPr>
        <w:color w:val="3370ff"/>
      </w:rPr>
    </w:lvl>
  </w:abstractNum>
  <w:abstractNum w:abstractNumId="1560823">
    <w:lvl>
      <w:numFmt w:val="bullet"/>
      <w:suff w:val="tab"/>
      <w:lvlText w:val="•"/>
      <w:rPr>
        <w:color w:val="3370ff"/>
      </w:rPr>
    </w:lvl>
  </w:abstractNum>
  <w:abstractNum w:abstractNumId="1560824">
    <w:lvl>
      <w:numFmt w:val="bullet"/>
      <w:suff w:val="tab"/>
      <w:lvlText w:val="•"/>
      <w:rPr>
        <w:color w:val="3370ff"/>
      </w:rPr>
    </w:lvl>
  </w:abstractNum>
  <w:abstractNum w:abstractNumId="1560825">
    <w:lvl>
      <w:numFmt w:val="bullet"/>
      <w:suff w:val="tab"/>
      <w:lvlText w:val="•"/>
      <w:rPr>
        <w:color w:val="3370ff"/>
      </w:rPr>
    </w:lvl>
  </w:abstractNum>
  <w:abstractNum w:abstractNumId="1560826">
    <w:lvl>
      <w:numFmt w:val="bullet"/>
      <w:suff w:val="tab"/>
      <w:lvlText w:val="•"/>
      <w:rPr>
        <w:color w:val="3370ff"/>
      </w:rPr>
    </w:lvl>
  </w:abstractNum>
  <w:abstractNum w:abstractNumId="1560827">
    <w:lvl>
      <w:numFmt w:val="bullet"/>
      <w:suff w:val="tab"/>
      <w:lvlText w:val="•"/>
      <w:rPr>
        <w:color w:val="3370ff"/>
      </w:rPr>
    </w:lvl>
  </w:abstractNum>
  <w:abstractNum w:abstractNumId="1560828">
    <w:lvl>
      <w:numFmt w:val="bullet"/>
      <w:suff w:val="tab"/>
      <w:lvlText w:val="•"/>
      <w:rPr>
        <w:color w:val="3370ff"/>
      </w:rPr>
    </w:lvl>
  </w:abstractNum>
  <w:abstractNum w:abstractNumId="1560829">
    <w:lvl>
      <w:numFmt w:val="bullet"/>
      <w:suff w:val="tab"/>
      <w:lvlText w:val="•"/>
      <w:rPr>
        <w:color w:val="3370ff"/>
      </w:rPr>
    </w:lvl>
  </w:abstractNum>
  <w:abstractNum w:abstractNumId="1560830">
    <w:lvl>
      <w:numFmt w:val="bullet"/>
      <w:suff w:val="tab"/>
      <w:lvlText w:val="•"/>
      <w:rPr>
        <w:color w:val="3370ff"/>
      </w:rPr>
    </w:lvl>
  </w:abstractNum>
  <w:abstractNum w:abstractNumId="1560831">
    <w:lvl>
      <w:numFmt w:val="bullet"/>
      <w:suff w:val="tab"/>
      <w:lvlText w:val="•"/>
      <w:rPr>
        <w:color w:val="3370ff"/>
      </w:rPr>
    </w:lvl>
  </w:abstractNum>
  <w:abstractNum w:abstractNumId="1560832">
    <w:lvl>
      <w:numFmt w:val="bullet"/>
      <w:suff w:val="tab"/>
      <w:lvlText w:val="•"/>
      <w:rPr>
        <w:color w:val="3370ff"/>
      </w:rPr>
    </w:lvl>
  </w:abstractNum>
  <w:abstractNum w:abstractNumId="1560833">
    <w:lvl>
      <w:numFmt w:val="bullet"/>
      <w:suff w:val="tab"/>
      <w:lvlText w:val="•"/>
      <w:rPr>
        <w:color w:val="3370ff"/>
      </w:rPr>
    </w:lvl>
  </w:abstractNum>
  <w:abstractNum w:abstractNumId="1560834">
    <w:lvl>
      <w:numFmt w:val="bullet"/>
      <w:suff w:val="tab"/>
      <w:lvlText w:val="•"/>
      <w:rPr>
        <w:color w:val="3370ff"/>
      </w:rPr>
    </w:lvl>
  </w:abstractNum>
  <w:abstractNum w:abstractNumId="1560835">
    <w:lvl>
      <w:numFmt w:val="bullet"/>
      <w:suff w:val="tab"/>
      <w:lvlText w:val="•"/>
      <w:rPr>
        <w:color w:val="3370ff"/>
      </w:rPr>
    </w:lvl>
  </w:abstractNum>
  <w:abstractNum w:abstractNumId="1560836">
    <w:lvl>
      <w:numFmt w:val="bullet"/>
      <w:suff w:val="tab"/>
      <w:lvlText w:val="•"/>
      <w:rPr>
        <w:color w:val="3370ff"/>
      </w:rPr>
    </w:lvl>
  </w:abstractNum>
  <w:abstractNum w:abstractNumId="1560837">
    <w:lvl>
      <w:numFmt w:val="bullet"/>
      <w:suff w:val="tab"/>
      <w:lvlText w:val="•"/>
      <w:rPr>
        <w:color w:val="3370ff"/>
      </w:rPr>
    </w:lvl>
  </w:abstractNum>
  <w:abstractNum w:abstractNumId="1560838">
    <w:lvl>
      <w:numFmt w:val="bullet"/>
      <w:suff w:val="tab"/>
      <w:lvlText w:val="•"/>
      <w:rPr>
        <w:color w:val="3370ff"/>
      </w:rPr>
    </w:lvl>
  </w:abstractNum>
  <w:abstractNum w:abstractNumId="1560839">
    <w:lvl>
      <w:numFmt w:val="bullet"/>
      <w:suff w:val="tab"/>
      <w:lvlText w:val="•"/>
      <w:rPr>
        <w:color w:val="3370ff"/>
      </w:rPr>
    </w:lvl>
  </w:abstractNum>
  <w:abstractNum w:abstractNumId="1560840">
    <w:lvl>
      <w:numFmt w:val="bullet"/>
      <w:suff w:val="tab"/>
      <w:lvlText w:val="•"/>
      <w:rPr>
        <w:color w:val="3370ff"/>
      </w:rPr>
    </w:lvl>
  </w:abstractNum>
  <w:abstractNum w:abstractNumId="1560841">
    <w:lvl>
      <w:numFmt w:val="bullet"/>
      <w:suff w:val="tab"/>
      <w:lvlText w:val="•"/>
      <w:rPr>
        <w:color w:val="3370ff"/>
      </w:rPr>
    </w:lvl>
  </w:abstractNum>
  <w:abstractNum w:abstractNumId="1560842">
    <w:lvl>
      <w:numFmt w:val="bullet"/>
      <w:suff w:val="tab"/>
      <w:lvlText w:val="•"/>
      <w:rPr>
        <w:color w:val="3370ff"/>
      </w:rPr>
    </w:lvl>
  </w:abstractNum>
  <w:abstractNum w:abstractNumId="1560843">
    <w:lvl>
      <w:numFmt w:val="bullet"/>
      <w:suff w:val="tab"/>
      <w:lvlText w:val="•"/>
      <w:rPr>
        <w:color w:val="3370ff"/>
      </w:rPr>
    </w:lvl>
  </w:abstractNum>
  <w:abstractNum w:abstractNumId="1560844">
    <w:lvl>
      <w:numFmt w:val="bullet"/>
      <w:suff w:val="tab"/>
      <w:lvlText w:val="•"/>
      <w:rPr>
        <w:color w:val="3370ff"/>
      </w:rPr>
    </w:lvl>
  </w:abstractNum>
  <w:abstractNum w:abstractNumId="1560845">
    <w:lvl>
      <w:numFmt w:val="bullet"/>
      <w:suff w:val="tab"/>
      <w:lvlText w:val="•"/>
      <w:rPr>
        <w:color w:val="3370ff"/>
      </w:rPr>
    </w:lvl>
  </w:abstractNum>
  <w:abstractNum w:abstractNumId="1560846">
    <w:lvl>
      <w:numFmt w:val="bullet"/>
      <w:suff w:val="tab"/>
      <w:lvlText w:val="•"/>
      <w:rPr>
        <w:color w:val="3370ff"/>
      </w:rPr>
    </w:lvl>
  </w:abstractNum>
  <w:abstractNum w:abstractNumId="1560847">
    <w:lvl>
      <w:start w:val="1"/>
      <w:numFmt w:val="decimal"/>
      <w:suff w:val="tab"/>
      <w:lvlText w:val="%1."/>
      <w:rPr>
        <w:color w:val="3370ff"/>
      </w:rPr>
    </w:lvl>
  </w:abstractNum>
  <w:abstractNum w:abstractNumId="1560848">
    <w:lvl>
      <w:start w:val="2"/>
      <w:numFmt w:val="decimal"/>
      <w:suff w:val="tab"/>
      <w:lvlText w:val="%1."/>
      <w:rPr>
        <w:color w:val="3370ff"/>
      </w:rPr>
    </w:lvl>
  </w:abstractNum>
  <w:abstractNum w:abstractNumId="1560849">
    <w:lvl>
      <w:start w:val="3"/>
      <w:numFmt w:val="decimal"/>
      <w:suff w:val="tab"/>
      <w:lvlText w:val="%1."/>
      <w:rPr>
        <w:color w:val="3370ff"/>
      </w:rPr>
    </w:lvl>
  </w:abstractNum>
  <w:abstractNum w:abstractNumId="1560850">
    <w:lvl>
      <w:start w:val="4"/>
      <w:numFmt w:val="decimal"/>
      <w:suff w:val="tab"/>
      <w:lvlText w:val="%1."/>
      <w:rPr>
        <w:color w:val="3370ff"/>
      </w:rPr>
    </w:lvl>
  </w:abstractNum>
  <w:abstractNum w:abstractNumId="1560851">
    <w:lvl>
      <w:start w:val="5"/>
      <w:numFmt w:val="decimal"/>
      <w:suff w:val="tab"/>
      <w:lvlText w:val="%1."/>
      <w:rPr>
        <w:color w:val="3370ff"/>
      </w:rPr>
    </w:lvl>
  </w:abstractNum>
  <w:abstractNum w:abstractNumId="1560852">
    <w:lvl>
      <w:start w:val="6"/>
      <w:numFmt w:val="decimal"/>
      <w:suff w:val="tab"/>
      <w:lvlText w:val="%1."/>
      <w:rPr>
        <w:color w:val="3370ff"/>
      </w:rPr>
    </w:lvl>
  </w:abstractNum>
  <w:abstractNum w:abstractNumId="1560853">
    <w:lvl>
      <w:numFmt w:val="bullet"/>
      <w:suff w:val="tab"/>
      <w:lvlText w:val="•"/>
      <w:rPr>
        <w:color w:val="3370ff"/>
      </w:rPr>
    </w:lvl>
  </w:abstractNum>
  <w:abstractNum w:abstractNumId="1560854">
    <w:lvl>
      <w:numFmt w:val="bullet"/>
      <w:suff w:val="tab"/>
      <w:lvlText w:val="•"/>
      <w:rPr>
        <w:color w:val="3370ff"/>
      </w:rPr>
    </w:lvl>
  </w:abstractNum>
  <w:abstractNum w:abstractNumId="1560855">
    <w:lvl>
      <w:numFmt w:val="bullet"/>
      <w:suff w:val="tab"/>
      <w:lvlText w:val="•"/>
      <w:rPr>
        <w:color w:val="3370ff"/>
      </w:rPr>
    </w:lvl>
  </w:abstractNum>
  <w:abstractNum w:abstractNumId="1560856">
    <w:lvl>
      <w:numFmt w:val="bullet"/>
      <w:suff w:val="tab"/>
      <w:lvlText w:val="•"/>
      <w:rPr>
        <w:color w:val="3370ff"/>
      </w:rPr>
    </w:lvl>
  </w:abstractNum>
  <w:abstractNum w:abstractNumId="1560857">
    <w:lvl>
      <w:numFmt w:val="bullet"/>
      <w:suff w:val="tab"/>
      <w:lvlText w:val="•"/>
      <w:rPr>
        <w:color w:val="3370ff"/>
      </w:rPr>
    </w:lvl>
  </w:abstractNum>
  <w:num w:numId="1">
    <w:abstractNumId w:val="1560803"/>
  </w:num>
  <w:num w:numId="2">
    <w:abstractNumId w:val="1560804"/>
  </w:num>
  <w:num w:numId="3">
    <w:abstractNumId w:val="1560805"/>
  </w:num>
  <w:num w:numId="4">
    <w:abstractNumId w:val="1560806"/>
  </w:num>
  <w:num w:numId="5">
    <w:abstractNumId w:val="1560807"/>
  </w:num>
  <w:num w:numId="6">
    <w:abstractNumId w:val="1560808"/>
  </w:num>
  <w:num w:numId="7">
    <w:abstractNumId w:val="1560809"/>
  </w:num>
  <w:num w:numId="8">
    <w:abstractNumId w:val="1560810"/>
  </w:num>
  <w:num w:numId="9">
    <w:abstractNumId w:val="1560811"/>
  </w:num>
  <w:num w:numId="10">
    <w:abstractNumId w:val="1560812"/>
  </w:num>
  <w:num w:numId="11">
    <w:abstractNumId w:val="1560813"/>
  </w:num>
  <w:num w:numId="12">
    <w:abstractNumId w:val="1560814"/>
  </w:num>
  <w:num w:numId="13">
    <w:abstractNumId w:val="1560815"/>
  </w:num>
  <w:num w:numId="14">
    <w:abstractNumId w:val="1560816"/>
  </w:num>
  <w:num w:numId="15">
    <w:abstractNumId w:val="1560817"/>
  </w:num>
  <w:num w:numId="16">
    <w:abstractNumId w:val="1560818"/>
  </w:num>
  <w:num w:numId="17">
    <w:abstractNumId w:val="1560819"/>
  </w:num>
  <w:num w:numId="18">
    <w:abstractNumId w:val="1560820"/>
  </w:num>
  <w:num w:numId="19">
    <w:abstractNumId w:val="1560821"/>
  </w:num>
  <w:num w:numId="20">
    <w:abstractNumId w:val="1560822"/>
  </w:num>
  <w:num w:numId="21">
    <w:abstractNumId w:val="1560823"/>
  </w:num>
  <w:num w:numId="22">
    <w:abstractNumId w:val="1560824"/>
  </w:num>
  <w:num w:numId="23">
    <w:abstractNumId w:val="1560825"/>
  </w:num>
  <w:num w:numId="24">
    <w:abstractNumId w:val="1560826"/>
  </w:num>
  <w:num w:numId="25">
    <w:abstractNumId w:val="1560827"/>
  </w:num>
  <w:num w:numId="26">
    <w:abstractNumId w:val="1560828"/>
  </w:num>
  <w:num w:numId="27">
    <w:abstractNumId w:val="1560829"/>
  </w:num>
  <w:num w:numId="28">
    <w:abstractNumId w:val="1560830"/>
  </w:num>
  <w:num w:numId="29">
    <w:abstractNumId w:val="1560831"/>
  </w:num>
  <w:num w:numId="30">
    <w:abstractNumId w:val="1560832"/>
  </w:num>
  <w:num w:numId="31">
    <w:abstractNumId w:val="1560833"/>
  </w:num>
  <w:num w:numId="32">
    <w:abstractNumId w:val="1560834"/>
  </w:num>
  <w:num w:numId="33">
    <w:abstractNumId w:val="1560835"/>
  </w:num>
  <w:num w:numId="34">
    <w:abstractNumId w:val="1560836"/>
  </w:num>
  <w:num w:numId="35">
    <w:abstractNumId w:val="1560837"/>
  </w:num>
  <w:num w:numId="36">
    <w:abstractNumId w:val="1560838"/>
  </w:num>
  <w:num w:numId="37">
    <w:abstractNumId w:val="1560839"/>
  </w:num>
  <w:num w:numId="38">
    <w:abstractNumId w:val="1560840"/>
  </w:num>
  <w:num w:numId="39">
    <w:abstractNumId w:val="1560841"/>
  </w:num>
  <w:num w:numId="40">
    <w:abstractNumId w:val="1560842"/>
  </w:num>
  <w:num w:numId="41">
    <w:abstractNumId w:val="1560843"/>
  </w:num>
  <w:num w:numId="42">
    <w:abstractNumId w:val="1560844"/>
  </w:num>
  <w:num w:numId="43">
    <w:abstractNumId w:val="1560845"/>
  </w:num>
  <w:num w:numId="44">
    <w:abstractNumId w:val="1560846"/>
  </w:num>
  <w:num w:numId="45">
    <w:abstractNumId w:val="1560847"/>
  </w:num>
  <w:num w:numId="46">
    <w:abstractNumId w:val="1560848"/>
  </w:num>
  <w:num w:numId="47">
    <w:abstractNumId w:val="1560849"/>
  </w:num>
  <w:num w:numId="48">
    <w:abstractNumId w:val="1560850"/>
  </w:num>
  <w:num w:numId="49">
    <w:abstractNumId w:val="1560851"/>
  </w:num>
  <w:num w:numId="50">
    <w:abstractNumId w:val="1560852"/>
  </w:num>
  <w:num w:numId="51">
    <w:abstractNumId w:val="1560853"/>
  </w:num>
  <w:num w:numId="52">
    <w:abstractNumId w:val="1560854"/>
  </w:num>
  <w:num w:numId="53">
    <w:abstractNumId w:val="1560855"/>
  </w:num>
  <w:num w:numId="54">
    <w:abstractNumId w:val="1560856"/>
  </w:num>
  <w:num w:numId="55">
    <w:abstractNumId w:val="15608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yperlink" Target="https://create.roblox.com/docs/cloud-services/data-stores" TargetMode="External"/><Relationship Id="rId7" Type="http://schemas.openxmlformats.org/officeDocument/2006/relationships/hyperlink" Target="https://create.roblox.com/docs/reference/engine/classes/GlobalDataStore" TargetMode="Externa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2026-10-12T03:38:33Z</dcterms:created>
  <dc:creator>Apache POI</dc:creator>
  <dc:title>海箱旅蛙程序执行方案 Demo 对齐版</dc:title>
  <dc:subject>海箱旅蛙 Demo 统一规则和实施范围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{"Label":"1","ContentProducer":"001191110102MACQD9K64010000","ProduceID":"7695620654268468431","ReservedCode1":"","ContentPropagator":"","PropagateID":"","ReservedCode2":""}</vt:lpwstr>
  </property>
</Properties>
</file>