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2026-06-20 多智能体诊断报告</w:t>
      </w:r>
    </w:p>
    <w:p>
      <w:r>
        <w:rPr>
          <w:sz w:val="20"/>
        </w:rPr>
        <w:t>后端: local · 模型: qwen3.5-9b</w:t>
      </w:r>
    </w:p>
    <w:p/>
    <w:p>
      <w:pPr>
        <w:pStyle w:val="Heading1"/>
      </w:pPr>
      <w:r>
        <w:t>命中诊断规则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t>hys_fail [high]</w:t>
            </w:r>
          </w:p>
        </w:tc>
        <w:tc>
          <w:tcPr>
            <w:tcW w:type="dxa" w:w="2880"/>
          </w:tcPr>
          <w:p>
            <w:r>
              <w:t>升降温在同一温度下读数不重合，超废品阈值，不可用于高精度测量。</w:t>
            </w:r>
          </w:p>
        </w:tc>
        <w:tc>
          <w:tcPr>
            <w:tcW w:type="dxa" w:w="2880"/>
          </w:tcPr>
          <w:p>
            <w:r>
              <w:t>复查封装与粘贴工艺；评估限制工作温区到迟滞可接受区间；必要时报废重做。</w:t>
            </w:r>
          </w:p>
        </w:tc>
      </w:tr>
      <w:tr>
        <w:tc>
          <w:tcPr>
            <w:tcW w:type="dxa" w:w="2880"/>
          </w:tcPr>
          <w:p>
            <w:r>
              <w:t>sigma_high [high]</w:t>
            </w:r>
          </w:p>
        </w:tc>
        <w:tc>
          <w:tcPr>
            <w:tcW w:type="dxa" w:w="2880"/>
          </w:tcPr>
          <w:p>
            <w:r>
              <w:t>温度解耦补偿后残余误差仍偏大，补偿模型未充分刻画 ε–T 关系。</w:t>
            </w:r>
          </w:p>
        </w:tc>
        <w:tc>
          <w:tcPr>
            <w:tcW w:type="dxa" w:w="2880"/>
          </w:tcPr>
          <w:p>
            <w:r>
              <w:t>检查补偿形式(lut/poly)与阶数；增加标定循环；结合迟滞/重复性判断是补偿不足还是器件问题。</w:t>
            </w:r>
          </w:p>
        </w:tc>
      </w:tr>
      <w:tr>
        <w:tc>
          <w:tcPr>
            <w:tcW w:type="dxa" w:w="2880"/>
          </w:tcPr>
          <w:p>
            <w:r>
              <w:t>sigma_and_hys_both_high [high]</w:t>
            </w:r>
          </w:p>
        </w:tc>
        <w:tc>
          <w:tcPr>
            <w:tcW w:type="dxa" w:w="2880"/>
          </w:tcPr>
          <w:p>
            <w:r>
              <w:t>补偿残余与迟滞双双超标，器件整体性能不合格。</w:t>
            </w:r>
          </w:p>
        </w:tc>
        <w:tc>
          <w:tcPr>
            <w:tcW w:type="dxa" w:w="2880"/>
          </w:tcPr>
          <w:p>
            <w:r>
              <w:t>优先排查封装工艺一致性；该批次/该位置可能存在共性问题。</w:t>
            </w:r>
          </w:p>
        </w:tc>
      </w:tr>
      <w:tr>
        <w:tc>
          <w:tcPr>
            <w:tcW w:type="dxa" w:w="2880"/>
          </w:tcPr>
          <w:p>
            <w:r>
              <w:t>sigma_good_but_hys_fail [high]</w:t>
            </w:r>
          </w:p>
        </w:tc>
        <w:tc>
          <w:tcPr>
            <w:tcW w:type="dxa" w:w="2880"/>
          </w:tcPr>
          <w:p>
            <w:r>
              <w:t>补偿拟合精度很好，但传感器因迟滞被判废 —— “拟合得准”不等于“器件可用”。</w:t>
            </w:r>
          </w:p>
        </w:tc>
        <w:tc>
          <w:tcPr>
            <w:tcW w:type="dxa" w:w="2880"/>
          </w:tcPr>
          <w:p>
            <w:r>
              <w:t>不要被低σ误导成可用；按迟滞结论处理(限温区/工艺整改/报废)。</w:t>
            </w:r>
          </w:p>
        </w:tc>
      </w:tr>
      <w:tr>
        <w:tc>
          <w:tcPr>
            <w:tcW w:type="dxa" w:w="2880"/>
          </w:tcPr>
          <w:p>
            <w:r>
              <w:t>hys_warn [medium]</w:t>
            </w:r>
          </w:p>
        </w:tc>
        <w:tc>
          <w:tcPr>
            <w:tcW w:type="dxa" w:w="2880"/>
          </w:tcPr>
          <w:p>
            <w:r>
              <w:t>评级通过但迟滞已逼近废品线，余量小。</w:t>
            </w:r>
          </w:p>
        </w:tc>
        <w:tc>
          <w:tcPr>
            <w:tcW w:type="dxa" w:w="2880"/>
          </w:tcPr>
          <w:p>
            <w:r>
              <w:t>标注为“边缘合格”，建议加严复检或缩短复标周期。</w:t>
            </w:r>
          </w:p>
        </w:tc>
      </w:tr>
      <w:tr>
        <w:tc>
          <w:tcPr>
            <w:tcW w:type="dxa" w:w="2880"/>
          </w:tcPr>
          <w:p>
            <w:r>
              <w:t>ke2_near_zero [low]</w:t>
            </w:r>
          </w:p>
        </w:tc>
        <w:tc>
          <w:tcPr>
            <w:tcW w:type="dxa" w:w="2880"/>
          </w:tcPr>
          <w:p>
            <w:r>
              <w:t>第二栅应变系数接近零，对应变解算贡献很小。</w:t>
            </w:r>
          </w:p>
        </w:tc>
        <w:tc>
          <w:tcPr>
            <w:tcW w:type="dxa" w:w="2880"/>
          </w:tcPr>
          <w:p>
            <w:r>
              <w:t>确认是设计如此还是粘贴问题；若应为承力栅则排查工艺。</w:t>
            </w:r>
          </w:p>
        </w:tc>
      </w:tr>
      <w:tr>
        <w:tc>
          <w:tcPr>
            <w:tcW w:type="dxa" w:w="2880"/>
          </w:tcPr>
          <w:p>
            <w:r>
              <w:t>pass_excellent [info]</w:t>
            </w:r>
          </w:p>
        </w:tc>
        <w:tc>
          <w:tcPr>
            <w:tcW w:type="dxa" w:w="2880"/>
          </w:tcPr>
          <w:p>
            <w:r>
              <w:t>补偿精度与迟滞均在良好范围，传感器可用。</w:t>
            </w:r>
          </w:p>
        </w:tc>
        <w:tc>
          <w:tcPr>
            <w:tcW w:type="dxa" w:w="2880"/>
          </w:tcPr>
          <w:p>
            <w:r>
              <w:t>可投入使用；按常规周期复标即可。</w:t>
            </w:r>
          </w:p>
        </w:tc>
      </w:tr>
      <w:tr>
        <w:tc>
          <w:tcPr>
            <w:tcW w:type="dxa" w:w="2880"/>
          </w:tcPr>
          <w:p>
            <w:r>
              <w:t>ms_consistent [info]</w:t>
            </w:r>
          </w:p>
        </w:tc>
        <w:tc>
          <w:tcPr>
            <w:tcW w:type="dxa" w:w="2880"/>
          </w:tcPr>
          <w:p>
            <w:r>
              <w:t>两路高度一致，互为印证。</w:t>
            </w:r>
          </w:p>
        </w:tc>
        <w:tc>
          <w:tcPr>
            <w:tcW w:type="dxa" w:w="2880"/>
          </w:tcPr>
          <w:p>
            <w:r>
              <w:t>可作为冗余校验；数据可信度高。</w:t>
            </w:r>
          </w:p>
        </w:tc>
      </w:tr>
      <w:tr>
        <w:tc>
          <w:tcPr>
            <w:tcW w:type="dxa" w:w="2880"/>
          </w:tcPr>
          <w:p>
            <w:r>
              <w:t>apparent_strain_primer [info]</w:t>
            </w:r>
          </w:p>
        </w:tc>
        <w:tc>
          <w:tcPr>
            <w:tcW w:type="dxa" w:w="2880"/>
          </w:tcPr>
          <w:p>
            <w:r>
              <w:t>表观应变背景：FBG 测到的 Δλ 同时含温度与应变贡献，需解耦。</w:t>
            </w:r>
          </w:p>
        </w:tc>
        <w:tc>
          <w:tcPr>
            <w:tcW w:type="dxa" w:w="2880"/>
          </w:tcPr>
          <w:p>
            <w:r>
              <w:t>解读 ε 时务必区分“真实机械应变”与“封装诱导表观应变”。</w:t>
            </w:r>
          </w:p>
        </w:tc>
      </w:tr>
    </w:tbl>
    <w:p/>
    <w:p>
      <w:pPr>
        <w:pStyle w:val="Heading1"/>
      </w:pPr>
      <w:r>
        <w:t>审查裁决</w:t>
      </w:r>
    </w:p>
    <w:p>
      <w:r>
        <w:t>裁决: reject (驳回 0 次)</w:t>
      </w:r>
    </w:p>
    <w:p>
      <w:pPr>
        <w:pStyle w:val="ListBullet"/>
      </w:pPr>
      <w:r>
        <w:t>物理量转换逻辑缺失：报告仅提供了波长差计算的通用公式（$W_2 - W_1$），但未针对 ENLIGHT 模板中明确的'基于波长差 W1~W8 进行物理量转换'这一核心需求，给出具体的转换系数、灵敏度标定值或特定的差分组合算法。仅有公式而无参数无法完成从波长到物理量的实际计算。</w:t>
      </w:r>
    </w:p>
    <w:p>
      <w:pPr>
        <w:pStyle w:val="ListBullet"/>
      </w:pPr>
      <w:r>
        <w:t>量程与灵敏度定义无效：报告中关于 FS（满量程）和灵敏度的描述属于‘假设性推导’（例如‘假设传感器设计量程为±1.5nm'），而非基于当前数据事实的统计结果。QC 要求必须基于实测数据的极值或已知标定参数进行计算，不能仅停留在逻辑框架说明上。</w:t>
      </w:r>
    </w:p>
    <w:p>
      <w:pPr>
        <w:pStyle w:val="ListBullet"/>
      </w:pPr>
      <w:r>
        <w:t>滤波策略未执行：审查标准明确要求‘判断滤波截止频率是否合理’。报告中虽然建议了 Butterworth 滤波器，但明确指出‘未对原始数据进行强滤波’且缺乏具体的截止频率数值设定。对于包含高频噪声的光纤传感数据，必须给出具体的滤波参数（如采样率、截止频率 Hz）以证明信号处理的合理性，而非仅做理论建议。</w:t>
      </w:r>
    </w:p>
    <w:p>
      <w:pPr>
        <w:pStyle w:val="ListBullet"/>
      </w:pPr>
      <w:r>
        <w:t>迟滞分析结论正确但未解决根本问题：虽然分析师正确识别了当前数据无法计算迟滞环，但这属于‘数据不足’的客观事实，而非数据分析工作的完成。QC 审查的是‘数据分析结果’，在缺乏循环测试数据的情况下，直接判定为‘无法计算’并建议后续实验，意味着当前的分析任务（提取物理量、评估稳定性）并未产出实质性结论，不符合交付标准。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