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一、php操纵mysql: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99840" cy="49333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取数据方式：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342765" cy="10096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sql语句注意：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628390" cy="6477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批量添加语句：</w:t>
      </w:r>
    </w:p>
    <w:p>
      <w:pPr>
        <w:numPr>
          <w:ilvl w:val="0"/>
          <w:numId w:val="0"/>
        </w:numPr>
        <w:ind w:left="1260" w:leftChars="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990215" cy="214312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批量执行select语句：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066540" cy="3752215"/>
            <wp:effectExtent l="0" t="0" r="1016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（5）php确保事务完整性：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在所有语句执行之前将自动提交设置为假：</w:t>
      </w:r>
    </w:p>
    <w:p>
      <w:pPr>
        <w:numPr>
          <w:ilvl w:val="0"/>
          <w:numId w:val="0"/>
        </w:numPr>
        <w:ind w:left="210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$mysqli-&gt;auto_commit(false);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在事务结束之后提交：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$mysqli-&gt;commit();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如果不成功：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$mysqli-&gt;rollback();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（6）mysqli预处理：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                     </w:t>
      </w:r>
      <w:r>
        <w:drawing>
          <wp:inline distT="0" distB="0" distL="114300" distR="114300">
            <wp:extent cx="4632325" cy="3180080"/>
            <wp:effectExtent l="0" t="0" r="1587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（7）预编译执行查询绑定结果：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3914140"/>
            <wp:effectExtent l="0" t="0" r="1016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（8）防止sql注入：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99815" cy="3599815"/>
            <wp:effectExtent l="0" t="0" r="63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预定义超全集变量数组：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$_GET：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解决字符集问题：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Ie5.5: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超链接默认使用get方法，如果用表单方式，则推荐使用post方式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$_POST: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接收表单信息：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如何接受复选框提交的数据：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hobby[]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$_REQUEST: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定义：$_REQUEST中可以包含$_GET/$_POST,$_COOKIE数组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可以理解为一个包含所有数据的数组。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这个变量比较危险，一般不使用。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0000FF"/>
          <w:u w:val="none"/>
          <w:lang w:val="en-US" w:eastAsia="zh-CN"/>
        </w:rPr>
      </w:pPr>
      <w:r>
        <w:rPr>
          <w:rFonts w:hint="eastAsia"/>
          <w:b w:val="0"/>
          <w:bCs w:val="0"/>
          <w:color w:val="0000FF"/>
          <w:u w:val="none"/>
          <w:lang w:val="en-US" w:eastAsia="zh-CN"/>
        </w:rPr>
        <w:t>若不确定，则用：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u w:val="none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  <w:t>存储密码时要立即用：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  <w:t>Md5(</w:t>
      </w:r>
      <w:r>
        <w:rPr>
          <w:rFonts w:hint="default"/>
          <w:b w:val="0"/>
          <w:bCs w:val="0"/>
          <w:i w:val="0"/>
          <w:iCs w:val="0"/>
          <w:color w:val="auto"/>
          <w:u w:val="none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  <w:t>密码</w:t>
      </w:r>
      <w:r>
        <w:rPr>
          <w:rFonts w:hint="default"/>
          <w:b w:val="0"/>
          <w:bCs w:val="0"/>
          <w:i w:val="0"/>
          <w:iCs w:val="0"/>
          <w:color w:val="auto"/>
          <w:u w:val="none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  <w:t>);</w:t>
      </w:r>
    </w:p>
    <w:p>
      <w:pPr>
        <w:numPr>
          <w:ilvl w:val="0"/>
          <w:numId w:val="5"/>
        </w:numPr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  <w:t>如果决定跳转：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  <w:t>Header();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  <w:t>Exit();//一定要加上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color w:val="0000FF"/>
          <w:u w:val="none"/>
          <w:lang w:val="en-US" w:eastAsia="zh-CN"/>
        </w:rPr>
      </w:pPr>
      <w:r>
        <w:drawing>
          <wp:inline distT="0" distB="0" distL="114300" distR="114300">
            <wp:extent cx="2580640" cy="1847850"/>
            <wp:effectExtent l="0" t="0" r="1016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$_SERVER: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$_ENV: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$_FILE: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$_COOKIE: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$_SESSION: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$GLOBALS: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Php实现分页技术：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$pageNow-&gt;显示第几页，用户输入，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$pageCount-&gt;共有多少页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$rowCount-&gt;共有多少条记录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$pageSize-&gt;每页显示几条记录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$pageCount=ceil($rowCount/$pageSize)</w:t>
      </w:r>
    </w:p>
    <w:p>
      <w:pPr>
        <w:numPr>
          <w:ilvl w:val="0"/>
          <w:numId w:val="8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mvc编程（框架：zend framework,thinkphp）：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（1）网站结构问题：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分层核心思想：将界面和业务分离。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具体做法：每张实体表会对应俩个文件Admin.class 和Adminservice.class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m(model)v(view)c(controller)--》一种设计模式--》套路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m(模型：处理业务逻辑例如项目中的工具类)。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V(view ：视图、界面)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C(concroller </w:t>
      </w:r>
      <w:r>
        <w:rPr>
          <w:rFonts w:hint="eastAsia"/>
          <w:color w:val="0000FF"/>
          <w:lang w:val="en-US" w:eastAsia="zh-CN"/>
        </w:rPr>
        <w:t>控制器：接受用户请求，并调用service的方法。)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核心思想：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cookie/session技术：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会话（session）技术：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5C14"/>
    <w:multiLevelType w:val="singleLevel"/>
    <w:tmpl w:val="5A0D5C1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A0D82D2"/>
    <w:multiLevelType w:val="singleLevel"/>
    <w:tmpl w:val="5A0D82D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5A0D97E4"/>
    <w:multiLevelType w:val="singleLevel"/>
    <w:tmpl w:val="5A0D97E4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0E95EE"/>
    <w:multiLevelType w:val="singleLevel"/>
    <w:tmpl w:val="5A0E95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FE0E8"/>
    <w:multiLevelType w:val="singleLevel"/>
    <w:tmpl w:val="5A0FE0E8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A12DF73"/>
    <w:multiLevelType w:val="multilevel"/>
    <w:tmpl w:val="5A12DF73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192B53"/>
    <w:multiLevelType w:val="singleLevel"/>
    <w:tmpl w:val="5A192B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940DF"/>
    <w:multiLevelType w:val="singleLevel"/>
    <w:tmpl w:val="5A1940DF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2119"/>
    <w:rsid w:val="017743F8"/>
    <w:rsid w:val="019E74B8"/>
    <w:rsid w:val="0342160C"/>
    <w:rsid w:val="05C56F6C"/>
    <w:rsid w:val="075B364F"/>
    <w:rsid w:val="099C41A8"/>
    <w:rsid w:val="0CE73D74"/>
    <w:rsid w:val="0F5E1F6C"/>
    <w:rsid w:val="0F7F3A91"/>
    <w:rsid w:val="0FA17CA8"/>
    <w:rsid w:val="13796778"/>
    <w:rsid w:val="1B7E2339"/>
    <w:rsid w:val="1C065C15"/>
    <w:rsid w:val="1C0F0172"/>
    <w:rsid w:val="1C7F17BE"/>
    <w:rsid w:val="1CCA4BD7"/>
    <w:rsid w:val="1DCC4D98"/>
    <w:rsid w:val="210149E9"/>
    <w:rsid w:val="217B4E9F"/>
    <w:rsid w:val="25A330A3"/>
    <w:rsid w:val="32974627"/>
    <w:rsid w:val="36803B9A"/>
    <w:rsid w:val="3ACD7EA1"/>
    <w:rsid w:val="3FCE1E42"/>
    <w:rsid w:val="448E5789"/>
    <w:rsid w:val="44A811FB"/>
    <w:rsid w:val="44FB3923"/>
    <w:rsid w:val="465B62E8"/>
    <w:rsid w:val="47970C5D"/>
    <w:rsid w:val="4BD316A5"/>
    <w:rsid w:val="4C5F3A13"/>
    <w:rsid w:val="4DA10FCF"/>
    <w:rsid w:val="4E9318A7"/>
    <w:rsid w:val="51F91D14"/>
    <w:rsid w:val="53553B0C"/>
    <w:rsid w:val="54035759"/>
    <w:rsid w:val="545F6FBB"/>
    <w:rsid w:val="55885B54"/>
    <w:rsid w:val="587C188E"/>
    <w:rsid w:val="5F3962BF"/>
    <w:rsid w:val="60571F65"/>
    <w:rsid w:val="606B49DD"/>
    <w:rsid w:val="62670A7E"/>
    <w:rsid w:val="696D3A67"/>
    <w:rsid w:val="6AA71597"/>
    <w:rsid w:val="6BF65B68"/>
    <w:rsid w:val="6D201482"/>
    <w:rsid w:val="6E8A4694"/>
    <w:rsid w:val="70721F90"/>
    <w:rsid w:val="713E0D69"/>
    <w:rsid w:val="74EB1BDD"/>
    <w:rsid w:val="74F82EE6"/>
    <w:rsid w:val="78882111"/>
    <w:rsid w:val="79CD1A08"/>
    <w:rsid w:val="7C2E1395"/>
    <w:rsid w:val="7D263EA8"/>
    <w:rsid w:val="7E8D320E"/>
    <w:rsid w:val="7E8F6FF4"/>
    <w:rsid w:val="7EC5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2017-11-30T05:32:45Z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