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0"/>
          <w:szCs w:val="30"/>
        </w:rPr>
        <w:t xml:space="preserve">Presentation Script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Clin Pharm Forum — CYB003-101 PK/PD Analyses: Blood Pressure and Hallucination</w:t>
      </w:r>
    </w:p>
    <w:p>
      <w:pPr>
        <w:pBdr>
          <w:bottom w:val="single" w:color="1F3864" w:sz="6" w:space="6"/>
        </w:pBdr>
        <w:spacing w:after="150"/>
      </w:pPr>
      <w:r>
        <w:rPr>
          <w:i/>
          <w:iCs/>
          <w:color w:val="666666"/>
          <w:sz w:val="16"/>
          <w:szCs w:val="16"/>
        </w:rPr>
        <w:t xml:space="preserve">Target 30–45 min | 8 slides + Q&amp;A | spoken narration in quotes, delivery cues in brackets</w:t>
      </w:r>
    </w:p>
    <w:p>
      <w:pPr>
        <w:spacing w:after="120" w:line="280"/>
      </w:pPr>
      <w:r>
        <w:rPr>
          <w:b/>
          <w:bCs/>
        </w:rPr>
        <w:t xml:space="preserve">How to use this:</w:t>
      </w:r>
      <w:r>
        <w:t xml:space="preserve"> the quoted text is what you say; bracketed notes are cues (what to point at, when to pause). Timings are guides — the BP arc (slides 2–5) is the analytical core, the hallucination arc (6–8) is the safety/experience story. Numbers below reflect the corrected nominal-hour time-matching; where they differ from the current deck it is noted.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1 — Title</w:t>
      </w:r>
      <w:r>
        <w:rPr>
          <w:i/>
          <w:iCs/>
          <w:color w:val="666666"/>
          <w:sz w:val="17"/>
          <w:szCs w:val="17"/>
        </w:rPr>
        <w:t xml:space="preserve">   ( ~1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“Good morning, and thanks for joining. I’m Tairan Yang, and today I’ll walk through the clinical-pharmacology PK/PD analyses from the CYB003-101 study — our Phase 1 drug-interaction study of CYB003, a deuterated psilocybin analog, in healthy volunteers. I’ll focus on two on-target pharmacodynamic effects we can characterize against exposure: the transient rise in blood pressure, and the hallucination — or perceptual — experience.”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 headline is a single idea worth holding onto: CYB003’s effects track drug concentration within a person over time, and that within-person view tells a very different — and more useful — story than comparing peak levels across people. I’ll show you why, and what it means for how we characterize dose-response going forward.”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Agenda in one line: “First blood pressure — four slides on an apparent paradox and how it resolves — then the hallucination timing, and one illustrative subject.”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2 — BP vs Cmax (between-subject)</w:t>
      </w:r>
      <w:r>
        <w:rPr>
          <w:i/>
          <w:iCs/>
          <w:color w:val="666666"/>
          <w:sz w:val="17"/>
          <w:szCs w:val="17"/>
        </w:rPr>
        <w:t xml:space="preserve">   ( ~4–5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“Let’s start with the question everyone asks first: do people who reach higher CYB003 levels get bigger blood-pressure increases? This slide answers that. On the x-axis is each participant’s individual peak concentration, Cmax; on the y-axis, their blood-pressure change — and importantly this is a double-corrected, or delta-delta, endpoint: each person’s Day-8 change from baseline minus their Day-1 change at the same clock time. Day 1 is the probe cocktail alone, so subtracting it removes circadian drift and the cocktail’s own effects — including metoprolol, a beta-blocker.”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“And the answer is: essentially nothing. The relationship is flat and non-significant — slightly negative for systolic, slightly positive for diastolic, neither meaningful. This is the analysis you’d instinctively reach for, and taken alone it would suggest CYB003 has no exposure-related pressor effect.”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Pause. Set the hook: “Hold that thought — because the next slide looks at the same data a different way and comes to the opposite conclusion.” This tension is the spine of the talk. ]</w:t>
      </w:r>
    </w:p>
    <w:p>
      <w:pPr>
        <w:spacing w:after="120" w:line="280"/>
      </w:pPr>
      <w:r>
        <w:t xml:space="preserve">Data note if asked: </w:t>
      </w:r>
      <w:r>
        <w:rPr>
          <w:b/>
          <w:bCs/>
        </w:rPr>
        <w:t xml:space="preserve">33 subjects</w:t>
      </w:r>
      <w:r>
        <w:t xml:space="preserve"> (those with a CYB003 Cmax and evaluable BP). One point per subject.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3 — BP concentration–response (within-subject)</w:t>
      </w:r>
      <w:r>
        <w:rPr>
          <w:i/>
          <w:iCs/>
          <w:color w:val="666666"/>
          <w:sz w:val="17"/>
          <w:szCs w:val="17"/>
        </w:rPr>
        <w:t xml:space="preserve">   ( ~5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“Same participants, same blood-pressure data — but now instead of one peak value per person, I’m using every time-matched pair: the CYB003 concentration in each blood sample against the blood-pressure change measured at that same moment, across the whole 24-hour profile. This is the within-subject view.”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“And here the picture is completely different. Blood pressure rises steeply and significantly with concentration — both systolic and diastolic. The blue line is the Day-1-corrected fit; the orange dashed line is the simpler baseline-corrected version. Two things to notice: the slope is clearly positive, and for systolic it actually gets steeper after the Day-1 correction — which tells us this is not circadian and not the cocktail. It’s CYB003.”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“In magnitude: at the average peak concentration, the model predicts roughly a **25 mmHg systolic and 14 mmHg diastolic** increase — transient, tracking the concentration up and back down.”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If the deck still shows “+20/+11,” say the corrected figure is closer to +25/+14 and note you’ll flag the slide. Point at the blue vs orange lines when you mention Day-1 correction.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4 — Two analyses — why the trends are opposite</w:t>
      </w:r>
      <w:r>
        <w:rPr>
          <w:i/>
          <w:iCs/>
          <w:color w:val="666666"/>
          <w:sz w:val="17"/>
          <w:szCs w:val="17"/>
        </w:rPr>
        <w:t xml:space="preserve">   ( ~5–6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“So we have a paradox: peak-versus-peak across people is flat, but concentration-versus-effect within people is strongly positive. Same data. How can both be true? This slide is the resolution, and it’s the most important methodological point of the talk.”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“On the left, each grey line is one participant’s own concentration-to-effect slope. Thirty-one of thirty-three individuals slope upward — within essentially every person, blood pressure climbs as their own drug level climbs and falls as it falls. On the right is the between-subject view again — one point per person, flat.”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“These are simply two different questions. ‘Does the drug raise blood pressure as it rises and falls in a given person?’ — yes, emphatically. ‘Does the person with the higher peak get the bigger effect?’ — no, not detectably. Both can be true at once, and here they are.”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This is the ‘aha’ slide — slow down. Gesture: left = 33 lines going up; right = flat cloud.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5 — Conclusions &amp; key takeaways (BP)</w:t>
      </w:r>
      <w:r>
        <w:rPr>
          <w:i/>
          <w:iCs/>
          <w:color w:val="666666"/>
          <w:sz w:val="17"/>
          <w:szCs w:val="17"/>
        </w:rPr>
        <w:t xml:space="preserve">   ( ~4–5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“Why is the within-subject signal strong and the between-subject one absent? Three reasons. First, exposure range: within a person, concentration sweeps the full zero-to-peak range — lots of leverage. Across people, a single 16 mg dose gives Cmax values spanning only about 2.6-fold, so there’s little range to find a slope. Second, noise: the within-subject comparison cancels every stable personal trait — baseline pressure, body size, anxiety — because each person is their own control; the between-subject comparison is dominated by those differences. Third, data richness: one peak value doesn’t represent the time-integrated exposure the blood pressure actually tracks.”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“So the take-home on blood pressure: CYB003 produces a real, transient, concentration-linked pressor effect — blood pressure rises and falls with drug level, reproducibly across nearly all participants, on the order of **+25 over +14 mmHg** at peak, resolving within several hours. And critically: peak exposure does not identify who responds most over this narrow single-dose range — so a flat Cmax plot must not be read as ‘no effect.’ For characterizing dose-response, we use the within-subject concentration-response and confirm it across dose levels.”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Land the practical message: “this is monitorable and time-limited — appropriate for the supervised dosing setting.” Transition: “Now to the experience itself — the hallucinations.”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6 — Hallucination episodes were transient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“Turning to the perceptual effects. Across 30 participants, 47 hallucination or perceptual episodes were reported after CYB003 dosing — and here I’ve recalibrated every episode to the time of the CYB003 dose, so time-zero is the dose. Each bar is one episode, from onset to resolution.”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 pattern is clean: most events begin within the first hours after dosing and resolve the same day. The median individual episode lasts about 4.8 hours. Per-subject, the overall window is generally about 4 to 8 hours post-dose, with a few running longer. Visual hallucinations were the most common type.”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Point to the red dose line at t=0 and the clustering of onsets just after it. Tie back: “same timescale as the concentration profile — onset on the rising phase, resolution as drug clears.” ]</w:t>
      </w:r>
    </w:p>
    <w:p>
      <w:pPr>
        <w:spacing w:after="120" w:line="280"/>
      </w:pPr>
      <w:r>
        <w:t xml:space="preserve">Data note: </w:t>
      </w:r>
      <w:r>
        <w:rPr>
          <w:b/>
          <w:bCs/>
        </w:rPr>
        <w:t xml:space="preserve">47 episodes / 30 subjects</w:t>
      </w:r>
      <w:r>
        <w:t xml:space="preserve">; unaffected by the BP time-matching correction (these are event durations from the AE dataset).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7 — Time-limited, median resolution ~6 h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“This slide quantifies that timing. Onset was early — most events began around one hour after dosing. Duration was transient — median about 4.8 hours. Resolution typically occurred by around 6 hours post-dose, consistent with a time-limited, on-drug effect. And severity: of the 47 events, 43 were mild and 4 moderate, with no severe events — and no meaningful difference in duration between mild and moderate.”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“Put simply: the hallucination experience is early-onset, a few hours long, mild, and self-resolving — and its time course mirrors CYB003’s pharmacokinetics, onset on the rising phase and clearing over roughly two to three half-lives.”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Boxplots: point to the tight onset box vs the wider duration/resolution boxes. Caveat the small subgroup n’s (4 moderate) if pressed.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8 — Subject 01-033 — longest visual hallucination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“To make the exposure-effect link concrete, one illustrative subject: 01-033, who had the longest visual hallucination in the study — about 10.7 hours, mild, drug-related, and resolved the same day without treatment. A 55-year-old healthy male.”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“Here’s the pharmacology. His peak concentration was completely average — about 27 nanograms per mL — but his Tmax was late, at 4 hours, and his half-life was long, near 6 hours. So average peak, but delayed and sustained exposure — and correspondingly, a much longer experience. On the same figure you can see his blood pressure tracking that exposure: systolic up 28 millimeters at 4 hours, diastolic up 11, then back to and below baseline by 24 hours. On Day 1, with the cocktail alone, his pressure barely moved — so again, the rise is CYB003.”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“This one subject captures the whole message: within a person, the psychedelic experience and the pressor effect both track CYB003 exposure — and someone who clears the drug slowly has longer-lasting effects even at an ordinary peak. It also underscores why peak alone doesn’t rank responders.”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Flag it’s a single, extreme-value case — illustrative, not representative. Then move to wrap-up.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— — Wrap-up &amp; Q&amp;A</w:t>
      </w:r>
      <w:r>
        <w:rPr>
          <w:i/>
          <w:iCs/>
          <w:color w:val="666666"/>
          <w:sz w:val="17"/>
          <w:szCs w:val="17"/>
        </w:rPr>
        <w:t xml:space="preserve">   ( ~3–5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“To summarize: CYB003 has two clear, on-target, concentration-linked pharmacodynamic effects — a transient pressor response and a time-limited perceptual experience — both of which track drug exposure within a person over time. The between-subject peak view is underpowered at a single dose and shouldn’t be mistaken for absence of effect. Our path forward is to characterize these within-subject and confirm the exposure-dependence across dose levels. Both effects are mild-to-moderate, transient, and monitorable — consistent with a supervised dosing setting. Happy to take questions.”</w:t>
      </w:r>
    </w:p>
    <w:p>
      <w:pPr>
        <w:spacing w:after="120" w:line="280"/>
      </w:pPr>
      <w:r>
        <w:rPr>
          <w:b/>
          <w:bCs/>
        </w:rPr>
        <w:t xml:space="preserve">Likely questions — quick answers:</w:t>
      </w:r>
    </w:p>
    <w:p>
      <w:pPr>
        <w:spacing w:after="120" w:line="280"/>
      </w:pPr>
      <w:r>
        <w:t xml:space="preserve">• “Why delta-delta rather than simple change from baseline?” — Day 1 (cocktail alone) is a within-subject, time-matched control; it removes circadian drift and the cocktail’s own BP/HR effects (metoprolol), isolating the CYB003 increment. The positive slope survives and even steepens, so it isn’t circadian.</w:t>
      </w:r>
    </w:p>
    <w:p>
      <w:pPr>
        <w:spacing w:after="120" w:line="280"/>
      </w:pPr>
      <w:r>
        <w:t xml:space="preserve">• “Isn’t the within-subject slope just concentration tracking time?” — Partly collinear, yes; that’s exactly why we use the Day-1 correction and report within vs between separately. After correction the concentration signal remains.</w:t>
      </w:r>
    </w:p>
    <w:p>
      <w:pPr>
        <w:spacing w:after="120" w:line="280"/>
      </w:pPr>
      <w:r>
        <w:t xml:space="preserve">• “How many subjects/timepoints?” — 34 dosed with CYB003; BP concentration-response uses 222 time-matched observations from 34 subjects across 8 timepoints; the Cmax analysis uses 33; hallucination summary uses 47 episodes in 30 subjects.</w:t>
      </w:r>
    </w:p>
    <w:p>
      <w:pPr>
        <w:spacing w:after="120" w:line="280"/>
      </w:pPr>
      <w:r>
        <w:t xml:space="preserve">• “Clinical relevance of +25/+14 mmHg?” — transient (hours), resolves by 8–12 h, monitorable in a supervised setting; to be evaluated at the intended therapeutic dose and in at-risk populations.</w:t>
      </w:r>
    </w:p>
    <w:p>
      <w:pPr>
        <w:pageBreakBefore/>
        <w:spacing w:after="60"/>
      </w:pPr>
      <w:r>
        <w:rPr>
          <w:b/>
          <w:bCs/>
          <w:color w:val="1F3864"/>
          <w:sz w:val="24"/>
          <w:szCs w:val="24"/>
        </w:rPr>
        <w:t xml:space="preserve">Appendix — Data &amp; Methods (backup / Q&amp;A reference)</w:t>
      </w:r>
    </w:p>
    <w:p>
      <w:pPr>
        <w:spacing w:after="120" w:line="280"/>
      </w:pPr>
      <w:r>
        <w:t xml:space="preserve">Counts below reflect the corrected nominal-hour time-matching. Times are relative to the Day 8 CYB003 dose. Source: ADaM datasets (ADSL, ADPC, ADVS, ADEG, ADPP, ADAE).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A. Population flow</w:t>
      </w:r>
    </w:p>
    <w:tbl>
      <w:tblPr>
        <w:tblW w:type="dxa" w:w="7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00"/>
        <w:gridCol w:w="1400"/>
      </w:tblGrid>
      <w:tr>
        <w:trPr>
          <w:tblHeader/>
        </w:trPr>
        <w:tc>
          <w:tcPr>
            <w:tcW w:type="dxa" w:w="5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Population</w:t>
            </w:r>
          </w:p>
        </w:tc>
        <w:tc>
          <w:tcPr>
            <w:tcW w:type="dxa" w:w="14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Treated / Safety (≥ 1 dose)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Dosed Period 1 (probe cocktail alone, Day 1)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Dosed Period 2 (CYB003 + cocktail, Day 8)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PK population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DDI-PK population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Completed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CYB003 PK parameters available (Cmax, AUC, Tmax, t½)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B. Subjects with data at each nominal timepoint</w:t>
      </w:r>
    </w:p>
    <w:tbl>
      <w:tblPr>
        <w:tblW w:type="dxa" w:w="8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1900"/>
        <w:gridCol w:w="2600"/>
        <w:gridCol w:w="24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Hour</w:t>
            </w:r>
          </w:p>
        </w:tc>
        <w:tc>
          <w:tcPr>
            <w:tcW w:type="dxa" w:w="1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CYB003 conc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SBP/DBP (D1 / D8)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QTcF (D1 / D8)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 (0)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33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31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32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30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28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30" w:before="20"/>
      </w:pPr>
      <w:r>
        <w:rPr>
          <w:i/>
          <w:iCs/>
          <w:color w:val="666666"/>
          <w:sz w:val="15"/>
          <w:szCs w:val="15"/>
        </w:rPr>
        <w:t xml:space="preserve">The 2–4 h Day-8 window has a few missing values (down to 30–31), i.e., the highest-concentration points — a minor limitation. ECG has 5 timepoints only.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C. What was included in each analysis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900"/>
        <w:gridCol w:w="59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Analysis</w:t>
            </w:r>
          </w:p>
        </w:tc>
        <w:tc>
          <w:tcPr>
            <w:tcW w:type="dxa" w:w="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Slide</w:t>
            </w:r>
          </w:p>
        </w:tc>
        <w:tc>
          <w:tcPr>
            <w:tcW w:type="dxa" w:w="5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 included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BP vs Cmax (between-subject)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 subjects (require Cmax + ΔΔ)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ΔΔ BP concentration–response (within-subject)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222 observations, 34 subjects, 8 timepoints (0,1,2,4,6,8,12,24 h)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Within vs between / per-subject slopes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 subjects; slopes estimable for 33 → SBP 31/33 positive, DBP 30/33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Hallucination episodes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6, 7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47 episodes, 30 subjects (visual: 24 episodes, 24 subjects)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Longest-VH case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subject (01-033)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C-QTc (if presented)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115 obs, 34 subjects, 4 post-dose timepoints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D. What feeds each individual trendline (Slide 4, Panel A)</w:t>
      </w:r>
    </w:p>
    <w:p>
      <w:pPr>
        <w:spacing w:after="120" w:line="280"/>
      </w:pPr>
      <w:r>
        <w:t xml:space="preserve">Each grey line is one participant’s own OLS regression of ΔΔ SBP on their time-matched CYB003 concentration. Per subject, the points are the paired values at every nominal hour where a CYB003 concentration and both a Day-8 and Day-1 SBP measurement exist (0, 1, 2, 4, 6, 8, 12, 24 h) — 5–8 points each (median 7), including the pre-dose conc = 0 anchor. y is double-corrected: (Day-8 change-from-baseline) minus (Day-1 change-from-baseline) at the same time. The green line is the pooled within-subject slope (+1.03).</w:t>
      </w:r>
    </w:p>
    <w:p>
      <w:pPr>
        <w:spacing w:after="120" w:line="280"/>
      </w:pPr>
      <w:r>
        <w:rPr>
          <w:b/>
          <w:bCs/>
        </w:rPr>
        <w:t xml:space="preserve">Why 31/33 and not /34:</w:t>
      </w:r>
      <w:r>
        <w:t xml:space="preserve"> of the 34 subjects dosed with CYB003, two separate steps reduce the count. (1) One subject lacked ≥ 4 usable matched points, so no individual line could be fit — leaving 33 estimable slopes. (2) Of those 33, 31 slope upward and 2 slope downward (real individual fits that happen to be negative). So “31/33” = of the 33 participants with an estimable slope, 31 were positive; the 34th is simply not classifiable. Note the pooled ΔΔ model (222 obs, 34 subjects) keeps all 34, because it does not require ≥ 4 points per person — the ≥ 4-point filter applies only to fitting an individual line. If a simpler denominator is preferred, this can be stated as ‘of 34 dosed: 31 positive, 2 negative, 1 not estimable.’</w:t>
      </w:r>
    </w:p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Deck edits to make before presenting: Slide 4 “31/32” → “31/33”; Slide 5 magnitude “+20/+11” → “≈ +25/+14 mmHg” and “peak ~2 h” → “peak ~2–4 h.” Hallucination figures (slides 6–7) are correct as shown.</w:t>
      </w:r>
    </w:p>
    <w:sectPr>
      <w:footerReference w:type="default" r:id="rId7"/>
      <w:pgSz w:w="12240" w:h="15840" w:orient="portrait"/>
      <w:pgMar w:top="1300" w:right="1350" w:bottom="12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Clin Pharm Forum — CYB003-101 PK/PD — Presentation Script —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 Pharm Forum Presentation Script</dc:title>
  <dc:creator>CYB003-101</dc:creator>
  <cp:lastModifiedBy>Un-named</cp:lastModifiedBy>
  <cp:revision>1</cp:revision>
  <dcterms:created xsi:type="dcterms:W3CDTF">2026-08-18T15:06:11.738Z</dcterms:created>
  <dcterms:modified xsi:type="dcterms:W3CDTF">2026-08-18T15:06:11.826Z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