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41D8D" w14:textId="77777777" w:rsidR="00204B5D" w:rsidRDefault="00000000">
      <w:pPr>
        <w:spacing w:after="60"/>
        <w:jc w:val="center"/>
      </w:pPr>
      <w:r>
        <w:rPr>
          <w:rFonts w:ascii="Calibri" w:eastAsia="Calibri" w:hAnsi="Calibri" w:cs="Calibri"/>
          <w:b/>
          <w:bCs/>
          <w:color w:val="1F3864"/>
          <w:sz w:val="40"/>
          <w:szCs w:val="40"/>
        </w:rPr>
        <w:t>30-Minute Speaker Script</w:t>
      </w:r>
    </w:p>
    <w:p w14:paraId="30BE8CFB" w14:textId="77777777" w:rsidR="00204B5D" w:rsidRDefault="00000000">
      <w:pPr>
        <w:spacing w:after="40"/>
        <w:jc w:val="center"/>
      </w:pPr>
      <w:r>
        <w:rPr>
          <w:rFonts w:ascii="Calibri" w:eastAsia="Calibri" w:hAnsi="Calibri" w:cs="Calibri"/>
          <w:i/>
          <w:iCs/>
          <w:color w:val="2E75B6"/>
          <w:sz w:val="24"/>
          <w:szCs w:val="24"/>
        </w:rPr>
        <w:t>Clinical Pharmacology Considerations for Cell Therapy Development: A Case Study with CARVYKTI</w:t>
      </w:r>
    </w:p>
    <w:p w14:paraId="19333C19" w14:textId="77777777" w:rsidR="00204B5D" w:rsidRDefault="00000000">
      <w:pPr>
        <w:spacing w:after="300"/>
        <w:jc w:val="center"/>
      </w:pPr>
      <w:r>
        <w:rPr>
          <w:rFonts w:ascii="Calibri" w:eastAsia="Calibri" w:hAnsi="Calibri" w:cs="Calibri"/>
          <w:color w:val="595959"/>
        </w:rPr>
        <w:t xml:space="preserve">Tairan </w:t>
      </w:r>
      <w:proofErr w:type="gramStart"/>
      <w:r>
        <w:rPr>
          <w:rFonts w:ascii="Calibri" w:eastAsia="Calibri" w:hAnsi="Calibri" w:cs="Calibri"/>
          <w:color w:val="595959"/>
        </w:rPr>
        <w:t>Yang  |</w:t>
      </w:r>
      <w:proofErr w:type="gramEnd"/>
      <w:r>
        <w:rPr>
          <w:rFonts w:ascii="Calibri" w:eastAsia="Calibri" w:hAnsi="Calibri" w:cs="Calibri"/>
          <w:color w:val="595959"/>
        </w:rPr>
        <w:t xml:space="preserve">  Clinical Pharmacology </w:t>
      </w:r>
      <w:proofErr w:type="gramStart"/>
      <w:r>
        <w:rPr>
          <w:rFonts w:ascii="Calibri" w:eastAsia="Calibri" w:hAnsi="Calibri" w:cs="Calibri"/>
          <w:color w:val="595959"/>
        </w:rPr>
        <w:t>Register  |</w:t>
      </w:r>
      <w:proofErr w:type="gramEnd"/>
      <w:r>
        <w:rPr>
          <w:rFonts w:ascii="Calibri" w:eastAsia="Calibri" w:hAnsi="Calibri" w:cs="Calibri"/>
          <w:color w:val="595959"/>
        </w:rPr>
        <w:t xml:space="preserve">  Paired with nektar_deck_30min_v3.pptx (20 slides)</w:t>
      </w:r>
    </w:p>
    <w:p w14:paraId="5D95466C" w14:textId="77777777" w:rsidR="00204B5D" w:rsidRDefault="00000000">
      <w:pPr>
        <w:spacing w:after="200" w:line="300" w:lineRule="auto"/>
      </w:pPr>
      <w:r>
        <w:rPr>
          <w:rFonts w:ascii="Calibri" w:eastAsia="Calibri" w:hAnsi="Calibri" w:cs="Calibri"/>
          <w:sz w:val="22"/>
          <w:szCs w:val="22"/>
        </w:rPr>
        <w:t>This script is timed to a 30-minute talk against the trimmed 20-slide deck and is written for a clinical pharmacology / pharmacometrics audience — standard PK, exposure-response (E-R), and population-modeling terminology is used throughout rather than lay-audience paraphrasing. Times are cumulative targets, not hard stops. Passages marked “Live update beyond the deck” reflect publicly available information (FDA approvals, updated trial results) more recent than when the slides were built; the underlying slide visuals were not changed for these, so mention them verbally. This version adds a new Slide 10 on FDA regulatory guidance for first-in-human (FIH) dose selection and preclinical PK/PD translation; roughly two minutes were reclaimed from surrounding sections (background, approved-products, modeling, and the CK/E-R detail slides) to keep the total at 30:00 — tighten delivery on rehearsal to hit the trimmed marks.</w:t>
      </w:r>
    </w:p>
    <w:p w14:paraId="42BB980B" w14:textId="77777777" w:rsidR="00204B5D" w:rsidRDefault="00000000">
      <w:pPr>
        <w:spacing w:before="320" w:after="120"/>
      </w:pPr>
      <w:r>
        <w:rPr>
          <w:rFonts w:ascii="Calibri" w:eastAsia="Calibri" w:hAnsi="Calibri" w:cs="Calibri"/>
          <w:b/>
          <w:bCs/>
          <w:color w:val="1F3864"/>
          <w:sz w:val="26"/>
          <w:szCs w:val="26"/>
        </w:rPr>
        <w:t>Time Budget</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7"/>
        <w:gridCol w:w="5783"/>
        <w:gridCol w:w="1405"/>
        <w:gridCol w:w="1405"/>
      </w:tblGrid>
      <w:tr w:rsidR="00204B5D" w14:paraId="0208246F" w14:textId="77777777">
        <w:tblPrEx>
          <w:tblCellMar>
            <w:top w:w="0" w:type="dxa"/>
            <w:bottom w:w="0" w:type="dxa"/>
          </w:tblCellMar>
        </w:tblPrEx>
        <w:tc>
          <w:tcPr>
            <w:tcW w:w="700" w:type="dxa"/>
            <w:shd w:val="clear" w:color="auto" w:fill="1F3864"/>
          </w:tcPr>
          <w:p w14:paraId="31C4ACAC" w14:textId="77777777" w:rsidR="00204B5D" w:rsidRDefault="00000000">
            <w:r>
              <w:rPr>
                <w:rFonts w:ascii="Calibri" w:eastAsia="Calibri" w:hAnsi="Calibri" w:cs="Calibri"/>
                <w:b/>
                <w:bCs/>
                <w:color w:val="FFFFFF"/>
              </w:rPr>
              <w:t>#</w:t>
            </w:r>
          </w:p>
        </w:tc>
        <w:tc>
          <w:tcPr>
            <w:tcW w:w="5350" w:type="dxa"/>
            <w:shd w:val="clear" w:color="auto" w:fill="1F3864"/>
          </w:tcPr>
          <w:p w14:paraId="612111AF" w14:textId="77777777" w:rsidR="00204B5D" w:rsidRDefault="00000000">
            <w:r>
              <w:rPr>
                <w:rFonts w:ascii="Calibri" w:eastAsia="Calibri" w:hAnsi="Calibri" w:cs="Calibri"/>
                <w:b/>
                <w:bCs/>
                <w:color w:val="FFFFFF"/>
              </w:rPr>
              <w:t>Slide</w:t>
            </w:r>
          </w:p>
        </w:tc>
        <w:tc>
          <w:tcPr>
            <w:tcW w:w="1300" w:type="dxa"/>
            <w:shd w:val="clear" w:color="auto" w:fill="1F3864"/>
          </w:tcPr>
          <w:p w14:paraId="4CB04030" w14:textId="77777777" w:rsidR="00204B5D" w:rsidRDefault="00000000">
            <w:r>
              <w:rPr>
                <w:rFonts w:ascii="Calibri" w:eastAsia="Calibri" w:hAnsi="Calibri" w:cs="Calibri"/>
                <w:b/>
                <w:bCs/>
                <w:color w:val="FFFFFF"/>
              </w:rPr>
              <w:t>Time</w:t>
            </w:r>
          </w:p>
        </w:tc>
        <w:tc>
          <w:tcPr>
            <w:tcW w:w="1300" w:type="dxa"/>
            <w:shd w:val="clear" w:color="auto" w:fill="1F3864"/>
          </w:tcPr>
          <w:p w14:paraId="209B5492" w14:textId="77777777" w:rsidR="00204B5D" w:rsidRDefault="00000000">
            <w:r>
              <w:rPr>
                <w:rFonts w:ascii="Calibri" w:eastAsia="Calibri" w:hAnsi="Calibri" w:cs="Calibri"/>
                <w:b/>
                <w:bCs/>
                <w:color w:val="FFFFFF"/>
              </w:rPr>
              <w:t>Cumulative</w:t>
            </w:r>
          </w:p>
        </w:tc>
      </w:tr>
      <w:tr w:rsidR="00204B5D" w14:paraId="148821C5" w14:textId="77777777">
        <w:tblPrEx>
          <w:tblCellMar>
            <w:top w:w="0" w:type="dxa"/>
            <w:bottom w:w="0" w:type="dxa"/>
          </w:tblCellMar>
        </w:tblPrEx>
        <w:tc>
          <w:tcPr>
            <w:tcW w:w="700" w:type="dxa"/>
          </w:tcPr>
          <w:p w14:paraId="0D6A5D11" w14:textId="77777777" w:rsidR="00204B5D" w:rsidRDefault="00000000">
            <w:r>
              <w:rPr>
                <w:rFonts w:ascii="Calibri" w:eastAsia="Calibri" w:hAnsi="Calibri" w:cs="Calibri"/>
                <w:color w:val="000000"/>
              </w:rPr>
              <w:t>1</w:t>
            </w:r>
          </w:p>
        </w:tc>
        <w:tc>
          <w:tcPr>
            <w:tcW w:w="5350" w:type="dxa"/>
          </w:tcPr>
          <w:p w14:paraId="44810522" w14:textId="77777777" w:rsidR="00204B5D" w:rsidRDefault="00000000">
            <w:r>
              <w:rPr>
                <w:rFonts w:ascii="Calibri" w:eastAsia="Calibri" w:hAnsi="Calibri" w:cs="Calibri"/>
                <w:color w:val="000000"/>
              </w:rPr>
              <w:t>Title</w:t>
            </w:r>
          </w:p>
        </w:tc>
        <w:tc>
          <w:tcPr>
            <w:tcW w:w="1300" w:type="dxa"/>
          </w:tcPr>
          <w:p w14:paraId="24AEBD6C" w14:textId="77777777" w:rsidR="00204B5D" w:rsidRDefault="00000000">
            <w:r>
              <w:rPr>
                <w:rFonts w:ascii="Calibri" w:eastAsia="Calibri" w:hAnsi="Calibri" w:cs="Calibri"/>
                <w:color w:val="000000"/>
              </w:rPr>
              <w:t>0:25</w:t>
            </w:r>
          </w:p>
        </w:tc>
        <w:tc>
          <w:tcPr>
            <w:tcW w:w="1300" w:type="dxa"/>
          </w:tcPr>
          <w:p w14:paraId="5EA5AA6E" w14:textId="77777777" w:rsidR="00204B5D" w:rsidRDefault="00000000">
            <w:r>
              <w:rPr>
                <w:rFonts w:ascii="Calibri" w:eastAsia="Calibri" w:hAnsi="Calibri" w:cs="Calibri"/>
                <w:color w:val="000000"/>
              </w:rPr>
              <w:t>0:25</w:t>
            </w:r>
          </w:p>
        </w:tc>
      </w:tr>
      <w:tr w:rsidR="00204B5D" w14:paraId="284E2C38" w14:textId="77777777">
        <w:tblPrEx>
          <w:tblCellMar>
            <w:top w:w="0" w:type="dxa"/>
            <w:bottom w:w="0" w:type="dxa"/>
          </w:tblCellMar>
        </w:tblPrEx>
        <w:tc>
          <w:tcPr>
            <w:tcW w:w="700" w:type="dxa"/>
          </w:tcPr>
          <w:p w14:paraId="458433F2" w14:textId="77777777" w:rsidR="00204B5D" w:rsidRDefault="00000000">
            <w:r>
              <w:rPr>
                <w:rFonts w:ascii="Calibri" w:eastAsia="Calibri" w:hAnsi="Calibri" w:cs="Calibri"/>
                <w:color w:val="000000"/>
              </w:rPr>
              <w:t>2</w:t>
            </w:r>
          </w:p>
        </w:tc>
        <w:tc>
          <w:tcPr>
            <w:tcW w:w="5350" w:type="dxa"/>
          </w:tcPr>
          <w:p w14:paraId="7BC99949" w14:textId="77777777" w:rsidR="00204B5D" w:rsidRDefault="00000000">
            <w:r>
              <w:rPr>
                <w:rFonts w:ascii="Calibri" w:eastAsia="Calibri" w:hAnsi="Calibri" w:cs="Calibri"/>
                <w:color w:val="000000"/>
              </w:rPr>
              <w:t>Introduction</w:t>
            </w:r>
          </w:p>
        </w:tc>
        <w:tc>
          <w:tcPr>
            <w:tcW w:w="1300" w:type="dxa"/>
          </w:tcPr>
          <w:p w14:paraId="000A8594" w14:textId="77777777" w:rsidR="00204B5D" w:rsidRDefault="00000000">
            <w:r>
              <w:rPr>
                <w:rFonts w:ascii="Calibri" w:eastAsia="Calibri" w:hAnsi="Calibri" w:cs="Calibri"/>
                <w:color w:val="000000"/>
              </w:rPr>
              <w:t>1:30</w:t>
            </w:r>
          </w:p>
        </w:tc>
        <w:tc>
          <w:tcPr>
            <w:tcW w:w="1300" w:type="dxa"/>
          </w:tcPr>
          <w:p w14:paraId="2EB31C37" w14:textId="77777777" w:rsidR="00204B5D" w:rsidRDefault="00000000">
            <w:r>
              <w:rPr>
                <w:rFonts w:ascii="Calibri" w:eastAsia="Calibri" w:hAnsi="Calibri" w:cs="Calibri"/>
                <w:color w:val="000000"/>
              </w:rPr>
              <w:t>1:55</w:t>
            </w:r>
          </w:p>
        </w:tc>
      </w:tr>
      <w:tr w:rsidR="00204B5D" w14:paraId="32DFC00C" w14:textId="77777777">
        <w:tblPrEx>
          <w:tblCellMar>
            <w:top w:w="0" w:type="dxa"/>
            <w:bottom w:w="0" w:type="dxa"/>
          </w:tblCellMar>
        </w:tblPrEx>
        <w:tc>
          <w:tcPr>
            <w:tcW w:w="700" w:type="dxa"/>
          </w:tcPr>
          <w:p w14:paraId="5A033756" w14:textId="77777777" w:rsidR="00204B5D" w:rsidRDefault="00000000">
            <w:r>
              <w:rPr>
                <w:rFonts w:ascii="Calibri" w:eastAsia="Calibri" w:hAnsi="Calibri" w:cs="Calibri"/>
                <w:color w:val="000000"/>
              </w:rPr>
              <w:t>3</w:t>
            </w:r>
          </w:p>
        </w:tc>
        <w:tc>
          <w:tcPr>
            <w:tcW w:w="5350" w:type="dxa"/>
          </w:tcPr>
          <w:p w14:paraId="486EB3A9" w14:textId="77777777" w:rsidR="00204B5D" w:rsidRDefault="00000000">
            <w:r>
              <w:rPr>
                <w:rFonts w:ascii="Calibri" w:eastAsia="Calibri" w:hAnsi="Calibri" w:cs="Calibri"/>
                <w:color w:val="000000"/>
              </w:rPr>
              <w:t>Outline</w:t>
            </w:r>
          </w:p>
        </w:tc>
        <w:tc>
          <w:tcPr>
            <w:tcW w:w="1300" w:type="dxa"/>
          </w:tcPr>
          <w:p w14:paraId="59EF36EE" w14:textId="77777777" w:rsidR="00204B5D" w:rsidRDefault="00000000">
            <w:r>
              <w:rPr>
                <w:rFonts w:ascii="Calibri" w:eastAsia="Calibri" w:hAnsi="Calibri" w:cs="Calibri"/>
                <w:color w:val="000000"/>
              </w:rPr>
              <w:t>0:45</w:t>
            </w:r>
          </w:p>
        </w:tc>
        <w:tc>
          <w:tcPr>
            <w:tcW w:w="1300" w:type="dxa"/>
          </w:tcPr>
          <w:p w14:paraId="491B2ED0" w14:textId="77777777" w:rsidR="00204B5D" w:rsidRDefault="00000000">
            <w:r>
              <w:rPr>
                <w:rFonts w:ascii="Calibri" w:eastAsia="Calibri" w:hAnsi="Calibri" w:cs="Calibri"/>
                <w:color w:val="000000"/>
              </w:rPr>
              <w:t>2:40</w:t>
            </w:r>
          </w:p>
        </w:tc>
      </w:tr>
      <w:tr w:rsidR="00204B5D" w14:paraId="53E80B4D" w14:textId="77777777">
        <w:tblPrEx>
          <w:tblCellMar>
            <w:top w:w="0" w:type="dxa"/>
            <w:bottom w:w="0" w:type="dxa"/>
          </w:tblCellMar>
        </w:tblPrEx>
        <w:tc>
          <w:tcPr>
            <w:tcW w:w="700" w:type="dxa"/>
          </w:tcPr>
          <w:p w14:paraId="4CD76812" w14:textId="77777777" w:rsidR="00204B5D" w:rsidRDefault="00000000">
            <w:r>
              <w:rPr>
                <w:rFonts w:ascii="Calibri" w:eastAsia="Calibri" w:hAnsi="Calibri" w:cs="Calibri"/>
                <w:color w:val="000000"/>
              </w:rPr>
              <w:t>4</w:t>
            </w:r>
          </w:p>
        </w:tc>
        <w:tc>
          <w:tcPr>
            <w:tcW w:w="5350" w:type="dxa"/>
          </w:tcPr>
          <w:p w14:paraId="7EC060F6" w14:textId="77777777" w:rsidR="00204B5D" w:rsidRDefault="00000000">
            <w:r>
              <w:rPr>
                <w:rFonts w:ascii="Calibri" w:eastAsia="Calibri" w:hAnsi="Calibri" w:cs="Calibri"/>
                <w:color w:val="000000"/>
              </w:rPr>
              <w:t>Background – Mechanism of Action</w:t>
            </w:r>
          </w:p>
        </w:tc>
        <w:tc>
          <w:tcPr>
            <w:tcW w:w="1300" w:type="dxa"/>
          </w:tcPr>
          <w:p w14:paraId="3554C92F" w14:textId="77777777" w:rsidR="00204B5D" w:rsidRDefault="00000000">
            <w:r>
              <w:rPr>
                <w:rFonts w:ascii="Calibri" w:eastAsia="Calibri" w:hAnsi="Calibri" w:cs="Calibri"/>
                <w:color w:val="000000"/>
              </w:rPr>
              <w:t>1:20</w:t>
            </w:r>
          </w:p>
        </w:tc>
        <w:tc>
          <w:tcPr>
            <w:tcW w:w="1300" w:type="dxa"/>
          </w:tcPr>
          <w:p w14:paraId="10B6E7D2" w14:textId="77777777" w:rsidR="00204B5D" w:rsidRDefault="00000000">
            <w:r>
              <w:rPr>
                <w:rFonts w:ascii="Calibri" w:eastAsia="Calibri" w:hAnsi="Calibri" w:cs="Calibri"/>
                <w:color w:val="000000"/>
              </w:rPr>
              <w:t>4:00</w:t>
            </w:r>
          </w:p>
        </w:tc>
      </w:tr>
      <w:tr w:rsidR="00204B5D" w14:paraId="740DDBA4" w14:textId="77777777">
        <w:tblPrEx>
          <w:tblCellMar>
            <w:top w:w="0" w:type="dxa"/>
            <w:bottom w:w="0" w:type="dxa"/>
          </w:tblCellMar>
        </w:tblPrEx>
        <w:tc>
          <w:tcPr>
            <w:tcW w:w="700" w:type="dxa"/>
          </w:tcPr>
          <w:p w14:paraId="080662AA" w14:textId="77777777" w:rsidR="00204B5D" w:rsidRDefault="00000000">
            <w:r>
              <w:rPr>
                <w:rFonts w:ascii="Calibri" w:eastAsia="Calibri" w:hAnsi="Calibri" w:cs="Calibri"/>
                <w:color w:val="000000"/>
              </w:rPr>
              <w:t>5</w:t>
            </w:r>
          </w:p>
        </w:tc>
        <w:tc>
          <w:tcPr>
            <w:tcW w:w="5350" w:type="dxa"/>
          </w:tcPr>
          <w:p w14:paraId="7803D77D" w14:textId="77777777" w:rsidR="00204B5D" w:rsidRDefault="00000000">
            <w:r>
              <w:rPr>
                <w:rFonts w:ascii="Calibri" w:eastAsia="Calibri" w:hAnsi="Calibri" w:cs="Calibri"/>
                <w:color w:val="000000"/>
              </w:rPr>
              <w:t>US Approved Products</w:t>
            </w:r>
          </w:p>
        </w:tc>
        <w:tc>
          <w:tcPr>
            <w:tcW w:w="1300" w:type="dxa"/>
          </w:tcPr>
          <w:p w14:paraId="466EDE68" w14:textId="77777777" w:rsidR="00204B5D" w:rsidRDefault="00000000">
            <w:r>
              <w:rPr>
                <w:rFonts w:ascii="Calibri" w:eastAsia="Calibri" w:hAnsi="Calibri" w:cs="Calibri"/>
                <w:color w:val="000000"/>
              </w:rPr>
              <w:t>1:15</w:t>
            </w:r>
          </w:p>
        </w:tc>
        <w:tc>
          <w:tcPr>
            <w:tcW w:w="1300" w:type="dxa"/>
          </w:tcPr>
          <w:p w14:paraId="26570955" w14:textId="77777777" w:rsidR="00204B5D" w:rsidRDefault="00000000">
            <w:r>
              <w:rPr>
                <w:rFonts w:ascii="Calibri" w:eastAsia="Calibri" w:hAnsi="Calibri" w:cs="Calibri"/>
                <w:color w:val="000000"/>
              </w:rPr>
              <w:t>5:15</w:t>
            </w:r>
          </w:p>
        </w:tc>
      </w:tr>
      <w:tr w:rsidR="00204B5D" w14:paraId="45818BA5" w14:textId="77777777">
        <w:tblPrEx>
          <w:tblCellMar>
            <w:top w:w="0" w:type="dxa"/>
            <w:bottom w:w="0" w:type="dxa"/>
          </w:tblCellMar>
        </w:tblPrEx>
        <w:tc>
          <w:tcPr>
            <w:tcW w:w="700" w:type="dxa"/>
          </w:tcPr>
          <w:p w14:paraId="52B013A5" w14:textId="77777777" w:rsidR="00204B5D" w:rsidRDefault="00000000">
            <w:r>
              <w:rPr>
                <w:rFonts w:ascii="Calibri" w:eastAsia="Calibri" w:hAnsi="Calibri" w:cs="Calibri"/>
                <w:color w:val="000000"/>
              </w:rPr>
              <w:t>6</w:t>
            </w:r>
          </w:p>
        </w:tc>
        <w:tc>
          <w:tcPr>
            <w:tcW w:w="5350" w:type="dxa"/>
          </w:tcPr>
          <w:p w14:paraId="47EE7E87" w14:textId="77777777" w:rsidR="00204B5D" w:rsidRDefault="00000000">
            <w:r>
              <w:rPr>
                <w:rFonts w:ascii="Calibri" w:eastAsia="Calibri" w:hAnsi="Calibri" w:cs="Calibri"/>
                <w:color w:val="000000"/>
              </w:rPr>
              <w:t>Pharmacokinetics (PK) of CAR-T Therapies</w:t>
            </w:r>
          </w:p>
        </w:tc>
        <w:tc>
          <w:tcPr>
            <w:tcW w:w="1300" w:type="dxa"/>
          </w:tcPr>
          <w:p w14:paraId="2378D5DD" w14:textId="77777777" w:rsidR="00204B5D" w:rsidRDefault="00000000">
            <w:r>
              <w:rPr>
                <w:rFonts w:ascii="Calibri" w:eastAsia="Calibri" w:hAnsi="Calibri" w:cs="Calibri"/>
                <w:color w:val="000000"/>
              </w:rPr>
              <w:t>2:00</w:t>
            </w:r>
          </w:p>
        </w:tc>
        <w:tc>
          <w:tcPr>
            <w:tcW w:w="1300" w:type="dxa"/>
          </w:tcPr>
          <w:p w14:paraId="6DB14A70" w14:textId="77777777" w:rsidR="00204B5D" w:rsidRDefault="00000000">
            <w:r>
              <w:rPr>
                <w:rFonts w:ascii="Calibri" w:eastAsia="Calibri" w:hAnsi="Calibri" w:cs="Calibri"/>
                <w:color w:val="000000"/>
              </w:rPr>
              <w:t>7:15</w:t>
            </w:r>
          </w:p>
        </w:tc>
      </w:tr>
      <w:tr w:rsidR="00204B5D" w14:paraId="19902CB5" w14:textId="77777777">
        <w:tblPrEx>
          <w:tblCellMar>
            <w:top w:w="0" w:type="dxa"/>
            <w:bottom w:w="0" w:type="dxa"/>
          </w:tblCellMar>
        </w:tblPrEx>
        <w:tc>
          <w:tcPr>
            <w:tcW w:w="700" w:type="dxa"/>
          </w:tcPr>
          <w:p w14:paraId="15D71495" w14:textId="77777777" w:rsidR="00204B5D" w:rsidRDefault="00000000">
            <w:r>
              <w:rPr>
                <w:rFonts w:ascii="Calibri" w:eastAsia="Calibri" w:hAnsi="Calibri" w:cs="Calibri"/>
                <w:color w:val="000000"/>
              </w:rPr>
              <w:t>7</w:t>
            </w:r>
          </w:p>
        </w:tc>
        <w:tc>
          <w:tcPr>
            <w:tcW w:w="5350" w:type="dxa"/>
          </w:tcPr>
          <w:p w14:paraId="773D5139" w14:textId="77777777" w:rsidR="00204B5D" w:rsidRDefault="00000000">
            <w:r>
              <w:rPr>
                <w:rFonts w:ascii="Calibri" w:eastAsia="Calibri" w:hAnsi="Calibri" w:cs="Calibri"/>
                <w:color w:val="000000"/>
              </w:rPr>
              <w:t>Dose-/Exposure-Response Relationship</w:t>
            </w:r>
          </w:p>
        </w:tc>
        <w:tc>
          <w:tcPr>
            <w:tcW w:w="1300" w:type="dxa"/>
          </w:tcPr>
          <w:p w14:paraId="0661E149" w14:textId="77777777" w:rsidR="00204B5D" w:rsidRDefault="00000000">
            <w:r>
              <w:rPr>
                <w:rFonts w:ascii="Calibri" w:eastAsia="Calibri" w:hAnsi="Calibri" w:cs="Calibri"/>
                <w:color w:val="000000"/>
              </w:rPr>
              <w:t>2:00</w:t>
            </w:r>
          </w:p>
        </w:tc>
        <w:tc>
          <w:tcPr>
            <w:tcW w:w="1300" w:type="dxa"/>
          </w:tcPr>
          <w:p w14:paraId="740C5E72" w14:textId="77777777" w:rsidR="00204B5D" w:rsidRDefault="00000000">
            <w:r>
              <w:rPr>
                <w:rFonts w:ascii="Calibri" w:eastAsia="Calibri" w:hAnsi="Calibri" w:cs="Calibri"/>
                <w:color w:val="000000"/>
              </w:rPr>
              <w:t>9:15</w:t>
            </w:r>
          </w:p>
        </w:tc>
      </w:tr>
      <w:tr w:rsidR="00204B5D" w14:paraId="4F912BE5" w14:textId="77777777">
        <w:tblPrEx>
          <w:tblCellMar>
            <w:top w:w="0" w:type="dxa"/>
            <w:bottom w:w="0" w:type="dxa"/>
          </w:tblCellMar>
        </w:tblPrEx>
        <w:tc>
          <w:tcPr>
            <w:tcW w:w="700" w:type="dxa"/>
          </w:tcPr>
          <w:p w14:paraId="4B0FE7CE" w14:textId="77777777" w:rsidR="00204B5D" w:rsidRDefault="00000000">
            <w:r>
              <w:rPr>
                <w:rFonts w:ascii="Calibri" w:eastAsia="Calibri" w:hAnsi="Calibri" w:cs="Calibri"/>
                <w:color w:val="000000"/>
              </w:rPr>
              <w:t>8</w:t>
            </w:r>
          </w:p>
        </w:tc>
        <w:tc>
          <w:tcPr>
            <w:tcW w:w="5350" w:type="dxa"/>
          </w:tcPr>
          <w:p w14:paraId="3C3CB1B0" w14:textId="77777777" w:rsidR="00204B5D" w:rsidRDefault="00000000">
            <w:r>
              <w:rPr>
                <w:rFonts w:ascii="Calibri" w:eastAsia="Calibri" w:hAnsi="Calibri" w:cs="Calibri"/>
                <w:color w:val="000000"/>
              </w:rPr>
              <w:t>Modeling Approaches for CAR-T</w:t>
            </w:r>
          </w:p>
        </w:tc>
        <w:tc>
          <w:tcPr>
            <w:tcW w:w="1300" w:type="dxa"/>
          </w:tcPr>
          <w:p w14:paraId="7F797D55" w14:textId="77777777" w:rsidR="00204B5D" w:rsidRDefault="00000000">
            <w:r>
              <w:rPr>
                <w:rFonts w:ascii="Calibri" w:eastAsia="Calibri" w:hAnsi="Calibri" w:cs="Calibri"/>
                <w:color w:val="000000"/>
              </w:rPr>
              <w:t>1:15</w:t>
            </w:r>
          </w:p>
        </w:tc>
        <w:tc>
          <w:tcPr>
            <w:tcW w:w="1300" w:type="dxa"/>
          </w:tcPr>
          <w:p w14:paraId="72CA2242" w14:textId="77777777" w:rsidR="00204B5D" w:rsidRDefault="00000000">
            <w:r>
              <w:rPr>
                <w:rFonts w:ascii="Calibri" w:eastAsia="Calibri" w:hAnsi="Calibri" w:cs="Calibri"/>
                <w:color w:val="000000"/>
              </w:rPr>
              <w:t>10:30</w:t>
            </w:r>
          </w:p>
        </w:tc>
      </w:tr>
      <w:tr w:rsidR="00204B5D" w14:paraId="26E95FCA" w14:textId="77777777">
        <w:tblPrEx>
          <w:tblCellMar>
            <w:top w:w="0" w:type="dxa"/>
            <w:bottom w:w="0" w:type="dxa"/>
          </w:tblCellMar>
        </w:tblPrEx>
        <w:tc>
          <w:tcPr>
            <w:tcW w:w="700" w:type="dxa"/>
          </w:tcPr>
          <w:p w14:paraId="0F4DDC04" w14:textId="77777777" w:rsidR="00204B5D" w:rsidRDefault="00000000">
            <w:r>
              <w:rPr>
                <w:rFonts w:ascii="Calibri" w:eastAsia="Calibri" w:hAnsi="Calibri" w:cs="Calibri"/>
                <w:color w:val="000000"/>
              </w:rPr>
              <w:t>9</w:t>
            </w:r>
          </w:p>
        </w:tc>
        <w:tc>
          <w:tcPr>
            <w:tcW w:w="5350" w:type="dxa"/>
          </w:tcPr>
          <w:p w14:paraId="38FE478A" w14:textId="77777777" w:rsidR="00204B5D" w:rsidRDefault="00000000">
            <w:r>
              <w:rPr>
                <w:rFonts w:ascii="Calibri" w:eastAsia="Calibri" w:hAnsi="Calibri" w:cs="Calibri"/>
                <w:color w:val="000000"/>
              </w:rPr>
              <w:t>Summary of CAR T-cell Characteristics</w:t>
            </w:r>
          </w:p>
        </w:tc>
        <w:tc>
          <w:tcPr>
            <w:tcW w:w="1300" w:type="dxa"/>
          </w:tcPr>
          <w:p w14:paraId="0E0B5AEB" w14:textId="77777777" w:rsidR="00204B5D" w:rsidRDefault="00000000">
            <w:r>
              <w:rPr>
                <w:rFonts w:ascii="Calibri" w:eastAsia="Calibri" w:hAnsi="Calibri" w:cs="Calibri"/>
                <w:color w:val="000000"/>
              </w:rPr>
              <w:t>1:00</w:t>
            </w:r>
          </w:p>
        </w:tc>
        <w:tc>
          <w:tcPr>
            <w:tcW w:w="1300" w:type="dxa"/>
          </w:tcPr>
          <w:p w14:paraId="64AB9E6B" w14:textId="77777777" w:rsidR="00204B5D" w:rsidRDefault="00000000">
            <w:r>
              <w:rPr>
                <w:rFonts w:ascii="Calibri" w:eastAsia="Calibri" w:hAnsi="Calibri" w:cs="Calibri"/>
                <w:color w:val="000000"/>
              </w:rPr>
              <w:t>11:30</w:t>
            </w:r>
          </w:p>
        </w:tc>
      </w:tr>
      <w:tr w:rsidR="00204B5D" w14:paraId="71766CAE" w14:textId="77777777">
        <w:tblPrEx>
          <w:tblCellMar>
            <w:top w:w="0" w:type="dxa"/>
            <w:bottom w:w="0" w:type="dxa"/>
          </w:tblCellMar>
        </w:tblPrEx>
        <w:tc>
          <w:tcPr>
            <w:tcW w:w="700" w:type="dxa"/>
          </w:tcPr>
          <w:p w14:paraId="620C97F4" w14:textId="77777777" w:rsidR="00204B5D" w:rsidRDefault="00000000">
            <w:r>
              <w:rPr>
                <w:rFonts w:ascii="Calibri" w:eastAsia="Calibri" w:hAnsi="Calibri" w:cs="Calibri"/>
                <w:color w:val="000000"/>
              </w:rPr>
              <w:t>10</w:t>
            </w:r>
          </w:p>
        </w:tc>
        <w:tc>
          <w:tcPr>
            <w:tcW w:w="5350" w:type="dxa"/>
          </w:tcPr>
          <w:p w14:paraId="182E6819" w14:textId="77777777" w:rsidR="00204B5D" w:rsidRDefault="00000000">
            <w:r>
              <w:rPr>
                <w:rFonts w:ascii="Calibri" w:eastAsia="Calibri" w:hAnsi="Calibri" w:cs="Calibri"/>
                <w:color w:val="000000"/>
              </w:rPr>
              <w:t>FDA Guidance: FIH Dose Selection &amp; Preclinical PK/PD Translation</w:t>
            </w:r>
          </w:p>
        </w:tc>
        <w:tc>
          <w:tcPr>
            <w:tcW w:w="1300" w:type="dxa"/>
          </w:tcPr>
          <w:p w14:paraId="475C559B" w14:textId="77777777" w:rsidR="00204B5D" w:rsidRDefault="00000000">
            <w:r>
              <w:rPr>
                <w:rFonts w:ascii="Calibri" w:eastAsia="Calibri" w:hAnsi="Calibri" w:cs="Calibri"/>
                <w:color w:val="000000"/>
              </w:rPr>
              <w:t>2:00</w:t>
            </w:r>
          </w:p>
        </w:tc>
        <w:tc>
          <w:tcPr>
            <w:tcW w:w="1300" w:type="dxa"/>
          </w:tcPr>
          <w:p w14:paraId="3C4D02EF" w14:textId="77777777" w:rsidR="00204B5D" w:rsidRDefault="00000000">
            <w:r>
              <w:rPr>
                <w:rFonts w:ascii="Calibri" w:eastAsia="Calibri" w:hAnsi="Calibri" w:cs="Calibri"/>
                <w:color w:val="000000"/>
              </w:rPr>
              <w:t>13:30</w:t>
            </w:r>
          </w:p>
        </w:tc>
      </w:tr>
      <w:tr w:rsidR="00204B5D" w14:paraId="357A4595" w14:textId="77777777">
        <w:tblPrEx>
          <w:tblCellMar>
            <w:top w:w="0" w:type="dxa"/>
            <w:bottom w:w="0" w:type="dxa"/>
          </w:tblCellMar>
        </w:tblPrEx>
        <w:tc>
          <w:tcPr>
            <w:tcW w:w="700" w:type="dxa"/>
          </w:tcPr>
          <w:p w14:paraId="67343197" w14:textId="77777777" w:rsidR="00204B5D" w:rsidRDefault="00000000">
            <w:r>
              <w:rPr>
                <w:rFonts w:ascii="Calibri" w:eastAsia="Calibri" w:hAnsi="Calibri" w:cs="Calibri"/>
                <w:color w:val="000000"/>
              </w:rPr>
              <w:t>11</w:t>
            </w:r>
          </w:p>
        </w:tc>
        <w:tc>
          <w:tcPr>
            <w:tcW w:w="5350" w:type="dxa"/>
          </w:tcPr>
          <w:p w14:paraId="585F5ABA" w14:textId="77777777" w:rsidR="00204B5D" w:rsidRDefault="00000000">
            <w:r>
              <w:rPr>
                <w:rFonts w:ascii="Calibri" w:eastAsia="Calibri" w:hAnsi="Calibri" w:cs="Calibri"/>
                <w:color w:val="000000"/>
              </w:rPr>
              <w:t>CARTITUDE Studies: CART-1 and CART-4</w:t>
            </w:r>
          </w:p>
        </w:tc>
        <w:tc>
          <w:tcPr>
            <w:tcW w:w="1300" w:type="dxa"/>
          </w:tcPr>
          <w:p w14:paraId="5D28687C" w14:textId="77777777" w:rsidR="00204B5D" w:rsidRDefault="00000000">
            <w:r>
              <w:rPr>
                <w:rFonts w:ascii="Calibri" w:eastAsia="Calibri" w:hAnsi="Calibri" w:cs="Calibri"/>
                <w:color w:val="000000"/>
              </w:rPr>
              <w:t>2:30</w:t>
            </w:r>
          </w:p>
        </w:tc>
        <w:tc>
          <w:tcPr>
            <w:tcW w:w="1300" w:type="dxa"/>
          </w:tcPr>
          <w:p w14:paraId="723D51DB" w14:textId="77777777" w:rsidR="00204B5D" w:rsidRDefault="00000000">
            <w:r>
              <w:rPr>
                <w:rFonts w:ascii="Calibri" w:eastAsia="Calibri" w:hAnsi="Calibri" w:cs="Calibri"/>
                <w:color w:val="000000"/>
              </w:rPr>
              <w:t>16:00</w:t>
            </w:r>
          </w:p>
        </w:tc>
      </w:tr>
      <w:tr w:rsidR="00204B5D" w14:paraId="1AC4BAC2" w14:textId="77777777">
        <w:tblPrEx>
          <w:tblCellMar>
            <w:top w:w="0" w:type="dxa"/>
            <w:bottom w:w="0" w:type="dxa"/>
          </w:tblCellMar>
        </w:tblPrEx>
        <w:tc>
          <w:tcPr>
            <w:tcW w:w="700" w:type="dxa"/>
          </w:tcPr>
          <w:p w14:paraId="2ECC24E5" w14:textId="77777777" w:rsidR="00204B5D" w:rsidRDefault="00000000">
            <w:r>
              <w:rPr>
                <w:rFonts w:ascii="Calibri" w:eastAsia="Calibri" w:hAnsi="Calibri" w:cs="Calibri"/>
                <w:color w:val="000000"/>
              </w:rPr>
              <w:t>12</w:t>
            </w:r>
          </w:p>
        </w:tc>
        <w:tc>
          <w:tcPr>
            <w:tcW w:w="5350" w:type="dxa"/>
          </w:tcPr>
          <w:p w14:paraId="68B02EC5" w14:textId="77777777" w:rsidR="00204B5D" w:rsidRDefault="00000000">
            <w:r>
              <w:rPr>
                <w:rFonts w:ascii="Calibri" w:eastAsia="Calibri" w:hAnsi="Calibri" w:cs="Calibri"/>
                <w:color w:val="000000"/>
              </w:rPr>
              <w:t>CAR Transgene Concentration Profile in CART-1</w:t>
            </w:r>
          </w:p>
        </w:tc>
        <w:tc>
          <w:tcPr>
            <w:tcW w:w="1300" w:type="dxa"/>
          </w:tcPr>
          <w:p w14:paraId="49FF23A4" w14:textId="77777777" w:rsidR="00204B5D" w:rsidRDefault="00000000">
            <w:r>
              <w:rPr>
                <w:rFonts w:ascii="Calibri" w:eastAsia="Calibri" w:hAnsi="Calibri" w:cs="Calibri"/>
                <w:color w:val="000000"/>
              </w:rPr>
              <w:t>1:50</w:t>
            </w:r>
          </w:p>
        </w:tc>
        <w:tc>
          <w:tcPr>
            <w:tcW w:w="1300" w:type="dxa"/>
          </w:tcPr>
          <w:p w14:paraId="5C072FE1" w14:textId="77777777" w:rsidR="00204B5D" w:rsidRDefault="00000000">
            <w:r>
              <w:rPr>
                <w:rFonts w:ascii="Calibri" w:eastAsia="Calibri" w:hAnsi="Calibri" w:cs="Calibri"/>
                <w:color w:val="000000"/>
              </w:rPr>
              <w:t>17:50</w:t>
            </w:r>
          </w:p>
        </w:tc>
      </w:tr>
      <w:tr w:rsidR="00204B5D" w14:paraId="351A5E54" w14:textId="77777777">
        <w:tblPrEx>
          <w:tblCellMar>
            <w:top w:w="0" w:type="dxa"/>
            <w:bottom w:w="0" w:type="dxa"/>
          </w:tblCellMar>
        </w:tblPrEx>
        <w:tc>
          <w:tcPr>
            <w:tcW w:w="700" w:type="dxa"/>
          </w:tcPr>
          <w:p w14:paraId="083D6D29" w14:textId="77777777" w:rsidR="00204B5D" w:rsidRDefault="00000000">
            <w:r>
              <w:rPr>
                <w:rFonts w:ascii="Calibri" w:eastAsia="Calibri" w:hAnsi="Calibri" w:cs="Calibri"/>
                <w:color w:val="000000"/>
              </w:rPr>
              <w:t>13</w:t>
            </w:r>
          </w:p>
        </w:tc>
        <w:tc>
          <w:tcPr>
            <w:tcW w:w="5350" w:type="dxa"/>
          </w:tcPr>
          <w:p w14:paraId="379178B7" w14:textId="77777777" w:rsidR="00204B5D" w:rsidRDefault="00000000">
            <w:r>
              <w:rPr>
                <w:rFonts w:ascii="Calibri" w:eastAsia="Calibri" w:hAnsi="Calibri" w:cs="Calibri"/>
                <w:color w:val="000000"/>
              </w:rPr>
              <w:t>ER for Efficacy in CART-1</w:t>
            </w:r>
          </w:p>
        </w:tc>
        <w:tc>
          <w:tcPr>
            <w:tcW w:w="1300" w:type="dxa"/>
          </w:tcPr>
          <w:p w14:paraId="62D0CE82" w14:textId="77777777" w:rsidR="00204B5D" w:rsidRDefault="00000000">
            <w:r>
              <w:rPr>
                <w:rFonts w:ascii="Calibri" w:eastAsia="Calibri" w:hAnsi="Calibri" w:cs="Calibri"/>
                <w:color w:val="000000"/>
              </w:rPr>
              <w:t>1:30</w:t>
            </w:r>
          </w:p>
        </w:tc>
        <w:tc>
          <w:tcPr>
            <w:tcW w:w="1300" w:type="dxa"/>
          </w:tcPr>
          <w:p w14:paraId="7F8F3CBF" w14:textId="77777777" w:rsidR="00204B5D" w:rsidRDefault="00000000">
            <w:r>
              <w:rPr>
                <w:rFonts w:ascii="Calibri" w:eastAsia="Calibri" w:hAnsi="Calibri" w:cs="Calibri"/>
                <w:color w:val="000000"/>
              </w:rPr>
              <w:t>19:20</w:t>
            </w:r>
          </w:p>
        </w:tc>
      </w:tr>
      <w:tr w:rsidR="00204B5D" w14:paraId="6403F719" w14:textId="77777777">
        <w:tblPrEx>
          <w:tblCellMar>
            <w:top w:w="0" w:type="dxa"/>
            <w:bottom w:w="0" w:type="dxa"/>
          </w:tblCellMar>
        </w:tblPrEx>
        <w:tc>
          <w:tcPr>
            <w:tcW w:w="700" w:type="dxa"/>
          </w:tcPr>
          <w:p w14:paraId="4FA18891" w14:textId="77777777" w:rsidR="00204B5D" w:rsidRDefault="00000000">
            <w:r>
              <w:rPr>
                <w:rFonts w:ascii="Calibri" w:eastAsia="Calibri" w:hAnsi="Calibri" w:cs="Calibri"/>
                <w:color w:val="000000"/>
              </w:rPr>
              <w:t>14</w:t>
            </w:r>
          </w:p>
        </w:tc>
        <w:tc>
          <w:tcPr>
            <w:tcW w:w="5350" w:type="dxa"/>
          </w:tcPr>
          <w:p w14:paraId="03010A88" w14:textId="77777777" w:rsidR="00204B5D" w:rsidRDefault="00000000">
            <w:r>
              <w:rPr>
                <w:rFonts w:ascii="Calibri" w:eastAsia="Calibri" w:hAnsi="Calibri" w:cs="Calibri"/>
                <w:color w:val="000000"/>
              </w:rPr>
              <w:t>ER for Safety in CART-1 (CRS)</w:t>
            </w:r>
          </w:p>
        </w:tc>
        <w:tc>
          <w:tcPr>
            <w:tcW w:w="1300" w:type="dxa"/>
          </w:tcPr>
          <w:p w14:paraId="59FDAD71" w14:textId="77777777" w:rsidR="00204B5D" w:rsidRDefault="00000000">
            <w:r>
              <w:rPr>
                <w:rFonts w:ascii="Calibri" w:eastAsia="Calibri" w:hAnsi="Calibri" w:cs="Calibri"/>
                <w:color w:val="000000"/>
              </w:rPr>
              <w:t>1:20</w:t>
            </w:r>
          </w:p>
        </w:tc>
        <w:tc>
          <w:tcPr>
            <w:tcW w:w="1300" w:type="dxa"/>
          </w:tcPr>
          <w:p w14:paraId="73F39E11" w14:textId="77777777" w:rsidR="00204B5D" w:rsidRDefault="00000000">
            <w:r>
              <w:rPr>
                <w:rFonts w:ascii="Calibri" w:eastAsia="Calibri" w:hAnsi="Calibri" w:cs="Calibri"/>
                <w:color w:val="000000"/>
              </w:rPr>
              <w:t>20:40</w:t>
            </w:r>
          </w:p>
        </w:tc>
      </w:tr>
      <w:tr w:rsidR="00204B5D" w14:paraId="185CBAA7" w14:textId="77777777">
        <w:tblPrEx>
          <w:tblCellMar>
            <w:top w:w="0" w:type="dxa"/>
            <w:bottom w:w="0" w:type="dxa"/>
          </w:tblCellMar>
        </w:tblPrEx>
        <w:tc>
          <w:tcPr>
            <w:tcW w:w="700" w:type="dxa"/>
          </w:tcPr>
          <w:p w14:paraId="072B5CEB" w14:textId="77777777" w:rsidR="00204B5D" w:rsidRDefault="00000000">
            <w:r>
              <w:rPr>
                <w:rFonts w:ascii="Calibri" w:eastAsia="Calibri" w:hAnsi="Calibri" w:cs="Calibri"/>
                <w:color w:val="000000"/>
              </w:rPr>
              <w:t>15</w:t>
            </w:r>
          </w:p>
        </w:tc>
        <w:tc>
          <w:tcPr>
            <w:tcW w:w="5350" w:type="dxa"/>
          </w:tcPr>
          <w:p w14:paraId="259846E4" w14:textId="77777777" w:rsidR="00204B5D" w:rsidRDefault="00000000">
            <w:r>
              <w:rPr>
                <w:rFonts w:ascii="Calibri" w:eastAsia="Calibri" w:hAnsi="Calibri" w:cs="Calibri"/>
                <w:color w:val="000000"/>
              </w:rPr>
              <w:t>ER for Safety in CAR-T1 (Neurotoxicity)</w:t>
            </w:r>
          </w:p>
        </w:tc>
        <w:tc>
          <w:tcPr>
            <w:tcW w:w="1300" w:type="dxa"/>
          </w:tcPr>
          <w:p w14:paraId="5DE4500C" w14:textId="77777777" w:rsidR="00204B5D" w:rsidRDefault="00000000">
            <w:r>
              <w:rPr>
                <w:rFonts w:ascii="Calibri" w:eastAsia="Calibri" w:hAnsi="Calibri" w:cs="Calibri"/>
                <w:color w:val="000000"/>
              </w:rPr>
              <w:t>1:20</w:t>
            </w:r>
          </w:p>
        </w:tc>
        <w:tc>
          <w:tcPr>
            <w:tcW w:w="1300" w:type="dxa"/>
          </w:tcPr>
          <w:p w14:paraId="1ADFD78B" w14:textId="77777777" w:rsidR="00204B5D" w:rsidRDefault="00000000">
            <w:r>
              <w:rPr>
                <w:rFonts w:ascii="Calibri" w:eastAsia="Calibri" w:hAnsi="Calibri" w:cs="Calibri"/>
                <w:color w:val="000000"/>
              </w:rPr>
              <w:t>22:00</w:t>
            </w:r>
          </w:p>
        </w:tc>
      </w:tr>
      <w:tr w:rsidR="00204B5D" w14:paraId="4F4647F5" w14:textId="77777777">
        <w:tblPrEx>
          <w:tblCellMar>
            <w:top w:w="0" w:type="dxa"/>
            <w:bottom w:w="0" w:type="dxa"/>
          </w:tblCellMar>
        </w:tblPrEx>
        <w:tc>
          <w:tcPr>
            <w:tcW w:w="700" w:type="dxa"/>
          </w:tcPr>
          <w:p w14:paraId="38715343" w14:textId="77777777" w:rsidR="00204B5D" w:rsidRDefault="00000000">
            <w:r>
              <w:rPr>
                <w:rFonts w:ascii="Calibri" w:eastAsia="Calibri" w:hAnsi="Calibri" w:cs="Calibri"/>
                <w:color w:val="000000"/>
              </w:rPr>
              <w:t>16</w:t>
            </w:r>
          </w:p>
        </w:tc>
        <w:tc>
          <w:tcPr>
            <w:tcW w:w="5350" w:type="dxa"/>
          </w:tcPr>
          <w:p w14:paraId="6E940CD3" w14:textId="77777777" w:rsidR="00204B5D" w:rsidRDefault="00000000">
            <w:proofErr w:type="spellStart"/>
            <w:r>
              <w:rPr>
                <w:rFonts w:ascii="Calibri" w:eastAsia="Calibri" w:hAnsi="Calibri" w:cs="Calibri"/>
                <w:color w:val="000000"/>
              </w:rPr>
              <w:t>PopPK</w:t>
            </w:r>
            <w:proofErr w:type="spellEnd"/>
            <w:r>
              <w:rPr>
                <w:rFonts w:ascii="Calibri" w:eastAsia="Calibri" w:hAnsi="Calibri" w:cs="Calibri"/>
                <w:color w:val="000000"/>
              </w:rPr>
              <w:t xml:space="preserve"> Model Based on Transgene Results</w:t>
            </w:r>
          </w:p>
        </w:tc>
        <w:tc>
          <w:tcPr>
            <w:tcW w:w="1300" w:type="dxa"/>
          </w:tcPr>
          <w:p w14:paraId="40BCF28A" w14:textId="77777777" w:rsidR="00204B5D" w:rsidRDefault="00000000">
            <w:r>
              <w:rPr>
                <w:rFonts w:ascii="Calibri" w:eastAsia="Calibri" w:hAnsi="Calibri" w:cs="Calibri"/>
                <w:color w:val="000000"/>
              </w:rPr>
              <w:t>2:00</w:t>
            </w:r>
          </w:p>
        </w:tc>
        <w:tc>
          <w:tcPr>
            <w:tcW w:w="1300" w:type="dxa"/>
          </w:tcPr>
          <w:p w14:paraId="2BB16396" w14:textId="77777777" w:rsidR="00204B5D" w:rsidRDefault="00000000">
            <w:r>
              <w:rPr>
                <w:rFonts w:ascii="Calibri" w:eastAsia="Calibri" w:hAnsi="Calibri" w:cs="Calibri"/>
                <w:color w:val="000000"/>
              </w:rPr>
              <w:t>24:00</w:t>
            </w:r>
          </w:p>
        </w:tc>
      </w:tr>
      <w:tr w:rsidR="00204B5D" w14:paraId="6F913BC6" w14:textId="77777777">
        <w:tblPrEx>
          <w:tblCellMar>
            <w:top w:w="0" w:type="dxa"/>
            <w:bottom w:w="0" w:type="dxa"/>
          </w:tblCellMar>
        </w:tblPrEx>
        <w:tc>
          <w:tcPr>
            <w:tcW w:w="700" w:type="dxa"/>
          </w:tcPr>
          <w:p w14:paraId="5643735F" w14:textId="77777777" w:rsidR="00204B5D" w:rsidRDefault="00000000">
            <w:r>
              <w:rPr>
                <w:rFonts w:ascii="Calibri" w:eastAsia="Calibri" w:hAnsi="Calibri" w:cs="Calibri"/>
                <w:color w:val="000000"/>
              </w:rPr>
              <w:t>17</w:t>
            </w:r>
          </w:p>
        </w:tc>
        <w:tc>
          <w:tcPr>
            <w:tcW w:w="5350" w:type="dxa"/>
          </w:tcPr>
          <w:p w14:paraId="74ADD688" w14:textId="77777777" w:rsidR="00204B5D" w:rsidRDefault="00000000">
            <w:r>
              <w:rPr>
                <w:rFonts w:ascii="Calibri" w:eastAsia="Calibri" w:hAnsi="Calibri" w:cs="Calibri"/>
                <w:color w:val="000000"/>
              </w:rPr>
              <w:t>Immunogenicity (ADA) and PK</w:t>
            </w:r>
          </w:p>
        </w:tc>
        <w:tc>
          <w:tcPr>
            <w:tcW w:w="1300" w:type="dxa"/>
          </w:tcPr>
          <w:p w14:paraId="4C0C0323" w14:textId="77777777" w:rsidR="00204B5D" w:rsidRDefault="00000000">
            <w:r>
              <w:rPr>
                <w:rFonts w:ascii="Calibri" w:eastAsia="Calibri" w:hAnsi="Calibri" w:cs="Calibri"/>
                <w:color w:val="000000"/>
              </w:rPr>
              <w:t>1:50</w:t>
            </w:r>
          </w:p>
        </w:tc>
        <w:tc>
          <w:tcPr>
            <w:tcW w:w="1300" w:type="dxa"/>
          </w:tcPr>
          <w:p w14:paraId="03E12691" w14:textId="77777777" w:rsidR="00204B5D" w:rsidRDefault="00000000">
            <w:r>
              <w:rPr>
                <w:rFonts w:ascii="Calibri" w:eastAsia="Calibri" w:hAnsi="Calibri" w:cs="Calibri"/>
                <w:color w:val="000000"/>
              </w:rPr>
              <w:t>25:50</w:t>
            </w:r>
          </w:p>
        </w:tc>
      </w:tr>
      <w:tr w:rsidR="00204B5D" w14:paraId="31CC4AC8" w14:textId="77777777">
        <w:tblPrEx>
          <w:tblCellMar>
            <w:top w:w="0" w:type="dxa"/>
            <w:bottom w:w="0" w:type="dxa"/>
          </w:tblCellMar>
        </w:tblPrEx>
        <w:tc>
          <w:tcPr>
            <w:tcW w:w="700" w:type="dxa"/>
          </w:tcPr>
          <w:p w14:paraId="31AF167D" w14:textId="77777777" w:rsidR="00204B5D" w:rsidRDefault="00000000">
            <w:r>
              <w:rPr>
                <w:rFonts w:ascii="Calibri" w:eastAsia="Calibri" w:hAnsi="Calibri" w:cs="Calibri"/>
                <w:color w:val="000000"/>
              </w:rPr>
              <w:t>18</w:t>
            </w:r>
          </w:p>
        </w:tc>
        <w:tc>
          <w:tcPr>
            <w:tcW w:w="5350" w:type="dxa"/>
          </w:tcPr>
          <w:p w14:paraId="24FE811E" w14:textId="77777777" w:rsidR="00204B5D" w:rsidRDefault="00000000">
            <w:r>
              <w:rPr>
                <w:rFonts w:ascii="Calibri" w:eastAsia="Calibri" w:hAnsi="Calibri" w:cs="Calibri"/>
                <w:color w:val="000000"/>
              </w:rPr>
              <w:t>Pharmacodynamic Marker: Soluble BCMA</w:t>
            </w:r>
          </w:p>
        </w:tc>
        <w:tc>
          <w:tcPr>
            <w:tcW w:w="1300" w:type="dxa"/>
          </w:tcPr>
          <w:p w14:paraId="52AC2F38" w14:textId="77777777" w:rsidR="00204B5D" w:rsidRDefault="00000000">
            <w:r>
              <w:rPr>
                <w:rFonts w:ascii="Calibri" w:eastAsia="Calibri" w:hAnsi="Calibri" w:cs="Calibri"/>
                <w:color w:val="000000"/>
              </w:rPr>
              <w:t>1:50</w:t>
            </w:r>
          </w:p>
        </w:tc>
        <w:tc>
          <w:tcPr>
            <w:tcW w:w="1300" w:type="dxa"/>
          </w:tcPr>
          <w:p w14:paraId="329C5096" w14:textId="77777777" w:rsidR="00204B5D" w:rsidRDefault="00000000">
            <w:r>
              <w:rPr>
                <w:rFonts w:ascii="Calibri" w:eastAsia="Calibri" w:hAnsi="Calibri" w:cs="Calibri"/>
                <w:color w:val="000000"/>
              </w:rPr>
              <w:t>27:40</w:t>
            </w:r>
          </w:p>
        </w:tc>
      </w:tr>
      <w:tr w:rsidR="00204B5D" w14:paraId="67D50478" w14:textId="77777777">
        <w:tblPrEx>
          <w:tblCellMar>
            <w:top w:w="0" w:type="dxa"/>
            <w:bottom w:w="0" w:type="dxa"/>
          </w:tblCellMar>
        </w:tblPrEx>
        <w:tc>
          <w:tcPr>
            <w:tcW w:w="700" w:type="dxa"/>
          </w:tcPr>
          <w:p w14:paraId="055DAEA8" w14:textId="77777777" w:rsidR="00204B5D" w:rsidRDefault="00000000">
            <w:r>
              <w:rPr>
                <w:rFonts w:ascii="Calibri" w:eastAsia="Calibri" w:hAnsi="Calibri" w:cs="Calibri"/>
                <w:color w:val="000000"/>
              </w:rPr>
              <w:t>19</w:t>
            </w:r>
          </w:p>
        </w:tc>
        <w:tc>
          <w:tcPr>
            <w:tcW w:w="5350" w:type="dxa"/>
          </w:tcPr>
          <w:p w14:paraId="760207E5" w14:textId="77777777" w:rsidR="00204B5D" w:rsidRDefault="00000000">
            <w:r>
              <w:rPr>
                <w:rFonts w:ascii="Calibri" w:eastAsia="Calibri" w:hAnsi="Calibri" w:cs="Calibri"/>
                <w:color w:val="000000"/>
              </w:rPr>
              <w:t>Challenges and Opportunities</w:t>
            </w:r>
          </w:p>
        </w:tc>
        <w:tc>
          <w:tcPr>
            <w:tcW w:w="1300" w:type="dxa"/>
          </w:tcPr>
          <w:p w14:paraId="46F5C41E" w14:textId="77777777" w:rsidR="00204B5D" w:rsidRDefault="00000000">
            <w:r>
              <w:rPr>
                <w:rFonts w:ascii="Calibri" w:eastAsia="Calibri" w:hAnsi="Calibri" w:cs="Calibri"/>
                <w:color w:val="000000"/>
              </w:rPr>
              <w:t>1:20</w:t>
            </w:r>
          </w:p>
        </w:tc>
        <w:tc>
          <w:tcPr>
            <w:tcW w:w="1300" w:type="dxa"/>
          </w:tcPr>
          <w:p w14:paraId="5D718A57" w14:textId="77777777" w:rsidR="00204B5D" w:rsidRDefault="00000000">
            <w:r>
              <w:rPr>
                <w:rFonts w:ascii="Calibri" w:eastAsia="Calibri" w:hAnsi="Calibri" w:cs="Calibri"/>
                <w:color w:val="000000"/>
              </w:rPr>
              <w:t>29:00</w:t>
            </w:r>
          </w:p>
        </w:tc>
      </w:tr>
      <w:tr w:rsidR="00204B5D" w14:paraId="65DC51E8" w14:textId="77777777">
        <w:tblPrEx>
          <w:tblCellMar>
            <w:top w:w="0" w:type="dxa"/>
            <w:bottom w:w="0" w:type="dxa"/>
          </w:tblCellMar>
        </w:tblPrEx>
        <w:tc>
          <w:tcPr>
            <w:tcW w:w="700" w:type="dxa"/>
          </w:tcPr>
          <w:p w14:paraId="721959C4" w14:textId="77777777" w:rsidR="00204B5D" w:rsidRDefault="00000000">
            <w:r>
              <w:rPr>
                <w:rFonts w:ascii="Calibri" w:eastAsia="Calibri" w:hAnsi="Calibri" w:cs="Calibri"/>
                <w:color w:val="000000"/>
              </w:rPr>
              <w:t>20</w:t>
            </w:r>
          </w:p>
        </w:tc>
        <w:tc>
          <w:tcPr>
            <w:tcW w:w="5350" w:type="dxa"/>
          </w:tcPr>
          <w:p w14:paraId="51959CCD" w14:textId="77777777" w:rsidR="00204B5D" w:rsidRDefault="00000000">
            <w:r>
              <w:rPr>
                <w:rFonts w:ascii="Calibri" w:eastAsia="Calibri" w:hAnsi="Calibri" w:cs="Calibri"/>
                <w:color w:val="000000"/>
              </w:rPr>
              <w:t>Case Study Summary / Close</w:t>
            </w:r>
          </w:p>
        </w:tc>
        <w:tc>
          <w:tcPr>
            <w:tcW w:w="1300" w:type="dxa"/>
          </w:tcPr>
          <w:p w14:paraId="73AD5430" w14:textId="77777777" w:rsidR="00204B5D" w:rsidRDefault="00000000">
            <w:r>
              <w:rPr>
                <w:rFonts w:ascii="Calibri" w:eastAsia="Calibri" w:hAnsi="Calibri" w:cs="Calibri"/>
                <w:color w:val="000000"/>
              </w:rPr>
              <w:t>1:00</w:t>
            </w:r>
          </w:p>
        </w:tc>
        <w:tc>
          <w:tcPr>
            <w:tcW w:w="1300" w:type="dxa"/>
          </w:tcPr>
          <w:p w14:paraId="5B83AEF8" w14:textId="77777777" w:rsidR="00204B5D" w:rsidRDefault="00000000">
            <w:r>
              <w:rPr>
                <w:rFonts w:ascii="Calibri" w:eastAsia="Calibri" w:hAnsi="Calibri" w:cs="Calibri"/>
                <w:color w:val="000000"/>
              </w:rPr>
              <w:t>30:00</w:t>
            </w:r>
          </w:p>
        </w:tc>
      </w:tr>
    </w:tbl>
    <w:p w14:paraId="503F2E1C" w14:textId="77777777" w:rsidR="00204B5D" w:rsidRDefault="00000000">
      <w:pPr>
        <w:spacing w:before="320" w:after="120"/>
      </w:pPr>
      <w:r>
        <w:rPr>
          <w:rFonts w:ascii="Calibri" w:eastAsia="Calibri" w:hAnsi="Calibri" w:cs="Calibri"/>
          <w:b/>
          <w:bCs/>
          <w:color w:val="1F3864"/>
          <w:sz w:val="26"/>
          <w:szCs w:val="26"/>
        </w:rPr>
        <w:t>Content Accuracy Notes</w:t>
      </w:r>
    </w:p>
    <w:p w14:paraId="22D8D98A" w14:textId="77777777" w:rsidR="00204B5D" w:rsidRDefault="00000000">
      <w:pPr>
        <w:spacing w:after="200" w:line="300" w:lineRule="auto"/>
      </w:pPr>
      <w:r>
        <w:rPr>
          <w:rFonts w:ascii="Calibri" w:eastAsia="Calibri" w:hAnsi="Calibri" w:cs="Calibri"/>
          <w:sz w:val="22"/>
          <w:szCs w:val="22"/>
        </w:rPr>
        <w:t>Before presenting, a few things worth knowing about the numbers in this deck and script:</w:t>
      </w:r>
    </w:p>
    <w:p w14:paraId="741E5627" w14:textId="77777777" w:rsidR="00204B5D" w:rsidRDefault="00000000">
      <w:pPr>
        <w:spacing w:after="200" w:line="280" w:lineRule="auto"/>
        <w:ind w:left="360"/>
      </w:pPr>
      <w:r>
        <w:rPr>
          <w:rFonts w:ascii="Calibri" w:eastAsia="Calibri" w:hAnsi="Calibri" w:cs="Calibri"/>
          <w:b/>
          <w:bCs/>
          <w:i/>
          <w:iCs/>
          <w:color w:val="B45F06"/>
          <w:sz w:val="21"/>
          <w:szCs w:val="21"/>
        </w:rPr>
        <w:t xml:space="preserve">Verify before you present: </w:t>
      </w:r>
      <w:r>
        <w:rPr>
          <w:rFonts w:ascii="Calibri" w:eastAsia="Calibri" w:hAnsi="Calibri" w:cs="Calibri"/>
          <w:i/>
          <w:iCs/>
          <w:color w:val="595959"/>
          <w:sz w:val="21"/>
          <w:szCs w:val="21"/>
        </w:rPr>
        <w:t>The CARTITUDE-1 case-study slide reports ORR 93.8%, CR-or-better (</w:t>
      </w:r>
      <w:proofErr w:type="spellStart"/>
      <w:r>
        <w:rPr>
          <w:rFonts w:ascii="Calibri" w:eastAsia="Calibri" w:hAnsi="Calibri" w:cs="Calibri"/>
          <w:i/>
          <w:iCs/>
          <w:color w:val="595959"/>
          <w:sz w:val="21"/>
          <w:szCs w:val="21"/>
        </w:rPr>
        <w:t>sCR+CR</w:t>
      </w:r>
      <w:proofErr w:type="spellEnd"/>
      <w:r>
        <w:rPr>
          <w:rFonts w:ascii="Calibri" w:eastAsia="Calibri" w:hAnsi="Calibri" w:cs="Calibri"/>
          <w:i/>
          <w:iCs/>
          <w:color w:val="595959"/>
          <w:sz w:val="21"/>
          <w:szCs w:val="21"/>
        </w:rPr>
        <w:t xml:space="preserve">) 76%, and a 30-month OS rate of 68%. These point estimates don't match the topline figures most commonly cited in the published literature (ORR ~98%, </w:t>
      </w:r>
      <w:proofErr w:type="spellStart"/>
      <w:r>
        <w:rPr>
          <w:rFonts w:ascii="Calibri" w:eastAsia="Calibri" w:hAnsi="Calibri" w:cs="Calibri"/>
          <w:i/>
          <w:iCs/>
          <w:color w:val="595959"/>
          <w:sz w:val="21"/>
          <w:szCs w:val="21"/>
        </w:rPr>
        <w:t>sCR</w:t>
      </w:r>
      <w:proofErr w:type="spellEnd"/>
      <w:r>
        <w:rPr>
          <w:rFonts w:ascii="Calibri" w:eastAsia="Calibri" w:hAnsi="Calibri" w:cs="Calibri"/>
          <w:i/>
          <w:iCs/>
          <w:color w:val="595959"/>
          <w:sz w:val="21"/>
          <w:szCs w:val="21"/>
        </w:rPr>
        <w:t xml:space="preserve"> ~80–83% at the 18- to 27-month data cuts) — they may reflect a specific interim analysis or a response-evaluable denominator different from the intention-to-treat (ITT) set (N=97) used in the primary and updated publications. The script below layers in the current 5-year (~61-month) follow-up as a </w:t>
      </w:r>
      <w:r>
        <w:rPr>
          <w:rFonts w:ascii="Calibri" w:eastAsia="Calibri" w:hAnsi="Calibri" w:cs="Calibri"/>
          <w:i/>
          <w:iCs/>
          <w:color w:val="595959"/>
          <w:sz w:val="21"/>
          <w:szCs w:val="21"/>
        </w:rPr>
        <w:lastRenderedPageBreak/>
        <w:t>supplementary reference; confirm the analysis population underlying the deck's figures before fielding a detailed efficacy question from someone who knows the trial's publication history.</w:t>
      </w:r>
    </w:p>
    <w:p w14:paraId="4ADBF9E6" w14:textId="77777777" w:rsidR="00204B5D" w:rsidRDefault="00000000">
      <w:pPr>
        <w:spacing w:after="200" w:line="280" w:lineRule="auto"/>
        <w:ind w:left="360"/>
      </w:pPr>
      <w:r>
        <w:rPr>
          <w:rFonts w:ascii="Calibri" w:eastAsia="Calibri" w:hAnsi="Calibri" w:cs="Calibri"/>
          <w:b/>
          <w:bCs/>
          <w:i/>
          <w:iCs/>
          <w:color w:val="B45F06"/>
          <w:sz w:val="21"/>
          <w:szCs w:val="21"/>
        </w:rPr>
        <w:t xml:space="preserve">Verify before you present: </w:t>
      </w:r>
      <w:r>
        <w:rPr>
          <w:rFonts w:ascii="Calibri" w:eastAsia="Calibri" w:hAnsi="Calibri" w:cs="Calibri"/>
          <w:i/>
          <w:iCs/>
          <w:color w:val="595959"/>
          <w:sz w:val="21"/>
          <w:szCs w:val="21"/>
        </w:rPr>
        <w:t xml:space="preserve">Similarly, the CARTITUDE-4 slide's ORR 99.4% / CR-or-better 86.4% carry 95% CIs (96.9–100.0% and 80.4–91.1%, respectively) consistent with a smaller, response-evaluable analysis set rather than the full ITT population (the slide separately lists N=208 randomized to </w:t>
      </w:r>
      <w:proofErr w:type="spellStart"/>
      <w:r>
        <w:rPr>
          <w:rFonts w:ascii="Calibri" w:eastAsia="Calibri" w:hAnsi="Calibri" w:cs="Calibri"/>
          <w:i/>
          <w:iCs/>
          <w:color w:val="595959"/>
          <w:sz w:val="21"/>
          <w:szCs w:val="21"/>
        </w:rPr>
        <w:t>cilta</w:t>
      </w:r>
      <w:proofErr w:type="spellEnd"/>
      <w:r>
        <w:rPr>
          <w:rFonts w:ascii="Calibri" w:eastAsia="Calibri" w:hAnsi="Calibri" w:cs="Calibri"/>
          <w:i/>
          <w:iCs/>
          <w:color w:val="595959"/>
          <w:sz w:val="21"/>
          <w:szCs w:val="21"/>
        </w:rPr>
        <w:t xml:space="preserve">-cel vs. N=176 who received the </w:t>
      </w:r>
      <w:proofErr w:type="spellStart"/>
      <w:r>
        <w:rPr>
          <w:rFonts w:ascii="Calibri" w:eastAsia="Calibri" w:hAnsi="Calibri" w:cs="Calibri"/>
          <w:i/>
          <w:iCs/>
          <w:color w:val="595959"/>
          <w:sz w:val="21"/>
          <w:szCs w:val="21"/>
        </w:rPr>
        <w:t>cilta</w:t>
      </w:r>
      <w:proofErr w:type="spellEnd"/>
      <w:r>
        <w:rPr>
          <w:rFonts w:ascii="Calibri" w:eastAsia="Calibri" w:hAnsi="Calibri" w:cs="Calibri"/>
          <w:i/>
          <w:iCs/>
          <w:color w:val="595959"/>
          <w:sz w:val="21"/>
          <w:szCs w:val="21"/>
        </w:rPr>
        <w:t>-cel infusion as study treatment) — the primary ITT analysis published in NEJM reports lower topline ORR/CR figures. Have both the ITT and evaluable-set numbers on hand for Q&amp;A.</w:t>
      </w:r>
    </w:p>
    <w:p w14:paraId="740EBD66" w14:textId="77777777" w:rsidR="00204B5D" w:rsidRDefault="00000000">
      <w:pPr>
        <w:spacing w:after="200" w:line="300" w:lineRule="auto"/>
      </w:pPr>
      <w:r>
        <w:rPr>
          <w:rFonts w:ascii="Calibri" w:eastAsia="Calibri" w:hAnsi="Calibri" w:cs="Calibri"/>
          <w:sz w:val="22"/>
          <w:szCs w:val="22"/>
        </w:rPr>
        <w:t>Corrected directly in the deck (nektar_deck_30min_v2.pptx): the CARTITUDE-4 standard-of-care (SOC) arm was labeled N=208; per the trial's actual 1:1 stratified randomization it is 208 (</w:t>
      </w:r>
      <w:proofErr w:type="spellStart"/>
      <w:r>
        <w:rPr>
          <w:rFonts w:ascii="Calibri" w:eastAsia="Calibri" w:hAnsi="Calibri" w:cs="Calibri"/>
          <w:sz w:val="22"/>
          <w:szCs w:val="22"/>
        </w:rPr>
        <w:t>cilta</w:t>
      </w:r>
      <w:proofErr w:type="spellEnd"/>
      <w:r>
        <w:rPr>
          <w:rFonts w:ascii="Calibri" w:eastAsia="Calibri" w:hAnsi="Calibri" w:cs="Calibri"/>
          <w:sz w:val="22"/>
          <w:szCs w:val="22"/>
        </w:rPr>
        <w:t>-cel) vs. 211 (</w:t>
      </w:r>
      <w:proofErr w:type="gramStart"/>
      <w:r>
        <w:rPr>
          <w:rFonts w:ascii="Calibri" w:eastAsia="Calibri" w:hAnsi="Calibri" w:cs="Calibri"/>
          <w:sz w:val="22"/>
          <w:szCs w:val="22"/>
        </w:rPr>
        <w:t>SOC) —</w:t>
      </w:r>
      <w:proofErr w:type="gramEnd"/>
      <w:r>
        <w:rPr>
          <w:rFonts w:ascii="Calibri" w:eastAsia="Calibri" w:hAnsi="Calibri" w:cs="Calibri"/>
          <w:sz w:val="22"/>
          <w:szCs w:val="22"/>
        </w:rPr>
        <w:t xml:space="preserve"> fixed on the CARTITUDE Studies slide.</w:t>
      </w:r>
    </w:p>
    <w:p w14:paraId="7484F1E1" w14:textId="77777777" w:rsidR="00204B5D" w:rsidRDefault="00000000">
      <w:pPr>
        <w:spacing w:after="200" w:line="300" w:lineRule="auto"/>
      </w:pPr>
      <w:r>
        <w:rPr>
          <w:rFonts w:ascii="Calibri" w:eastAsia="Calibri" w:hAnsi="Calibri" w:cs="Calibri"/>
          <w:sz w:val="22"/>
          <w:szCs w:val="22"/>
        </w:rPr>
        <w:t xml:space="preserve">All “Live update beyond the deck” callouts (the 7th FDA-approved CAR-T, CARVYKTI's 2024 earlier-line label expansion, the CARTITUDE-4 and CARTITUDE-1 long-term survival updates, </w:t>
      </w:r>
      <w:proofErr w:type="spellStart"/>
      <w:r>
        <w:rPr>
          <w:rFonts w:ascii="Calibri" w:eastAsia="Calibri" w:hAnsi="Calibri" w:cs="Calibri"/>
          <w:sz w:val="22"/>
          <w:szCs w:val="22"/>
        </w:rPr>
        <w:t>Aucatzyl's</w:t>
      </w:r>
      <w:proofErr w:type="spellEnd"/>
      <w:r>
        <w:rPr>
          <w:rFonts w:ascii="Calibri" w:eastAsia="Calibri" w:hAnsi="Calibri" w:cs="Calibri"/>
          <w:sz w:val="22"/>
          <w:szCs w:val="22"/>
        </w:rPr>
        <w:t xml:space="preserve"> REMS-exempt status) were cross-checked against at least two independent public sources. Everything else — ADA incidence/onset kinetics, </w:t>
      </w:r>
      <w:proofErr w:type="spellStart"/>
      <w:r>
        <w:rPr>
          <w:rFonts w:ascii="Calibri" w:eastAsia="Calibri" w:hAnsi="Calibri" w:cs="Calibri"/>
          <w:sz w:val="22"/>
          <w:szCs w:val="22"/>
        </w:rPr>
        <w:t>sBCMA</w:t>
      </w:r>
      <w:proofErr w:type="spellEnd"/>
      <w:r>
        <w:rPr>
          <w:rFonts w:ascii="Calibri" w:eastAsia="Calibri" w:hAnsi="Calibri" w:cs="Calibri"/>
          <w:sz w:val="22"/>
          <w:szCs w:val="22"/>
        </w:rPr>
        <w:t xml:space="preserve"> pharmacodynamic data, </w:t>
      </w:r>
      <w:proofErr w:type="spellStart"/>
      <w:r>
        <w:rPr>
          <w:rFonts w:ascii="Calibri" w:eastAsia="Calibri" w:hAnsi="Calibri" w:cs="Calibri"/>
          <w:sz w:val="22"/>
          <w:szCs w:val="22"/>
        </w:rPr>
        <w:t>PopPK</w:t>
      </w:r>
      <w:proofErr w:type="spellEnd"/>
      <w:r>
        <w:rPr>
          <w:rFonts w:ascii="Calibri" w:eastAsia="Calibri" w:hAnsi="Calibri" w:cs="Calibri"/>
          <w:sz w:val="22"/>
          <w:szCs w:val="22"/>
        </w:rPr>
        <w:t xml:space="preserve"> structural parameters, AE onset timing — derives from the deck's own internal analyses, which are not independently verifiable via public literature search; treat those as accurate to your source data unless your own records indicate otherwise.</w:t>
      </w:r>
    </w:p>
    <w:p w14:paraId="2B404072" w14:textId="77777777" w:rsidR="00204B5D" w:rsidRDefault="00000000">
      <w:r>
        <w:br w:type="page"/>
      </w:r>
    </w:p>
    <w:p w14:paraId="5AF52B0E" w14:textId="77777777" w:rsidR="00204B5D" w:rsidRDefault="00000000">
      <w:pPr>
        <w:shd w:val="clear" w:color="auto" w:fill="DCE6F1"/>
        <w:spacing w:before="360" w:after="80"/>
      </w:pPr>
      <w:r>
        <w:rPr>
          <w:rFonts w:ascii="Calibri" w:eastAsia="Calibri" w:hAnsi="Calibri" w:cs="Calibri"/>
          <w:b/>
          <w:bCs/>
          <w:color w:val="1F3864"/>
          <w:sz w:val="24"/>
          <w:szCs w:val="24"/>
        </w:rPr>
        <w:lastRenderedPageBreak/>
        <w:t>Slide 1 — Title</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0:00–0:25]</w:t>
      </w:r>
    </w:p>
    <w:p w14:paraId="0A81A988" w14:textId="77777777" w:rsidR="00204B5D" w:rsidRDefault="00000000">
      <w:pPr>
        <w:spacing w:after="200" w:line="300" w:lineRule="auto"/>
      </w:pPr>
      <w:r>
        <w:rPr>
          <w:rFonts w:ascii="Calibri" w:eastAsia="Calibri" w:hAnsi="Calibri" w:cs="Calibri"/>
          <w:sz w:val="22"/>
          <w:szCs w:val="22"/>
        </w:rPr>
        <w:t>Good [morning/</w:t>
      </w:r>
      <w:proofErr w:type="gramStart"/>
      <w:r>
        <w:rPr>
          <w:rFonts w:ascii="Calibri" w:eastAsia="Calibri" w:hAnsi="Calibri" w:cs="Calibri"/>
          <w:sz w:val="22"/>
          <w:szCs w:val="22"/>
        </w:rPr>
        <w:t>afternoon].</w:t>
      </w:r>
      <w:proofErr w:type="gramEnd"/>
      <w:r>
        <w:rPr>
          <w:rFonts w:ascii="Calibri" w:eastAsia="Calibri" w:hAnsi="Calibri" w:cs="Calibri"/>
          <w:sz w:val="22"/>
          <w:szCs w:val="22"/>
        </w:rPr>
        <w:t xml:space="preserve"> Thank you for the opportunity to present. I'm Tairan Yang, and this talk covers clinical pharmacology considerations in cell therapy development, using CARVYKTI (</w:t>
      </w:r>
      <w:proofErr w:type="spellStart"/>
      <w:r>
        <w:rPr>
          <w:rFonts w:ascii="Calibri" w:eastAsia="Calibri" w:hAnsi="Calibri" w:cs="Calibri"/>
          <w:sz w:val="22"/>
          <w:szCs w:val="22"/>
        </w:rPr>
        <w:t>ciltacabtagene</w:t>
      </w:r>
      <w:proofErr w:type="spellEnd"/>
      <w:r>
        <w:rPr>
          <w:rFonts w:ascii="Calibri" w:eastAsia="Calibri" w:hAnsi="Calibri" w:cs="Calibri"/>
          <w:sz w:val="22"/>
          <w:szCs w:val="22"/>
        </w:rPr>
        <w:t xml:space="preserve"> autoleucel) as a case study. We'll move from foundational cellular kinetics (CK) principles for CAR-T through </w:t>
      </w:r>
      <w:proofErr w:type="gramStart"/>
      <w:r>
        <w:rPr>
          <w:rFonts w:ascii="Calibri" w:eastAsia="Calibri" w:hAnsi="Calibri" w:cs="Calibri"/>
          <w:sz w:val="22"/>
          <w:szCs w:val="22"/>
        </w:rPr>
        <w:t>a detailed</w:t>
      </w:r>
      <w:proofErr w:type="gramEnd"/>
      <w:r>
        <w:rPr>
          <w:rFonts w:ascii="Calibri" w:eastAsia="Calibri" w:hAnsi="Calibri" w:cs="Calibri"/>
          <w:sz w:val="22"/>
          <w:szCs w:val="22"/>
        </w:rPr>
        <w:t xml:space="preserve"> exposure-response (E-R) and population PK (</w:t>
      </w:r>
      <w:proofErr w:type="spellStart"/>
      <w:r>
        <w:rPr>
          <w:rFonts w:ascii="Calibri" w:eastAsia="Calibri" w:hAnsi="Calibri" w:cs="Calibri"/>
          <w:sz w:val="22"/>
          <w:szCs w:val="22"/>
        </w:rPr>
        <w:t>popPK</w:t>
      </w:r>
      <w:proofErr w:type="spellEnd"/>
      <w:r>
        <w:rPr>
          <w:rFonts w:ascii="Calibri" w:eastAsia="Calibri" w:hAnsi="Calibri" w:cs="Calibri"/>
          <w:sz w:val="22"/>
          <w:szCs w:val="22"/>
        </w:rPr>
        <w:t>) analysis of the CARTITUDE-1 and CARTITUDE-4 trials.</w:t>
      </w:r>
    </w:p>
    <w:p w14:paraId="2B517A09" w14:textId="77777777" w:rsidR="00204B5D" w:rsidRDefault="00000000">
      <w:pPr>
        <w:shd w:val="clear" w:color="auto" w:fill="DCE6F1"/>
        <w:spacing w:before="360" w:after="80"/>
      </w:pPr>
      <w:r>
        <w:rPr>
          <w:rFonts w:ascii="Calibri" w:eastAsia="Calibri" w:hAnsi="Calibri" w:cs="Calibri"/>
          <w:b/>
          <w:bCs/>
          <w:color w:val="1F3864"/>
          <w:sz w:val="24"/>
          <w:szCs w:val="24"/>
        </w:rPr>
        <w:t>Slide 2 — Introduction</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0:25–1:55]</w:t>
      </w:r>
    </w:p>
    <w:p w14:paraId="6FC36483" w14:textId="77777777" w:rsidR="00204B5D" w:rsidRDefault="00000000">
      <w:pPr>
        <w:spacing w:after="200" w:line="300" w:lineRule="auto"/>
      </w:pPr>
      <w:r>
        <w:rPr>
          <w:rFonts w:ascii="Calibri" w:eastAsia="Calibri" w:hAnsi="Calibri" w:cs="Calibri"/>
          <w:sz w:val="22"/>
          <w:szCs w:val="22"/>
        </w:rPr>
        <w:t>Briefly, on background and disclosures relevant to this topic: I currently serve as Associate Director, Clinical Pharmacology and Pharmacometrics at Praxis Precision Medicines. Prior to that, I was a Principal Scientist in Quantitative Clinical Pharmacology at Legend Biotech — co-developer of CARVYKTI with Janssen — for approximately two and a half years, and before that at Genentech.</w:t>
      </w:r>
    </w:p>
    <w:p w14:paraId="35F3ED1A" w14:textId="77777777" w:rsidR="00204B5D" w:rsidRDefault="00000000">
      <w:pPr>
        <w:spacing w:after="200" w:line="300" w:lineRule="auto"/>
      </w:pPr>
      <w:r>
        <w:rPr>
          <w:rFonts w:ascii="Calibri" w:eastAsia="Calibri" w:hAnsi="Calibri" w:cs="Calibri"/>
          <w:sz w:val="22"/>
          <w:szCs w:val="22"/>
        </w:rPr>
        <w:t>My therapeutic-area experience spans immunology, oncology, hematology, and neurology, and my modality experience spans small molecules, monoclonal antibodies, and cell and gene therapies, including CAR-T and antisense oligonucleotide (ASO) programs. Training background: BS in Chemistry (University of British Columbia), MS in Chemistry and PharmD (University of Toronto), and MS in Computer Science (Georgia Tech) — the quantitative/computational component is directly relevant to the population modeling work presented today.</w:t>
      </w:r>
    </w:p>
    <w:p w14:paraId="69DBCD7E" w14:textId="77777777" w:rsidR="00204B5D" w:rsidRDefault="00000000">
      <w:pPr>
        <w:shd w:val="clear" w:color="auto" w:fill="DCE6F1"/>
        <w:spacing w:before="360" w:after="80"/>
      </w:pPr>
      <w:r>
        <w:rPr>
          <w:rFonts w:ascii="Calibri" w:eastAsia="Calibri" w:hAnsi="Calibri" w:cs="Calibri"/>
          <w:b/>
          <w:bCs/>
          <w:color w:val="1F3864"/>
          <w:sz w:val="24"/>
          <w:szCs w:val="24"/>
        </w:rPr>
        <w:t>Slide 3 — Outline</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1:55–2:40]</w:t>
      </w:r>
    </w:p>
    <w:p w14:paraId="30674CD1" w14:textId="77777777" w:rsidR="00204B5D" w:rsidRDefault="00000000">
      <w:pPr>
        <w:spacing w:after="200" w:line="300" w:lineRule="auto"/>
      </w:pPr>
      <w:r>
        <w:rPr>
          <w:rFonts w:ascii="Calibri" w:eastAsia="Calibri" w:hAnsi="Calibri" w:cs="Calibri"/>
          <w:sz w:val="22"/>
          <w:szCs w:val="22"/>
        </w:rPr>
        <w:t>The agenda is structured in three parts. First, CAR-T background — mechanism of action and the current US regulatory landscape of approved products. Second, a general clinical pharmacology framework for CAR-T as a modality: cellular kinetics, exposure-response, and modeling approaches. Third, an in-depth case study of CARVYKTI using CARTITUDE-1 and CARTITUDE-4 data — covering CK, exposure-response for both efficacy and safety endpoints, population PK modeling, immunogenicity assessment, and a candidate pharmacodynamic (PD) biomarker. We'll close with challenges and opportunities facing the field, then open for discussion.</w:t>
      </w:r>
    </w:p>
    <w:p w14:paraId="05FAB2F0" w14:textId="77777777" w:rsidR="00204B5D" w:rsidRDefault="00000000">
      <w:pPr>
        <w:shd w:val="clear" w:color="auto" w:fill="DCE6F1"/>
        <w:spacing w:before="360" w:after="80"/>
      </w:pPr>
      <w:r>
        <w:rPr>
          <w:rFonts w:ascii="Calibri" w:eastAsia="Calibri" w:hAnsi="Calibri" w:cs="Calibri"/>
          <w:b/>
          <w:bCs/>
          <w:color w:val="1F3864"/>
          <w:sz w:val="24"/>
          <w:szCs w:val="24"/>
        </w:rPr>
        <w:t>Slide 4 — Background – Mechanism of Action (</w:t>
      </w:r>
      <w:proofErr w:type="spellStart"/>
      <w:proofErr w:type="gramStart"/>
      <w:r>
        <w:rPr>
          <w:rFonts w:ascii="Calibri" w:eastAsia="Calibri" w:hAnsi="Calibri" w:cs="Calibri"/>
          <w:b/>
          <w:bCs/>
          <w:color w:val="1F3864"/>
          <w:sz w:val="24"/>
          <w:szCs w:val="24"/>
        </w:rPr>
        <w:t>MoA</w:t>
      </w:r>
      <w:proofErr w:type="spellEnd"/>
      <w:r>
        <w:rPr>
          <w:rFonts w:ascii="Calibri" w:eastAsia="Calibri" w:hAnsi="Calibri" w:cs="Calibri"/>
          <w:b/>
          <w:bCs/>
          <w:color w:val="1F3864"/>
          <w:sz w:val="24"/>
          <w:szCs w:val="24"/>
        </w:rPr>
        <w:t>)</w:t>
      </w:r>
      <w:r>
        <w:rPr>
          <w:rFonts w:ascii="Calibri" w:eastAsia="Calibri" w:hAnsi="Calibri" w:cs="Calibri"/>
          <w:b/>
          <w:bCs/>
          <w:color w:val="2E75B6"/>
        </w:rPr>
        <w:t xml:space="preserve">   </w:t>
      </w:r>
      <w:proofErr w:type="gramEnd"/>
      <w:r>
        <w:rPr>
          <w:rFonts w:ascii="Calibri" w:eastAsia="Calibri" w:hAnsi="Calibri" w:cs="Calibri"/>
          <w:b/>
          <w:bCs/>
          <w:color w:val="2E75B6"/>
        </w:rPr>
        <w:t>[2:40–4:00]</w:t>
      </w:r>
    </w:p>
    <w:p w14:paraId="7DAF5FD3" w14:textId="77777777" w:rsidR="00204B5D" w:rsidRDefault="00000000">
      <w:pPr>
        <w:spacing w:after="200" w:line="300" w:lineRule="auto"/>
      </w:pPr>
      <w:r>
        <w:rPr>
          <w:rFonts w:ascii="Calibri" w:eastAsia="Calibri" w:hAnsi="Calibri" w:cs="Calibri"/>
          <w:sz w:val="22"/>
          <w:szCs w:val="22"/>
        </w:rPr>
        <w:t>This slide summarizes the mechanism of action of a second-generation CAR-T construct. The chimeric antigen receptor comprises an extracellular antigen-binding domain (typically a single-chain variable fragment, scFv), a hinge/transmembrane domain, an intracellular costimulatory domain (CD28 or 4-1BB, depending on construct), and a CD3ζ signaling domain. On antigen engagement, ITAM-mediated signaling through CD3ζ and the costimulatory domain drives formation of an immunological synapse, T-cell activation, and clonal proliferation. Activated effector T-cells then release perforin and granzyme and secrete pro-inflammatory cytokines, executing target-cell cytolysis.</w:t>
      </w:r>
    </w:p>
    <w:p w14:paraId="4BFC1C29" w14:textId="77777777" w:rsidR="00204B5D" w:rsidRDefault="00000000">
      <w:pPr>
        <w:spacing w:after="200" w:line="300" w:lineRule="auto"/>
      </w:pPr>
      <w:r>
        <w:rPr>
          <w:rFonts w:ascii="Calibri" w:eastAsia="Calibri" w:hAnsi="Calibri" w:cs="Calibri"/>
          <w:sz w:val="22"/>
          <w:szCs w:val="22"/>
        </w:rPr>
        <w:t>This mechanistic backbone is conserved across currently approved CAR-T products; the differentiating variables are the target antigen, the costimulatory domain, and the manufacturing/vector platform — all of which can influence the cellular kinetic profile we'll discuss shortly.</w:t>
      </w:r>
    </w:p>
    <w:p w14:paraId="21D12A23" w14:textId="77777777" w:rsidR="00204B5D" w:rsidRDefault="00000000">
      <w:pPr>
        <w:shd w:val="clear" w:color="auto" w:fill="DCE6F1"/>
        <w:spacing w:before="360" w:after="80"/>
      </w:pPr>
      <w:r>
        <w:rPr>
          <w:rFonts w:ascii="Calibri" w:eastAsia="Calibri" w:hAnsi="Calibri" w:cs="Calibri"/>
          <w:b/>
          <w:bCs/>
          <w:color w:val="1F3864"/>
          <w:sz w:val="24"/>
          <w:szCs w:val="24"/>
        </w:rPr>
        <w:t>Slide 5 — US Approved Products</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4:00–5:15]</w:t>
      </w:r>
    </w:p>
    <w:p w14:paraId="704A4100" w14:textId="1A223F17" w:rsidR="00204B5D" w:rsidRDefault="00000000">
      <w:pPr>
        <w:spacing w:after="200" w:line="300" w:lineRule="auto"/>
      </w:pPr>
      <w:r>
        <w:rPr>
          <w:rFonts w:ascii="Calibri" w:eastAsia="Calibri" w:hAnsi="Calibri" w:cs="Calibri"/>
          <w:sz w:val="22"/>
          <w:szCs w:val="22"/>
        </w:rPr>
        <w:lastRenderedPageBreak/>
        <w:t>At the time this deck was developed, s</w:t>
      </w:r>
      <w:r w:rsidR="00354DB7">
        <w:rPr>
          <w:rFonts w:ascii="Calibri" w:eastAsia="Calibri" w:hAnsi="Calibri" w:cs="Calibri"/>
          <w:sz w:val="22"/>
          <w:szCs w:val="22"/>
        </w:rPr>
        <w:t>even</w:t>
      </w:r>
      <w:r>
        <w:rPr>
          <w:rFonts w:ascii="Calibri" w:eastAsia="Calibri" w:hAnsi="Calibri" w:cs="Calibri"/>
          <w:sz w:val="22"/>
          <w:szCs w:val="22"/>
        </w:rPr>
        <w:t xml:space="preserve"> autologous CAR-T products held US approval, directed against either CD19 (B-cell malignancies) or BCMA (multiple </w:t>
      </w:r>
      <w:proofErr w:type="gramStart"/>
      <w:r>
        <w:rPr>
          <w:rFonts w:ascii="Calibri" w:eastAsia="Calibri" w:hAnsi="Calibri" w:cs="Calibri"/>
          <w:sz w:val="22"/>
          <w:szCs w:val="22"/>
        </w:rPr>
        <w:t>myeloma) —</w:t>
      </w:r>
      <w:proofErr w:type="gramEnd"/>
      <w:r>
        <w:rPr>
          <w:rFonts w:ascii="Calibri" w:eastAsia="Calibri" w:hAnsi="Calibri" w:cs="Calibri"/>
          <w:sz w:val="22"/>
          <w:szCs w:val="22"/>
        </w:rPr>
        <w:t xml:space="preserve"> Kymriah, </w:t>
      </w:r>
      <w:proofErr w:type="spellStart"/>
      <w:r>
        <w:rPr>
          <w:rFonts w:ascii="Calibri" w:eastAsia="Calibri" w:hAnsi="Calibri" w:cs="Calibri"/>
          <w:sz w:val="22"/>
          <w:szCs w:val="22"/>
        </w:rPr>
        <w:t>Yescarta</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Tecartus</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Breyanzi</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Abecma</w:t>
      </w:r>
      <w:proofErr w:type="spellEnd"/>
      <w:r>
        <w:rPr>
          <w:rFonts w:ascii="Calibri" w:eastAsia="Calibri" w:hAnsi="Calibri" w:cs="Calibri"/>
          <w:sz w:val="22"/>
          <w:szCs w:val="22"/>
        </w:rPr>
        <w:t xml:space="preserve">, and </w:t>
      </w:r>
      <w:proofErr w:type="spellStart"/>
      <w:r>
        <w:rPr>
          <w:rFonts w:ascii="Calibri" w:eastAsia="Calibri" w:hAnsi="Calibri" w:cs="Calibri"/>
          <w:sz w:val="22"/>
          <w:szCs w:val="22"/>
        </w:rPr>
        <w:t>Carvykti</w:t>
      </w:r>
      <w:proofErr w:type="spellEnd"/>
      <w:r>
        <w:rPr>
          <w:rFonts w:ascii="Calibri" w:eastAsia="Calibri" w:hAnsi="Calibri" w:cs="Calibri"/>
          <w:sz w:val="22"/>
          <w:szCs w:val="22"/>
        </w:rPr>
        <w:t>. Note that dosing across this class is cell-based — expressed as CAR-positive viable T cells per kilogram or as total cell number, not on a mg/kg basis — which is the central reason the pharmacokinetic paradigm for this class departs so substantially from small-molecule or biologic PK.</w:t>
      </w:r>
    </w:p>
    <w:p w14:paraId="6BAC975B" w14:textId="77777777" w:rsidR="00204B5D" w:rsidRDefault="00000000">
      <w:pPr>
        <w:spacing w:after="200" w:line="280" w:lineRule="auto"/>
        <w:ind w:left="360"/>
      </w:pPr>
      <w:r>
        <w:rPr>
          <w:rFonts w:ascii="Calibri" w:eastAsia="Calibri" w:hAnsi="Calibri" w:cs="Calibri"/>
          <w:b/>
          <w:bCs/>
          <w:i/>
          <w:iCs/>
          <w:color w:val="2E75B6"/>
          <w:sz w:val="21"/>
          <w:szCs w:val="21"/>
        </w:rPr>
        <w:t xml:space="preserve">Live update beyond the deck: </w:t>
      </w:r>
      <w:r>
        <w:rPr>
          <w:rFonts w:ascii="Calibri" w:eastAsia="Calibri" w:hAnsi="Calibri" w:cs="Calibri"/>
          <w:i/>
          <w:iCs/>
          <w:color w:val="595959"/>
          <w:sz w:val="21"/>
          <w:szCs w:val="21"/>
        </w:rPr>
        <w:t xml:space="preserve">A seventh product has since been approved — </w:t>
      </w:r>
      <w:proofErr w:type="spellStart"/>
      <w:r>
        <w:rPr>
          <w:rFonts w:ascii="Calibri" w:eastAsia="Calibri" w:hAnsi="Calibri" w:cs="Calibri"/>
          <w:i/>
          <w:iCs/>
          <w:color w:val="595959"/>
          <w:sz w:val="21"/>
          <w:szCs w:val="21"/>
        </w:rPr>
        <w:t>Aucatzyl</w:t>
      </w:r>
      <w:proofErr w:type="spellEnd"/>
      <w:r>
        <w:rPr>
          <w:rFonts w:ascii="Calibri" w:eastAsia="Calibri" w:hAnsi="Calibri" w:cs="Calibri"/>
          <w:i/>
          <w:iCs/>
          <w:color w:val="595959"/>
          <w:sz w:val="21"/>
          <w:szCs w:val="21"/>
        </w:rPr>
        <w:t xml:space="preserve"> (</w:t>
      </w:r>
      <w:proofErr w:type="spellStart"/>
      <w:r>
        <w:rPr>
          <w:rFonts w:ascii="Calibri" w:eastAsia="Calibri" w:hAnsi="Calibri" w:cs="Calibri"/>
          <w:i/>
          <w:iCs/>
          <w:color w:val="595959"/>
          <w:sz w:val="21"/>
          <w:szCs w:val="21"/>
        </w:rPr>
        <w:t>obecabtagene</w:t>
      </w:r>
      <w:proofErr w:type="spellEnd"/>
      <w:r>
        <w:rPr>
          <w:rFonts w:ascii="Calibri" w:eastAsia="Calibri" w:hAnsi="Calibri" w:cs="Calibri"/>
          <w:i/>
          <w:iCs/>
          <w:color w:val="595959"/>
          <w:sz w:val="21"/>
          <w:szCs w:val="21"/>
        </w:rPr>
        <w:t xml:space="preserve"> autoleucel), approved November 2024 for relapsed/refractory B-cell precursor ALL based on the FELIX trial. It is notable as the first CAR-T approved without a mandatory REMS requirement, reflecting the maturing safety experience with this modality.</w:t>
      </w:r>
    </w:p>
    <w:p w14:paraId="57376FB9" w14:textId="77777777" w:rsidR="00204B5D" w:rsidRDefault="00000000">
      <w:pPr>
        <w:shd w:val="clear" w:color="auto" w:fill="DCE6F1"/>
        <w:spacing w:before="360" w:after="80"/>
      </w:pPr>
      <w:r>
        <w:rPr>
          <w:rFonts w:ascii="Calibri" w:eastAsia="Calibri" w:hAnsi="Calibri" w:cs="Calibri"/>
          <w:b/>
          <w:bCs/>
          <w:color w:val="1F3864"/>
          <w:sz w:val="24"/>
          <w:szCs w:val="24"/>
        </w:rPr>
        <w:t>Slide 6 — Pharmacokinetics (PK) of CAR-T Therapies</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5:15–7:15]</w:t>
      </w:r>
    </w:p>
    <w:p w14:paraId="04C5FB2E" w14:textId="77777777" w:rsidR="00204B5D" w:rsidRDefault="00000000">
      <w:pPr>
        <w:spacing w:after="200" w:line="300" w:lineRule="auto"/>
      </w:pPr>
      <w:r>
        <w:rPr>
          <w:rFonts w:ascii="Calibri" w:eastAsia="Calibri" w:hAnsi="Calibri" w:cs="Calibri"/>
          <w:sz w:val="22"/>
          <w:szCs w:val="22"/>
        </w:rPr>
        <w:t>For cell therapies, we generally use the term “cellular kinetics” (CK) rather than PK, since the active moiety is a proliferating, self-renewing cellular product rather than a static molecular entity — classical compartmental parameters such as clearance (CL) and volume of distribution (V) are not mechanistically interpretable here, which is why noncompartmental analysis (NCA) is the standard primary analysis approach for CK data. Conceptually, CK is described across four phases: margination/distribution — biodistribution of infused clones and phenotypes into circulation and tissue; expansion — antigen- and homeostatic-cytokine-driven clonal proliferation, which is the inverse of target-mediated drug disposition (TMDD) seen with monoclonal antibodies (there, target engagement increases clearance; here, target engagement increases the analyte itself, since the cells proliferate); contraction — effector cell attrition via activation-induced cell death; and persistence — differentiation of a subset into a memory T-cell phenotype (e.g., central memory/stem-cell memory) capable of long-term persistence and durable surveillance.</w:t>
      </w:r>
    </w:p>
    <w:p w14:paraId="3A41C790" w14:textId="77777777" w:rsidR="00204B5D" w:rsidRDefault="00000000">
      <w:pPr>
        <w:spacing w:after="200" w:line="300" w:lineRule="auto"/>
      </w:pPr>
      <w:r>
        <w:rPr>
          <w:rFonts w:ascii="Calibri" w:eastAsia="Calibri" w:hAnsi="Calibri" w:cs="Calibri"/>
          <w:sz w:val="22"/>
          <w:szCs w:val="22"/>
        </w:rPr>
        <w:t>This expansion–contraction–persistence structural framework recurs throughout the CARTITUDE dataset we'll review.</w:t>
      </w:r>
    </w:p>
    <w:p w14:paraId="0891AD77" w14:textId="77777777" w:rsidR="00204B5D" w:rsidRDefault="00000000">
      <w:pPr>
        <w:shd w:val="clear" w:color="auto" w:fill="DCE6F1"/>
        <w:spacing w:before="360" w:after="80"/>
      </w:pPr>
      <w:r>
        <w:rPr>
          <w:rFonts w:ascii="Calibri" w:eastAsia="Calibri" w:hAnsi="Calibri" w:cs="Calibri"/>
          <w:b/>
          <w:bCs/>
          <w:color w:val="1F3864"/>
          <w:sz w:val="24"/>
          <w:szCs w:val="24"/>
        </w:rPr>
        <w:t>Slide 7 — Dose-/Exposure-Response Relationship</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7:15–9:15]</w:t>
      </w:r>
    </w:p>
    <w:p w14:paraId="57B87303" w14:textId="77777777" w:rsidR="00204B5D" w:rsidRDefault="00000000">
      <w:pPr>
        <w:spacing w:after="200" w:line="300" w:lineRule="auto"/>
      </w:pPr>
      <w:r>
        <w:rPr>
          <w:rFonts w:ascii="Calibri" w:eastAsia="Calibri" w:hAnsi="Calibri" w:cs="Calibri"/>
          <w:sz w:val="22"/>
          <w:szCs w:val="22"/>
        </w:rPr>
        <w:t>Across approved CAR-T products, the general E-R pattern observed is that higher exposure metrics (</w:t>
      </w:r>
      <w:proofErr w:type="spellStart"/>
      <w:r>
        <w:rPr>
          <w:rFonts w:ascii="Calibri" w:eastAsia="Calibri" w:hAnsi="Calibri" w:cs="Calibri"/>
          <w:sz w:val="22"/>
          <w:szCs w:val="22"/>
        </w:rPr>
        <w:t>Cmax</w:t>
      </w:r>
      <w:proofErr w:type="spellEnd"/>
      <w:r>
        <w:rPr>
          <w:rFonts w:ascii="Calibri" w:eastAsia="Calibri" w:hAnsi="Calibri" w:cs="Calibri"/>
          <w:sz w:val="22"/>
          <w:szCs w:val="22"/>
        </w:rPr>
        <w:t xml:space="preserve">, AUC) combined with shorter </w:t>
      </w:r>
      <w:proofErr w:type="spellStart"/>
      <w:r>
        <w:rPr>
          <w:rFonts w:ascii="Calibri" w:eastAsia="Calibri" w:hAnsi="Calibri" w:cs="Calibri"/>
          <w:sz w:val="22"/>
          <w:szCs w:val="22"/>
        </w:rPr>
        <w:t>Tmax</w:t>
      </w:r>
      <w:proofErr w:type="spellEnd"/>
      <w:r>
        <w:rPr>
          <w:rFonts w:ascii="Calibri" w:eastAsia="Calibri" w:hAnsi="Calibri" w:cs="Calibri"/>
          <w:sz w:val="22"/>
          <w:szCs w:val="22"/>
        </w:rPr>
        <w:t xml:space="preserve"> and longer persistence </w:t>
      </w:r>
      <w:proofErr w:type="gramStart"/>
      <w:r>
        <w:rPr>
          <w:rFonts w:ascii="Calibri" w:eastAsia="Calibri" w:hAnsi="Calibri" w:cs="Calibri"/>
          <w:sz w:val="22"/>
          <w:szCs w:val="22"/>
        </w:rPr>
        <w:t>associate</w:t>
      </w:r>
      <w:proofErr w:type="gramEnd"/>
      <w:r>
        <w:rPr>
          <w:rFonts w:ascii="Calibri" w:eastAsia="Calibri" w:hAnsi="Calibri" w:cs="Calibri"/>
          <w:sz w:val="22"/>
          <w:szCs w:val="22"/>
        </w:rPr>
        <w:t xml:space="preserve"> with improved efficacy endpoints — ORR, depth of response, and PFS. On the safety side, patients experiencing higher-grade CRS or neurologic events (by ASTCT consensus grading) also tend to show higher exposure — the TECARTUS and YESCARTA data shown here illustrate this pattern within their respective indications.</w:t>
      </w:r>
    </w:p>
    <w:p w14:paraId="5A21308D" w14:textId="77777777" w:rsidR="00204B5D" w:rsidRDefault="00000000">
      <w:pPr>
        <w:spacing w:after="200" w:line="300" w:lineRule="auto"/>
      </w:pPr>
      <w:r>
        <w:rPr>
          <w:rFonts w:ascii="Calibri" w:eastAsia="Calibri" w:hAnsi="Calibri" w:cs="Calibri"/>
          <w:sz w:val="22"/>
          <w:szCs w:val="22"/>
        </w:rPr>
        <w:t>The important nuance, which recurs throughout this talk, is that a monotonic dose-exposure relationship is considerably harder to establish than the exposure-response relationship itself — dose and resulting exposure are only loosely coupled for CAR-T because expansion is driven predominantly by in vivo proliferation, which carries substantial inter-subject variability (ISV) independent of the administered cell number. Operationally, the class is managed with REMS-mandated prescriber/site certification, patient education, inpatient or close outpatient monitoring for a minimum of four weeks post-infusion, and tocilizumab/corticosteroid-based management algorithms for CRS.</w:t>
      </w:r>
    </w:p>
    <w:p w14:paraId="465071BB" w14:textId="77777777" w:rsidR="00204B5D" w:rsidRDefault="00000000">
      <w:pPr>
        <w:shd w:val="clear" w:color="auto" w:fill="DCE6F1"/>
        <w:spacing w:before="360" w:after="80"/>
      </w:pPr>
      <w:r>
        <w:rPr>
          <w:rFonts w:ascii="Calibri" w:eastAsia="Calibri" w:hAnsi="Calibri" w:cs="Calibri"/>
          <w:b/>
          <w:bCs/>
          <w:color w:val="1F3864"/>
          <w:sz w:val="24"/>
          <w:szCs w:val="24"/>
        </w:rPr>
        <w:lastRenderedPageBreak/>
        <w:t>Slide 8 — Modeling Approaches for CAR-T</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9:15–10:30]</w:t>
      </w:r>
    </w:p>
    <w:p w14:paraId="1727EAFA" w14:textId="77777777" w:rsidR="00204B5D" w:rsidRDefault="00000000">
      <w:pPr>
        <w:spacing w:after="200" w:line="300" w:lineRule="auto"/>
      </w:pPr>
      <w:r>
        <w:rPr>
          <w:rFonts w:ascii="Calibri" w:eastAsia="Calibri" w:hAnsi="Calibri" w:cs="Calibri"/>
          <w:sz w:val="22"/>
          <w:szCs w:val="22"/>
        </w:rPr>
        <w:t>Modeling approaches for this class span a spectrum from purely empirical structural models to fully mechanistic quantitative systems pharmacology (QSP) frameworks incorporating multiple T-cell subsets and physiological tissue compartments. The rationale for mechanistic modeling: it integrates longitudinal, sparse, and multimodal data into a coherent structural model; supports in silico hypothesis testing in lieu of additional clinical studies; enables reverse translation from clinical to preclinical settings; supports earlier go/no-go and candidate prioritization decisions; and informs dose/schedule selection for combination regimens — all core tenets of model-informed drug development (MIDD).</w:t>
      </w:r>
    </w:p>
    <w:p w14:paraId="716E3CB4" w14:textId="77777777" w:rsidR="00204B5D" w:rsidRDefault="00000000">
      <w:pPr>
        <w:spacing w:after="200" w:line="300" w:lineRule="auto"/>
      </w:pPr>
      <w:r>
        <w:rPr>
          <w:rFonts w:ascii="Calibri" w:eastAsia="Calibri" w:hAnsi="Calibri" w:cs="Calibri"/>
          <w:sz w:val="22"/>
          <w:szCs w:val="22"/>
        </w:rPr>
        <w:t xml:space="preserve">From a practical standpoint, a fit-for-purpose CAR-T model needs to reproduce the multi-phasic expansion–contraction–persistence structural </w:t>
      </w:r>
      <w:proofErr w:type="gramStart"/>
      <w:r>
        <w:rPr>
          <w:rFonts w:ascii="Calibri" w:eastAsia="Calibri" w:hAnsi="Calibri" w:cs="Calibri"/>
          <w:sz w:val="22"/>
          <w:szCs w:val="22"/>
        </w:rPr>
        <w:t>profile, and</w:t>
      </w:r>
      <w:proofErr w:type="gramEnd"/>
      <w:r>
        <w:rPr>
          <w:rFonts w:ascii="Calibri" w:eastAsia="Calibri" w:hAnsi="Calibri" w:cs="Calibri"/>
          <w:sz w:val="22"/>
          <w:szCs w:val="22"/>
        </w:rPr>
        <w:t xml:space="preserve"> ideally support covariate evaluation of intrinsic and extrinsic factors — including CRS-directed interventions such as tocilizumab — as time-varying covariates on the underlying exposure-response relationship.</w:t>
      </w:r>
    </w:p>
    <w:p w14:paraId="2D1BB4F6" w14:textId="77777777" w:rsidR="00204B5D" w:rsidRDefault="00000000">
      <w:pPr>
        <w:shd w:val="clear" w:color="auto" w:fill="DCE6F1"/>
        <w:spacing w:before="360" w:after="80"/>
      </w:pPr>
      <w:r>
        <w:rPr>
          <w:rFonts w:ascii="Calibri" w:eastAsia="Calibri" w:hAnsi="Calibri" w:cs="Calibri"/>
          <w:b/>
          <w:bCs/>
          <w:color w:val="1F3864"/>
          <w:sz w:val="24"/>
          <w:szCs w:val="24"/>
        </w:rPr>
        <w:t>Slide 9 — Summary of CAR T-cell Characteristics</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10:30–11:30]</w:t>
      </w:r>
    </w:p>
    <w:p w14:paraId="1AFA06AE" w14:textId="77777777" w:rsidR="00204B5D" w:rsidRDefault="00000000">
      <w:pPr>
        <w:spacing w:after="200" w:line="300" w:lineRule="auto"/>
      </w:pPr>
      <w:r>
        <w:rPr>
          <w:rFonts w:ascii="Calibri" w:eastAsia="Calibri" w:hAnsi="Calibri" w:cs="Calibri"/>
          <w:sz w:val="22"/>
          <w:szCs w:val="22"/>
        </w:rPr>
        <w:t xml:space="preserve">To consolidate before moving into the case study: the mechanistic and cellular-kinetic profile of CAR-T is fundamentally distinct from small-molecule or biologic PK, given the proliferative, self-renewing nature of the drug product. Dose-exposure relationships are inconsistent, driven largely by high ISV in expansion; exposure-response relationships for both efficacy and safety endpoints are, however, generally demonstrable. Forward-looking priorities for the field include mechanism-based PK/PD modeling, more rigorous quantitative E-R characterization, and improved preclinical-to-clinical translational bridging. Before turning to the case study itself, it's worth grounding this framework in how FDA </w:t>
      </w:r>
      <w:proofErr w:type="gramStart"/>
      <w:r>
        <w:rPr>
          <w:rFonts w:ascii="Calibri" w:eastAsia="Calibri" w:hAnsi="Calibri" w:cs="Calibri"/>
          <w:sz w:val="22"/>
          <w:szCs w:val="22"/>
        </w:rPr>
        <w:t>actually expects</w:t>
      </w:r>
      <w:proofErr w:type="gramEnd"/>
      <w:r>
        <w:rPr>
          <w:rFonts w:ascii="Calibri" w:eastAsia="Calibri" w:hAnsi="Calibri" w:cs="Calibri"/>
          <w:sz w:val="22"/>
          <w:szCs w:val="22"/>
        </w:rPr>
        <w:t xml:space="preserve"> sponsors to move from preclinical data to a justified first-in-human dose — which is exactly what CARTITUDE-1 had to do for </w:t>
      </w:r>
      <w:proofErr w:type="spellStart"/>
      <w:r>
        <w:rPr>
          <w:rFonts w:ascii="Calibri" w:eastAsia="Calibri" w:hAnsi="Calibri" w:cs="Calibri"/>
          <w:sz w:val="22"/>
          <w:szCs w:val="22"/>
        </w:rPr>
        <w:t>cilta</w:t>
      </w:r>
      <w:proofErr w:type="spellEnd"/>
      <w:r>
        <w:rPr>
          <w:rFonts w:ascii="Calibri" w:eastAsia="Calibri" w:hAnsi="Calibri" w:cs="Calibri"/>
          <w:sz w:val="22"/>
          <w:szCs w:val="22"/>
        </w:rPr>
        <w:t>-cel.</w:t>
      </w:r>
    </w:p>
    <w:p w14:paraId="04DEF55D" w14:textId="77777777" w:rsidR="00204B5D" w:rsidRDefault="00000000">
      <w:pPr>
        <w:shd w:val="clear" w:color="auto" w:fill="DCE6F1"/>
        <w:spacing w:before="360" w:after="80"/>
      </w:pPr>
      <w:r>
        <w:rPr>
          <w:rFonts w:ascii="Calibri" w:eastAsia="Calibri" w:hAnsi="Calibri" w:cs="Calibri"/>
          <w:b/>
          <w:bCs/>
          <w:color w:val="1F3864"/>
          <w:sz w:val="24"/>
          <w:szCs w:val="24"/>
        </w:rPr>
        <w:t>Slide 10 — FDA Guidance: FIH Dose Selection &amp; Preclinical PK/PD Translation</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11:30–13:30]</w:t>
      </w:r>
    </w:p>
    <w:p w14:paraId="7877B471" w14:textId="77777777" w:rsidR="00204B5D" w:rsidRDefault="00000000">
      <w:pPr>
        <w:spacing w:after="200" w:line="300" w:lineRule="auto"/>
      </w:pPr>
      <w:r>
        <w:rPr>
          <w:rFonts w:ascii="Calibri" w:eastAsia="Calibri" w:hAnsi="Calibri" w:cs="Calibri"/>
          <w:sz w:val="22"/>
          <w:szCs w:val="22"/>
        </w:rPr>
        <w:t>This slide summarizes FDA/CBER's final guidance for industry, “Considerations for the Development of Chimeric Antigen Receptor (CAR) T Cell Products” (January 2024) — specifically Section V (Nonclinical Recommendations) and Section VI.B–C (Treatment Plan and Clinical Pharmacology Considerations), which together frame how preclinical PK/PD data is expected to inform first-in-human (FIH) dose selection for this modality.</w:t>
      </w:r>
    </w:p>
    <w:p w14:paraId="23525414" w14:textId="77777777" w:rsidR="00204B5D" w:rsidRDefault="00000000">
      <w:pPr>
        <w:spacing w:after="200" w:line="300" w:lineRule="auto"/>
      </w:pPr>
      <w:r>
        <w:rPr>
          <w:rFonts w:ascii="Calibri" w:eastAsia="Calibri" w:hAnsi="Calibri" w:cs="Calibri"/>
          <w:sz w:val="22"/>
          <w:szCs w:val="22"/>
        </w:rPr>
        <w:t xml:space="preserve">On the nonclinical side, the guidance is </w:t>
      </w:r>
      <w:proofErr w:type="gramStart"/>
      <w:r>
        <w:rPr>
          <w:rFonts w:ascii="Calibri" w:eastAsia="Calibri" w:hAnsi="Calibri" w:cs="Calibri"/>
          <w:sz w:val="22"/>
          <w:szCs w:val="22"/>
        </w:rPr>
        <w:t>explicit that</w:t>
      </w:r>
      <w:proofErr w:type="gramEnd"/>
      <w:r>
        <w:rPr>
          <w:rFonts w:ascii="Calibri" w:eastAsia="Calibri" w:hAnsi="Calibri" w:cs="Calibri"/>
          <w:sz w:val="22"/>
          <w:szCs w:val="22"/>
        </w:rPr>
        <w:t xml:space="preserve"> because CAR-T cells are expected to expand in vivo to a highly variable, patient-specific degree, selection of a starting dose is often not determined based solely on animal studies. In vitro and in vivo characterization of effector-to-target ratio, cell-expansion kinetics, and PK/PD anti-tumor response can be informative to guide dose selection, but FDA states that previous clinical experience with similar CAR-T constructs — even for a different indication — often carries more practical weight in justifying the starting dose, with the caveat that in vivo behavior can differ by disease, antigen load, study population, and construct, so cross-program extrapolation should be done cautiously. The choice of lymphodepletion regimen is also called out explicitly as an influence on CAR-T proliferation that should factor into dose selection.</w:t>
      </w:r>
    </w:p>
    <w:p w14:paraId="28705504" w14:textId="77777777" w:rsidR="00204B5D" w:rsidRDefault="00000000">
      <w:pPr>
        <w:spacing w:after="200" w:line="300" w:lineRule="auto"/>
      </w:pPr>
      <w:r>
        <w:rPr>
          <w:rFonts w:ascii="Calibri" w:eastAsia="Calibri" w:hAnsi="Calibri" w:cs="Calibri"/>
          <w:sz w:val="22"/>
          <w:szCs w:val="22"/>
        </w:rPr>
        <w:lastRenderedPageBreak/>
        <w:t>On dose selection mechanics (Section VI.B.1): FDA recommends dose levels be based on the number of viable transduced CAR-positive T cells — not total cell number — since transduction efficiency varies lot to lot and can meaningfully change the active dose delivered even at a fixed total cell count; flat dosing or weight-/BSA-based dosing are both acceptable with justification. On escalation: half-log, roughly three-fold increments have been the historical norm, dose-limiting toxicity (DLT) definitions must explicitly address CRS, and — because a given dose can be considerably more toxic in a patient with higher tumor burden — single-patient cohorts and intra-patient dose escalation are not considered suitable designs for FIH CAR-T; continual reassessment methods, and Bayesian designs such as BOIN, are acceptable alternatives to a standard 3+3 with appropriate justification, and staggered enrollment within and between cohorts is expected.</w:t>
      </w:r>
    </w:p>
    <w:p w14:paraId="787A3472" w14:textId="77777777" w:rsidR="00204B5D" w:rsidRDefault="00000000">
      <w:pPr>
        <w:spacing w:after="200" w:line="300" w:lineRule="auto"/>
      </w:pPr>
      <w:r>
        <w:rPr>
          <w:rFonts w:ascii="Calibri" w:eastAsia="Calibri" w:hAnsi="Calibri" w:cs="Calibri"/>
          <w:sz w:val="22"/>
          <w:szCs w:val="22"/>
        </w:rPr>
        <w:t xml:space="preserve">Section VI.C then lays out the clinical pharmacology package FDA expects once a subject is dosed: for PK (“cellular kinetics”), conventional ADME concepts don't apply to a proliferating cellular product, so the guidance recommends </w:t>
      </w:r>
      <w:proofErr w:type="spellStart"/>
      <w:r>
        <w:rPr>
          <w:rFonts w:ascii="Calibri" w:eastAsia="Calibri" w:hAnsi="Calibri" w:cs="Calibri"/>
          <w:sz w:val="22"/>
          <w:szCs w:val="22"/>
        </w:rPr>
        <w:t>Cmax</w:t>
      </w:r>
      <w:proofErr w:type="spellEnd"/>
      <w:r>
        <w:rPr>
          <w:rFonts w:ascii="Calibri" w:eastAsia="Calibri" w:hAnsi="Calibri" w:cs="Calibri"/>
          <w:sz w:val="22"/>
          <w:szCs w:val="22"/>
        </w:rPr>
        <w:t xml:space="preserve">, </w:t>
      </w:r>
      <w:proofErr w:type="spellStart"/>
      <w:r>
        <w:rPr>
          <w:rFonts w:ascii="Calibri" w:eastAsia="Calibri" w:hAnsi="Calibri" w:cs="Calibri"/>
          <w:sz w:val="22"/>
          <w:szCs w:val="22"/>
        </w:rPr>
        <w:t>Tmax</w:t>
      </w:r>
      <w:proofErr w:type="spellEnd"/>
      <w:r>
        <w:rPr>
          <w:rFonts w:ascii="Calibri" w:eastAsia="Calibri" w:hAnsi="Calibri" w:cs="Calibri"/>
          <w:sz w:val="22"/>
          <w:szCs w:val="22"/>
        </w:rPr>
        <w:t xml:space="preserve">, partial AUC, and Clast as the primary exposure metrics, correlated against patient-, product-, and concomitant-therapy-related covariates. For PD, biomarker selection should be driven by the construct's mechanism of action and anticipated duration of response. For immunogenicity, both humoral and cellular </w:t>
      </w:r>
      <w:proofErr w:type="gramStart"/>
      <w:r>
        <w:rPr>
          <w:rFonts w:ascii="Calibri" w:eastAsia="Calibri" w:hAnsi="Calibri" w:cs="Calibri"/>
          <w:sz w:val="22"/>
          <w:szCs w:val="22"/>
        </w:rPr>
        <w:t>assays</w:t>
      </w:r>
      <w:proofErr w:type="gramEnd"/>
      <w:r>
        <w:rPr>
          <w:rFonts w:ascii="Calibri" w:eastAsia="Calibri" w:hAnsi="Calibri" w:cs="Calibri"/>
          <w:sz w:val="22"/>
          <w:szCs w:val="22"/>
        </w:rPr>
        <w:t xml:space="preserve"> against the CAR construct are recommended, evaluated against patient- and product-related risk factors.</w:t>
      </w:r>
    </w:p>
    <w:p w14:paraId="033AE9E3" w14:textId="77777777" w:rsidR="00204B5D" w:rsidRDefault="00000000">
      <w:pPr>
        <w:spacing w:after="200" w:line="300" w:lineRule="auto"/>
      </w:pPr>
      <w:r>
        <w:rPr>
          <w:rFonts w:ascii="Calibri" w:eastAsia="Calibri" w:hAnsi="Calibri" w:cs="Calibri"/>
          <w:sz w:val="22"/>
          <w:szCs w:val="22"/>
        </w:rPr>
        <w:t xml:space="preserve">This is precisely the analytic scaffold — CK metrics, exposure-response, and a tiered immunogenicity assessment — that CARTITUDE-1 and CARTITUDE-4 generated for </w:t>
      </w:r>
      <w:proofErr w:type="spellStart"/>
      <w:r>
        <w:rPr>
          <w:rFonts w:ascii="Calibri" w:eastAsia="Calibri" w:hAnsi="Calibri" w:cs="Calibri"/>
          <w:sz w:val="22"/>
          <w:szCs w:val="22"/>
        </w:rPr>
        <w:t>cilta</w:t>
      </w:r>
      <w:proofErr w:type="spellEnd"/>
      <w:r>
        <w:rPr>
          <w:rFonts w:ascii="Calibri" w:eastAsia="Calibri" w:hAnsi="Calibri" w:cs="Calibri"/>
          <w:sz w:val="22"/>
          <w:szCs w:val="22"/>
        </w:rPr>
        <w:t>-cel, and it's the direct regulatory rationale for why the FIH dose range tested (0.5–1.0×10⁶ CAR-positive viable T cells/kg) was set narrowly around prior BCMA/CD19 CAR-T class experience rather than derived from a wide preclinical dose-ranging study.</w:t>
      </w:r>
    </w:p>
    <w:p w14:paraId="062B4F4F" w14:textId="77777777" w:rsidR="00204B5D" w:rsidRDefault="00000000">
      <w:pPr>
        <w:shd w:val="clear" w:color="auto" w:fill="DCE6F1"/>
        <w:spacing w:before="360" w:after="80"/>
      </w:pPr>
      <w:r>
        <w:rPr>
          <w:rFonts w:ascii="Calibri" w:eastAsia="Calibri" w:hAnsi="Calibri" w:cs="Calibri"/>
          <w:b/>
          <w:bCs/>
          <w:color w:val="1F3864"/>
          <w:sz w:val="24"/>
          <w:szCs w:val="24"/>
        </w:rPr>
        <w:t>Slide 11 — CARTITUDE Studies: CART-1 and CART-4</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13:30–16:00]</w:t>
      </w:r>
    </w:p>
    <w:p w14:paraId="468E32C3" w14:textId="77777777" w:rsidR="00204B5D" w:rsidRDefault="00000000">
      <w:pPr>
        <w:spacing w:after="200" w:line="300" w:lineRule="auto"/>
      </w:pPr>
      <w:r>
        <w:rPr>
          <w:rFonts w:ascii="Calibri" w:eastAsia="Calibri" w:hAnsi="Calibri" w:cs="Calibri"/>
          <w:sz w:val="22"/>
          <w:szCs w:val="22"/>
        </w:rPr>
        <w:t xml:space="preserve">CARVYKTI — </w:t>
      </w:r>
      <w:proofErr w:type="spellStart"/>
      <w:r>
        <w:rPr>
          <w:rFonts w:ascii="Calibri" w:eastAsia="Calibri" w:hAnsi="Calibri" w:cs="Calibri"/>
          <w:sz w:val="22"/>
          <w:szCs w:val="22"/>
        </w:rPr>
        <w:t>ciltacabtagene</w:t>
      </w:r>
      <w:proofErr w:type="spellEnd"/>
      <w:r>
        <w:rPr>
          <w:rFonts w:ascii="Calibri" w:eastAsia="Calibri" w:hAnsi="Calibri" w:cs="Calibri"/>
          <w:sz w:val="22"/>
          <w:szCs w:val="22"/>
        </w:rPr>
        <w:t xml:space="preserve"> autoleucel (</w:t>
      </w:r>
      <w:proofErr w:type="spellStart"/>
      <w:r>
        <w:rPr>
          <w:rFonts w:ascii="Calibri" w:eastAsia="Calibri" w:hAnsi="Calibri" w:cs="Calibri"/>
          <w:sz w:val="22"/>
          <w:szCs w:val="22"/>
        </w:rPr>
        <w:t>cilta</w:t>
      </w:r>
      <w:proofErr w:type="spellEnd"/>
      <w:r>
        <w:rPr>
          <w:rFonts w:ascii="Calibri" w:eastAsia="Calibri" w:hAnsi="Calibri" w:cs="Calibri"/>
          <w:sz w:val="22"/>
          <w:szCs w:val="22"/>
        </w:rPr>
        <w:t>-cel) — is a BCMA-directed autologous CAR-T therapy for relapsed/refractory multiple myeloma, co-developed by Legend Biotech and Janssen. The clinical program is anchored by two pivotal trials.</w:t>
      </w:r>
    </w:p>
    <w:p w14:paraId="583E41FD" w14:textId="77777777" w:rsidR="00204B5D" w:rsidRDefault="00000000">
      <w:pPr>
        <w:spacing w:after="200" w:line="300" w:lineRule="auto"/>
      </w:pPr>
      <w:r>
        <w:rPr>
          <w:rFonts w:ascii="Calibri" w:eastAsia="Calibri" w:hAnsi="Calibri" w:cs="Calibri"/>
          <w:sz w:val="22"/>
          <w:szCs w:val="22"/>
        </w:rPr>
        <w:t>CARTITUDE-1 (MMY2001) was the phase 1b/2, open-label, single-arm proof-of-concept study — N=97, patients with ≥3 prior lines of therapy including a proteasome inhibitor (PI) and an immunomodulatory drug (</w:t>
      </w:r>
      <w:proofErr w:type="spellStart"/>
      <w:r>
        <w:rPr>
          <w:rFonts w:ascii="Calibri" w:eastAsia="Calibri" w:hAnsi="Calibri" w:cs="Calibri"/>
          <w:sz w:val="22"/>
          <w:szCs w:val="22"/>
        </w:rPr>
        <w:t>IMiD</w:t>
      </w:r>
      <w:proofErr w:type="spellEnd"/>
      <w:r>
        <w:rPr>
          <w:rFonts w:ascii="Calibri" w:eastAsia="Calibri" w:hAnsi="Calibri" w:cs="Calibri"/>
          <w:sz w:val="22"/>
          <w:szCs w:val="22"/>
        </w:rPr>
        <w:t>), each receiving a single infusion at a target dose of 0.75×10⁶ CAR-positive viable T cells/kg (range 0.5–1.0×10⁶/kg). Per the slide: ORR 93.8%, CR-or-better (</w:t>
      </w:r>
      <w:proofErr w:type="spellStart"/>
      <w:r>
        <w:rPr>
          <w:rFonts w:ascii="Calibri" w:eastAsia="Calibri" w:hAnsi="Calibri" w:cs="Calibri"/>
          <w:sz w:val="22"/>
          <w:szCs w:val="22"/>
        </w:rPr>
        <w:t>sCR+CR</w:t>
      </w:r>
      <w:proofErr w:type="spellEnd"/>
      <w:r>
        <w:rPr>
          <w:rFonts w:ascii="Calibri" w:eastAsia="Calibri" w:hAnsi="Calibri" w:cs="Calibri"/>
          <w:sz w:val="22"/>
          <w:szCs w:val="22"/>
        </w:rPr>
        <w:t>) 76%, and a 30-month OS rate of 68%.</w:t>
      </w:r>
    </w:p>
    <w:p w14:paraId="67766BB0" w14:textId="77777777" w:rsidR="00204B5D" w:rsidRDefault="00000000">
      <w:pPr>
        <w:spacing w:after="200" w:line="280" w:lineRule="auto"/>
        <w:ind w:left="360"/>
      </w:pPr>
      <w:r>
        <w:rPr>
          <w:rFonts w:ascii="Calibri" w:eastAsia="Calibri" w:hAnsi="Calibri" w:cs="Calibri"/>
          <w:b/>
          <w:bCs/>
          <w:i/>
          <w:iCs/>
          <w:color w:val="2E75B6"/>
          <w:sz w:val="21"/>
          <w:szCs w:val="21"/>
        </w:rPr>
        <w:t xml:space="preserve">Live update beyond the deck: </w:t>
      </w:r>
      <w:r>
        <w:rPr>
          <w:rFonts w:ascii="Calibri" w:eastAsia="Calibri" w:hAnsi="Calibri" w:cs="Calibri"/>
          <w:i/>
          <w:iCs/>
          <w:color w:val="595959"/>
          <w:sz w:val="21"/>
          <w:szCs w:val="21"/>
        </w:rPr>
        <w:t xml:space="preserve">The 5-year (~61-month) follow-up of CARTITUDE-1 is now published and is worth citing alongside this slide: ORR 97.9%, </w:t>
      </w:r>
      <w:proofErr w:type="spellStart"/>
      <w:r>
        <w:rPr>
          <w:rFonts w:ascii="Calibri" w:eastAsia="Calibri" w:hAnsi="Calibri" w:cs="Calibri"/>
          <w:i/>
          <w:iCs/>
          <w:color w:val="595959"/>
          <w:sz w:val="21"/>
          <w:szCs w:val="21"/>
        </w:rPr>
        <w:t>sCR</w:t>
      </w:r>
      <w:proofErr w:type="spellEnd"/>
      <w:r>
        <w:rPr>
          <w:rFonts w:ascii="Calibri" w:eastAsia="Calibri" w:hAnsi="Calibri" w:cs="Calibri"/>
          <w:i/>
          <w:iCs/>
          <w:color w:val="595959"/>
          <w:sz w:val="21"/>
          <w:szCs w:val="21"/>
        </w:rPr>
        <w:t xml:space="preserve"> rate 82.5%, median OS 60.7 months, and approximately one-third of the original ITT population (32/97) alive and progression-free at ≥5 years following a single infusion with no maintenance therapy — an unusually durable result for a heavily pretreated relapsed/refractory myeloma population.</w:t>
      </w:r>
    </w:p>
    <w:p w14:paraId="450E248A" w14:textId="77777777" w:rsidR="00204B5D" w:rsidRDefault="00000000">
      <w:pPr>
        <w:spacing w:after="200" w:line="300" w:lineRule="auto"/>
      </w:pPr>
      <w:r>
        <w:rPr>
          <w:rFonts w:ascii="Calibri" w:eastAsia="Calibri" w:hAnsi="Calibri" w:cs="Calibri"/>
          <w:sz w:val="22"/>
          <w:szCs w:val="22"/>
        </w:rPr>
        <w:t xml:space="preserve">CARTITUDE-4 (MMY3002) was the confirmatory phase 3, randomized, open-label study in an earlier-line population — lenalidomide-refractory patients with 1–3 prior lines, stratified-randomized 208 to </w:t>
      </w:r>
      <w:proofErr w:type="spellStart"/>
      <w:r>
        <w:rPr>
          <w:rFonts w:ascii="Calibri" w:eastAsia="Calibri" w:hAnsi="Calibri" w:cs="Calibri"/>
          <w:sz w:val="22"/>
          <w:szCs w:val="22"/>
        </w:rPr>
        <w:t>cilta</w:t>
      </w:r>
      <w:proofErr w:type="spellEnd"/>
      <w:r>
        <w:rPr>
          <w:rFonts w:ascii="Calibri" w:eastAsia="Calibri" w:hAnsi="Calibri" w:cs="Calibri"/>
          <w:sz w:val="22"/>
          <w:szCs w:val="22"/>
        </w:rPr>
        <w:t>-cel versus 211 to investigator's-choice standard of care (</w:t>
      </w:r>
      <w:proofErr w:type="spellStart"/>
      <w:r>
        <w:rPr>
          <w:rFonts w:ascii="Calibri" w:eastAsia="Calibri" w:hAnsi="Calibri" w:cs="Calibri"/>
          <w:sz w:val="22"/>
          <w:szCs w:val="22"/>
        </w:rPr>
        <w:t>PVd</w:t>
      </w:r>
      <w:proofErr w:type="spellEnd"/>
      <w:r>
        <w:rPr>
          <w:rFonts w:ascii="Calibri" w:eastAsia="Calibri" w:hAnsi="Calibri" w:cs="Calibri"/>
          <w:sz w:val="22"/>
          <w:szCs w:val="22"/>
        </w:rPr>
        <w:t xml:space="preserve"> or </w:t>
      </w:r>
      <w:proofErr w:type="spellStart"/>
      <w:r>
        <w:rPr>
          <w:rFonts w:ascii="Calibri" w:eastAsia="Calibri" w:hAnsi="Calibri" w:cs="Calibri"/>
          <w:sz w:val="22"/>
          <w:szCs w:val="22"/>
        </w:rPr>
        <w:t>DPd</w:t>
      </w:r>
      <w:proofErr w:type="spellEnd"/>
      <w:r>
        <w:rPr>
          <w:rFonts w:ascii="Calibri" w:eastAsia="Calibri" w:hAnsi="Calibri" w:cs="Calibri"/>
          <w:sz w:val="22"/>
          <w:szCs w:val="22"/>
        </w:rPr>
        <w:t xml:space="preserve">); 176 of the </w:t>
      </w:r>
      <w:proofErr w:type="spellStart"/>
      <w:r>
        <w:rPr>
          <w:rFonts w:ascii="Calibri" w:eastAsia="Calibri" w:hAnsi="Calibri" w:cs="Calibri"/>
          <w:sz w:val="22"/>
          <w:szCs w:val="22"/>
        </w:rPr>
        <w:t>cilta</w:t>
      </w:r>
      <w:proofErr w:type="spellEnd"/>
      <w:r>
        <w:rPr>
          <w:rFonts w:ascii="Calibri" w:eastAsia="Calibri" w:hAnsi="Calibri" w:cs="Calibri"/>
          <w:sz w:val="22"/>
          <w:szCs w:val="22"/>
        </w:rPr>
        <w:t xml:space="preserve">-cel arm received study treatment as infused (as-treated set). Per the slide's evaluable-set analysis: ORR 99.4%, CR-or-better 86.4%; the primary ITT </w:t>
      </w:r>
      <w:r>
        <w:rPr>
          <w:rFonts w:ascii="Calibri" w:eastAsia="Calibri" w:hAnsi="Calibri" w:cs="Calibri"/>
          <w:sz w:val="22"/>
          <w:szCs w:val="22"/>
        </w:rPr>
        <w:lastRenderedPageBreak/>
        <w:t>analysis (published in NEJM) reported a PFS hazard ratio of 0.26, a 74% reduction in risk of progression or death versus SOC.</w:t>
      </w:r>
    </w:p>
    <w:p w14:paraId="4A9CA7A9" w14:textId="77777777" w:rsidR="00204B5D" w:rsidRDefault="00000000">
      <w:pPr>
        <w:spacing w:after="200" w:line="280" w:lineRule="auto"/>
        <w:ind w:left="360"/>
      </w:pPr>
      <w:r>
        <w:rPr>
          <w:rFonts w:ascii="Calibri" w:eastAsia="Calibri" w:hAnsi="Calibri" w:cs="Calibri"/>
          <w:b/>
          <w:bCs/>
          <w:i/>
          <w:iCs/>
          <w:color w:val="2E75B6"/>
          <w:sz w:val="21"/>
          <w:szCs w:val="21"/>
        </w:rPr>
        <w:t xml:space="preserve">Live update beyond the deck: </w:t>
      </w:r>
      <w:r>
        <w:rPr>
          <w:rFonts w:ascii="Calibri" w:eastAsia="Calibri" w:hAnsi="Calibri" w:cs="Calibri"/>
          <w:i/>
          <w:iCs/>
          <w:color w:val="595959"/>
          <w:sz w:val="21"/>
          <w:szCs w:val="21"/>
        </w:rPr>
        <w:t xml:space="preserve">CARTITUDE-4 OS data have since matured: the most recent analysis reported a 30-month OS rate of 76.4% with </w:t>
      </w:r>
      <w:proofErr w:type="spellStart"/>
      <w:r>
        <w:rPr>
          <w:rFonts w:ascii="Calibri" w:eastAsia="Calibri" w:hAnsi="Calibri" w:cs="Calibri"/>
          <w:i/>
          <w:iCs/>
          <w:color w:val="595959"/>
          <w:sz w:val="21"/>
          <w:szCs w:val="21"/>
        </w:rPr>
        <w:t>cilta</w:t>
      </w:r>
      <w:proofErr w:type="spellEnd"/>
      <w:r>
        <w:rPr>
          <w:rFonts w:ascii="Calibri" w:eastAsia="Calibri" w:hAnsi="Calibri" w:cs="Calibri"/>
          <w:i/>
          <w:iCs/>
          <w:color w:val="595959"/>
          <w:sz w:val="21"/>
          <w:szCs w:val="21"/>
        </w:rPr>
        <w:t>-cel versus 63.8% with SOC — HR 0.55 (95% CI 0.39–0.79), a 45% reduction in mortality risk (P=0.0009). This OS benefit, on top of the primary PFS endpoint, supported CARVYKTI's label expansion to patients with ≥1 prior line in April 2024 and underlies its continued movement into earlier treatment lines.</w:t>
      </w:r>
    </w:p>
    <w:p w14:paraId="76D8DCF3" w14:textId="77777777" w:rsidR="00204B5D" w:rsidRDefault="00000000">
      <w:pPr>
        <w:shd w:val="clear" w:color="auto" w:fill="DCE6F1"/>
        <w:spacing w:before="360" w:after="80"/>
      </w:pPr>
      <w:r>
        <w:rPr>
          <w:rFonts w:ascii="Calibri" w:eastAsia="Calibri" w:hAnsi="Calibri" w:cs="Calibri"/>
          <w:b/>
          <w:bCs/>
          <w:color w:val="1F3864"/>
          <w:sz w:val="24"/>
          <w:szCs w:val="24"/>
        </w:rPr>
        <w:t>Slide 12 — CAR Transgene Concentration Profile in CART-1</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16:00–17:50]</w:t>
      </w:r>
    </w:p>
    <w:p w14:paraId="78A15F51" w14:textId="77777777" w:rsidR="00204B5D" w:rsidRDefault="00000000">
      <w:pPr>
        <w:spacing w:after="200" w:line="300" w:lineRule="auto"/>
      </w:pPr>
      <w:r>
        <w:rPr>
          <w:rFonts w:ascii="Calibri" w:eastAsia="Calibri" w:hAnsi="Calibri" w:cs="Calibri"/>
          <w:sz w:val="22"/>
          <w:szCs w:val="22"/>
        </w:rPr>
        <w:t>This shows the CK dataset from CARTITUDE-1: blood CAR transgene concentration-time profiles by qPCR across the full phase 1b/2 analysis population (N=97). The three structural phases are clearly resolved — expansion over the first 1–2 weeks, contraction, and a prolonged persistence tail. The dominant feature is inter-subject variability: %CV for AUC0-28d was approximately 125%, substantially exceeding what's typically observed for a monoclonal antibody or small-molecule PK profile.</w:t>
      </w:r>
    </w:p>
    <w:p w14:paraId="61D2AF2B" w14:textId="77777777" w:rsidR="00204B5D" w:rsidRDefault="00000000">
      <w:pPr>
        <w:spacing w:after="200" w:line="300" w:lineRule="auto"/>
      </w:pPr>
      <w:r>
        <w:rPr>
          <w:rFonts w:ascii="Calibri" w:eastAsia="Calibri" w:hAnsi="Calibri" w:cs="Calibri"/>
          <w:sz w:val="22"/>
          <w:szCs w:val="22"/>
        </w:rPr>
        <w:t xml:space="preserve">On AE onset timing relative to this CK profile: median time to onset of CRS was 7 days and ICANS 8 days — both falling within the expansion phase — whereas delayed </w:t>
      </w:r>
      <w:proofErr w:type="spellStart"/>
      <w:r>
        <w:rPr>
          <w:rFonts w:ascii="Calibri" w:eastAsia="Calibri" w:hAnsi="Calibri" w:cs="Calibri"/>
          <w:sz w:val="22"/>
          <w:szCs w:val="22"/>
        </w:rPr>
        <w:t>neurotoxicities</w:t>
      </w:r>
      <w:proofErr w:type="spellEnd"/>
      <w:r>
        <w:rPr>
          <w:rFonts w:ascii="Calibri" w:eastAsia="Calibri" w:hAnsi="Calibri" w:cs="Calibri"/>
          <w:sz w:val="22"/>
          <w:szCs w:val="22"/>
        </w:rPr>
        <w:t xml:space="preserve"> such as parkinsonism had a markedly later median onset (43 days), and cranial nerve palsies a median onset around 26 days. Early neurotoxicity onset tracks temporally with the expansion phase; the later-onset events do not, and their mechanistic basis (proposed biodistribution/persistence-related) remains incompletely characterized.</w:t>
      </w:r>
    </w:p>
    <w:p w14:paraId="6A96F17D" w14:textId="77777777" w:rsidR="00204B5D" w:rsidRDefault="00000000">
      <w:pPr>
        <w:spacing w:after="200" w:line="280" w:lineRule="auto"/>
        <w:ind w:left="360"/>
      </w:pPr>
      <w:r>
        <w:rPr>
          <w:rFonts w:ascii="Calibri" w:eastAsia="Calibri" w:hAnsi="Calibri" w:cs="Calibri"/>
          <w:b/>
          <w:bCs/>
          <w:i/>
          <w:iCs/>
          <w:color w:val="2E75B6"/>
          <w:sz w:val="21"/>
          <w:szCs w:val="21"/>
        </w:rPr>
        <w:t xml:space="preserve">Live update beyond the deck: </w:t>
      </w:r>
      <w:r>
        <w:rPr>
          <w:rFonts w:ascii="Calibri" w:eastAsia="Calibri" w:hAnsi="Calibri" w:cs="Calibri"/>
          <w:i/>
          <w:iCs/>
          <w:color w:val="595959"/>
          <w:sz w:val="21"/>
          <w:szCs w:val="21"/>
        </w:rPr>
        <w:t>As a methodology note if asked: CAR transgene by qPCR and CD3+CAR+ T-cell counts by flow cytometry were shown to correlate well in this program (Pearson r reported elsewhere in the source data), supporting qPCR-based transgene level as an analytically valid, assay-orthogonal proxy for circulating CAR-T cell number.</w:t>
      </w:r>
    </w:p>
    <w:p w14:paraId="3BBB45B1" w14:textId="77777777" w:rsidR="00204B5D" w:rsidRDefault="00000000">
      <w:pPr>
        <w:shd w:val="clear" w:color="auto" w:fill="DCE6F1"/>
        <w:spacing w:before="360" w:after="80"/>
      </w:pPr>
      <w:r>
        <w:rPr>
          <w:rFonts w:ascii="Calibri" w:eastAsia="Calibri" w:hAnsi="Calibri" w:cs="Calibri"/>
          <w:b/>
          <w:bCs/>
          <w:color w:val="1F3864"/>
          <w:sz w:val="24"/>
          <w:szCs w:val="24"/>
        </w:rPr>
        <w:t>Slide 13 — ER for Efficacy in CART-1</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17:50–19:20]</w:t>
      </w:r>
    </w:p>
    <w:p w14:paraId="1A6D65C1" w14:textId="77777777" w:rsidR="00204B5D" w:rsidRDefault="00000000">
      <w:pPr>
        <w:spacing w:after="200" w:line="300" w:lineRule="auto"/>
      </w:pPr>
      <w:r>
        <w:rPr>
          <w:rFonts w:ascii="Calibri" w:eastAsia="Calibri" w:hAnsi="Calibri" w:cs="Calibri"/>
          <w:sz w:val="22"/>
          <w:szCs w:val="22"/>
        </w:rPr>
        <w:t xml:space="preserve">This panel compares blood transgene </w:t>
      </w:r>
      <w:proofErr w:type="spellStart"/>
      <w:r>
        <w:rPr>
          <w:rFonts w:ascii="Calibri" w:eastAsia="Calibri" w:hAnsi="Calibri" w:cs="Calibri"/>
          <w:sz w:val="22"/>
          <w:szCs w:val="22"/>
        </w:rPr>
        <w:t>Cmax</w:t>
      </w:r>
      <w:proofErr w:type="spellEnd"/>
      <w:r>
        <w:rPr>
          <w:rFonts w:ascii="Calibri" w:eastAsia="Calibri" w:hAnsi="Calibri" w:cs="Calibri"/>
          <w:sz w:val="22"/>
          <w:szCs w:val="22"/>
        </w:rPr>
        <w:t xml:space="preserve"> and AUC0-28d between non-responders and responders (per IMWG criteria) in CARTITUDE-1. Responders show higher median exposure for both metrics, though the distributions overlap substantially and the non-responder stratum is small (n=6) and right-skewed — this should be interpreted as a directional E-R trend for efficacy rather than a validated, quantitative relationship suitable for exposure-based dose individualization.</w:t>
      </w:r>
    </w:p>
    <w:p w14:paraId="71E55768" w14:textId="77777777" w:rsidR="00204B5D" w:rsidRDefault="00000000">
      <w:pPr>
        <w:spacing w:after="200" w:line="300" w:lineRule="auto"/>
      </w:pPr>
      <w:r>
        <w:rPr>
          <w:rFonts w:ascii="Calibri" w:eastAsia="Calibri" w:hAnsi="Calibri" w:cs="Calibri"/>
          <w:sz w:val="22"/>
          <w:szCs w:val="22"/>
        </w:rPr>
        <w:t xml:space="preserve">As a related point on the dose side: total administered cell dose showed no discernible relationship with </w:t>
      </w:r>
      <w:proofErr w:type="spellStart"/>
      <w:r>
        <w:rPr>
          <w:rFonts w:ascii="Calibri" w:eastAsia="Calibri" w:hAnsi="Calibri" w:cs="Calibri"/>
          <w:sz w:val="22"/>
          <w:szCs w:val="22"/>
        </w:rPr>
        <w:t>Cmax</w:t>
      </w:r>
      <w:proofErr w:type="spellEnd"/>
      <w:r>
        <w:rPr>
          <w:rFonts w:ascii="Calibri" w:eastAsia="Calibri" w:hAnsi="Calibri" w:cs="Calibri"/>
          <w:sz w:val="22"/>
          <w:szCs w:val="22"/>
        </w:rPr>
        <w:t xml:space="preserve"> in this trial, which is largely attributable to the narrow dose range actually tested (0.5–1.0×10⁶ cells/kg) — a range this narrow provides limited power to resolve a dose-exposure signal even if the underlying relationship were monotonic.</w:t>
      </w:r>
    </w:p>
    <w:p w14:paraId="065716C3" w14:textId="77777777" w:rsidR="00204B5D" w:rsidRDefault="00000000">
      <w:pPr>
        <w:shd w:val="clear" w:color="auto" w:fill="DCE6F1"/>
        <w:spacing w:before="360" w:after="80"/>
      </w:pPr>
      <w:r>
        <w:rPr>
          <w:rFonts w:ascii="Calibri" w:eastAsia="Calibri" w:hAnsi="Calibri" w:cs="Calibri"/>
          <w:b/>
          <w:bCs/>
          <w:color w:val="1F3864"/>
          <w:sz w:val="24"/>
          <w:szCs w:val="24"/>
        </w:rPr>
        <w:t>Slide 14 — ER for Safety in CART-1 (</w:t>
      </w:r>
      <w:proofErr w:type="gramStart"/>
      <w:r>
        <w:rPr>
          <w:rFonts w:ascii="Calibri" w:eastAsia="Calibri" w:hAnsi="Calibri" w:cs="Calibri"/>
          <w:b/>
          <w:bCs/>
          <w:color w:val="1F3864"/>
          <w:sz w:val="24"/>
          <w:szCs w:val="24"/>
        </w:rPr>
        <w:t>CRS)</w:t>
      </w:r>
      <w:r>
        <w:rPr>
          <w:rFonts w:ascii="Calibri" w:eastAsia="Calibri" w:hAnsi="Calibri" w:cs="Calibri"/>
          <w:b/>
          <w:bCs/>
          <w:color w:val="2E75B6"/>
        </w:rPr>
        <w:t xml:space="preserve">   </w:t>
      </w:r>
      <w:proofErr w:type="gramEnd"/>
      <w:r>
        <w:rPr>
          <w:rFonts w:ascii="Calibri" w:eastAsia="Calibri" w:hAnsi="Calibri" w:cs="Calibri"/>
          <w:b/>
          <w:bCs/>
          <w:color w:val="2E75B6"/>
        </w:rPr>
        <w:t>[19:20–20:40]</w:t>
      </w:r>
    </w:p>
    <w:p w14:paraId="5610F28F" w14:textId="77777777" w:rsidR="00204B5D" w:rsidRDefault="00000000">
      <w:pPr>
        <w:spacing w:after="200" w:line="300" w:lineRule="auto"/>
      </w:pPr>
      <w:r>
        <w:rPr>
          <w:rFonts w:ascii="Calibri" w:eastAsia="Calibri" w:hAnsi="Calibri" w:cs="Calibri"/>
          <w:sz w:val="22"/>
          <w:szCs w:val="22"/>
        </w:rPr>
        <w:t xml:space="preserve">CRS (per ASTCT consensus grading) was near-universal in CARTITUDE-1 — all-grade CRS was reported in 94.8% of subjects. A trend toward higher </w:t>
      </w:r>
      <w:proofErr w:type="spellStart"/>
      <w:r>
        <w:rPr>
          <w:rFonts w:ascii="Calibri" w:eastAsia="Calibri" w:hAnsi="Calibri" w:cs="Calibri"/>
          <w:sz w:val="22"/>
          <w:szCs w:val="22"/>
        </w:rPr>
        <w:t>Cmax</w:t>
      </w:r>
      <w:proofErr w:type="spellEnd"/>
      <w:r>
        <w:rPr>
          <w:rFonts w:ascii="Calibri" w:eastAsia="Calibri" w:hAnsi="Calibri" w:cs="Calibri"/>
          <w:sz w:val="22"/>
          <w:szCs w:val="22"/>
        </w:rPr>
        <w:t xml:space="preserve"> and AUC during the expansion phase was observed among subjects who </w:t>
      </w:r>
      <w:r>
        <w:rPr>
          <w:rFonts w:ascii="Calibri" w:eastAsia="Calibri" w:hAnsi="Calibri" w:cs="Calibri"/>
          <w:sz w:val="22"/>
          <w:szCs w:val="22"/>
        </w:rPr>
        <w:lastRenderedPageBreak/>
        <w:t>developed CRS, again with considerable distributional overlap. An important confounder: subjects who received tocilizumab and/or corticosteroids for CRS management also tended to show higher exposure, which complicates causal attribution — it's difficult to fully disentangle whether higher expansion drives CRS severity, or whether CRS-directed intervention itself correlates with, or modifies, the underlying expansion kinetics.</w:t>
      </w:r>
    </w:p>
    <w:p w14:paraId="633628DF" w14:textId="77777777" w:rsidR="00204B5D" w:rsidRDefault="00000000">
      <w:pPr>
        <w:shd w:val="clear" w:color="auto" w:fill="DCE6F1"/>
        <w:spacing w:before="360" w:after="80"/>
      </w:pPr>
      <w:r>
        <w:rPr>
          <w:rFonts w:ascii="Calibri" w:eastAsia="Calibri" w:hAnsi="Calibri" w:cs="Calibri"/>
          <w:b/>
          <w:bCs/>
          <w:color w:val="1F3864"/>
          <w:sz w:val="24"/>
          <w:szCs w:val="24"/>
        </w:rPr>
        <w:t>Slide 15 — ER for Safety in CAR-T1 (</w:t>
      </w:r>
      <w:proofErr w:type="gramStart"/>
      <w:r>
        <w:rPr>
          <w:rFonts w:ascii="Calibri" w:eastAsia="Calibri" w:hAnsi="Calibri" w:cs="Calibri"/>
          <w:b/>
          <w:bCs/>
          <w:color w:val="1F3864"/>
          <w:sz w:val="24"/>
          <w:szCs w:val="24"/>
        </w:rPr>
        <w:t>Neurotoxicity)</w:t>
      </w:r>
      <w:r>
        <w:rPr>
          <w:rFonts w:ascii="Calibri" w:eastAsia="Calibri" w:hAnsi="Calibri" w:cs="Calibri"/>
          <w:b/>
          <w:bCs/>
          <w:color w:val="2E75B6"/>
        </w:rPr>
        <w:t xml:space="preserve">   </w:t>
      </w:r>
      <w:proofErr w:type="gramEnd"/>
      <w:r>
        <w:rPr>
          <w:rFonts w:ascii="Calibri" w:eastAsia="Calibri" w:hAnsi="Calibri" w:cs="Calibri"/>
          <w:b/>
          <w:bCs/>
          <w:color w:val="2E75B6"/>
        </w:rPr>
        <w:t>[20:40–22:00]</w:t>
      </w:r>
    </w:p>
    <w:p w14:paraId="2FCAD372" w14:textId="77777777" w:rsidR="00204B5D" w:rsidRDefault="00000000">
      <w:pPr>
        <w:spacing w:after="200" w:line="300" w:lineRule="auto"/>
      </w:pPr>
      <w:r>
        <w:rPr>
          <w:rFonts w:ascii="Calibri" w:eastAsia="Calibri" w:hAnsi="Calibri" w:cs="Calibri"/>
          <w:sz w:val="22"/>
          <w:szCs w:val="22"/>
        </w:rPr>
        <w:t xml:space="preserve">An analogous pattern is observed for neurologic AEs. Subjects with ICANS or other neurotoxicity — including the movement and neurocognitive treatment-emergent adverse events (MNTs) reported with </w:t>
      </w:r>
      <w:proofErr w:type="spellStart"/>
      <w:r>
        <w:rPr>
          <w:rFonts w:ascii="Calibri" w:eastAsia="Calibri" w:hAnsi="Calibri" w:cs="Calibri"/>
          <w:sz w:val="22"/>
          <w:szCs w:val="22"/>
        </w:rPr>
        <w:t>cilta</w:t>
      </w:r>
      <w:proofErr w:type="spellEnd"/>
      <w:r>
        <w:rPr>
          <w:rFonts w:ascii="Calibri" w:eastAsia="Calibri" w:hAnsi="Calibri" w:cs="Calibri"/>
          <w:sz w:val="22"/>
          <w:szCs w:val="22"/>
        </w:rPr>
        <w:t xml:space="preserve">-cel — showed numerically higher CAR transgene </w:t>
      </w:r>
      <w:proofErr w:type="spellStart"/>
      <w:r>
        <w:rPr>
          <w:rFonts w:ascii="Calibri" w:eastAsia="Calibri" w:hAnsi="Calibri" w:cs="Calibri"/>
          <w:sz w:val="22"/>
          <w:szCs w:val="22"/>
        </w:rPr>
        <w:t>Cmax</w:t>
      </w:r>
      <w:proofErr w:type="spellEnd"/>
      <w:r>
        <w:rPr>
          <w:rFonts w:ascii="Calibri" w:eastAsia="Calibri" w:hAnsi="Calibri" w:cs="Calibri"/>
          <w:sz w:val="22"/>
          <w:szCs w:val="22"/>
        </w:rPr>
        <w:t xml:space="preserve"> and AUC relative to subjects without these events, though again with considerable range overlap and high ISV. Consistent with the dose-</w:t>
      </w:r>
      <w:proofErr w:type="spellStart"/>
      <w:r>
        <w:rPr>
          <w:rFonts w:ascii="Calibri" w:eastAsia="Calibri" w:hAnsi="Calibri" w:cs="Calibri"/>
          <w:sz w:val="22"/>
          <w:szCs w:val="22"/>
        </w:rPr>
        <w:t>Cmax</w:t>
      </w:r>
      <w:proofErr w:type="spellEnd"/>
      <w:r>
        <w:rPr>
          <w:rFonts w:ascii="Calibri" w:eastAsia="Calibri" w:hAnsi="Calibri" w:cs="Calibri"/>
          <w:sz w:val="22"/>
          <w:szCs w:val="22"/>
        </w:rPr>
        <w:t xml:space="preserve"> findings on the efficacy panel, there was also no clear association between total administered dose and either ICANS or other neurotoxicity — dose is a poor covariate here, and exposure itself explains only part of the variance in neurotoxicity risk.</w:t>
      </w:r>
    </w:p>
    <w:p w14:paraId="131E8D7D" w14:textId="77777777" w:rsidR="00204B5D" w:rsidRDefault="00000000">
      <w:pPr>
        <w:shd w:val="clear" w:color="auto" w:fill="DCE6F1"/>
        <w:spacing w:before="360" w:after="80"/>
      </w:pPr>
      <w:r>
        <w:rPr>
          <w:rFonts w:ascii="Calibri" w:eastAsia="Calibri" w:hAnsi="Calibri" w:cs="Calibri"/>
          <w:b/>
          <w:bCs/>
          <w:color w:val="1F3864"/>
          <w:sz w:val="24"/>
          <w:szCs w:val="24"/>
        </w:rPr>
        <w:t xml:space="preserve">Slide 16 — </w:t>
      </w:r>
      <w:proofErr w:type="spellStart"/>
      <w:r>
        <w:rPr>
          <w:rFonts w:ascii="Calibri" w:eastAsia="Calibri" w:hAnsi="Calibri" w:cs="Calibri"/>
          <w:b/>
          <w:bCs/>
          <w:color w:val="1F3864"/>
          <w:sz w:val="24"/>
          <w:szCs w:val="24"/>
        </w:rPr>
        <w:t>PopPK</w:t>
      </w:r>
      <w:proofErr w:type="spellEnd"/>
      <w:r>
        <w:rPr>
          <w:rFonts w:ascii="Calibri" w:eastAsia="Calibri" w:hAnsi="Calibri" w:cs="Calibri"/>
          <w:b/>
          <w:bCs/>
          <w:color w:val="1F3864"/>
          <w:sz w:val="24"/>
          <w:szCs w:val="24"/>
        </w:rPr>
        <w:t xml:space="preserve"> Model Based on Transgene Results</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22:00–24:00]</w:t>
      </w:r>
    </w:p>
    <w:p w14:paraId="1626BC6B" w14:textId="77777777" w:rsidR="00204B5D" w:rsidRDefault="00000000">
      <w:pPr>
        <w:spacing w:after="200" w:line="300" w:lineRule="auto"/>
      </w:pPr>
      <w:r>
        <w:rPr>
          <w:rFonts w:ascii="Calibri" w:eastAsia="Calibri" w:hAnsi="Calibri" w:cs="Calibri"/>
          <w:sz w:val="22"/>
          <w:szCs w:val="22"/>
        </w:rPr>
        <w:t>To formalize the CK dataset quantitatively, an empirical population PK model was developed — structurally a two-compartment model, explicitly not a mass-balance/mechanistic cell-trafficking model, since the objective is to describe observed kinetics rather than mechanistically account for every cell fate. Dose is parameterized as the number of CAR-positive viable T cells infused; the dependent variable is observed CAR transgene level (copies/µg genomic DNA). Structural parameters include a lag time (</w:t>
      </w:r>
      <w:proofErr w:type="spellStart"/>
      <w:r>
        <w:rPr>
          <w:rFonts w:ascii="Calibri" w:eastAsia="Calibri" w:hAnsi="Calibri" w:cs="Calibri"/>
          <w:sz w:val="22"/>
          <w:szCs w:val="22"/>
        </w:rPr>
        <w:t>Tlag</w:t>
      </w:r>
      <w:proofErr w:type="spellEnd"/>
      <w:r>
        <w:rPr>
          <w:rFonts w:ascii="Calibri" w:eastAsia="Calibri" w:hAnsi="Calibri" w:cs="Calibri"/>
          <w:sz w:val="22"/>
          <w:szCs w:val="22"/>
        </w:rPr>
        <w:t>), a mean transit time (MTT) analogous to an absorption/distribution delay, an apparent rapid elimination rate constant for the fast-eliminated subpopulation, and a slower apparent elimination rate constant governing the persistent subpopulation — with inter-individual variability (IIV) estimated on the relevant parameters.</w:t>
      </w:r>
    </w:p>
    <w:p w14:paraId="67171DB3" w14:textId="77777777" w:rsidR="00204B5D" w:rsidRDefault="00000000">
      <w:pPr>
        <w:spacing w:after="200" w:line="300" w:lineRule="auto"/>
      </w:pPr>
      <w:r>
        <w:rPr>
          <w:rFonts w:ascii="Calibri" w:eastAsia="Calibri" w:hAnsi="Calibri" w:cs="Calibri"/>
          <w:sz w:val="22"/>
          <w:szCs w:val="22"/>
        </w:rPr>
        <w:t>This structural model supports simulation of the full expected exposure distribution — the 10th/50th/90th percentile simulation bands shown here are conceptually analogous to a visual predictive check (VPC) — which has utility for informing PK sampling schedules and monitoring windows in future studies, and for supporting exposure-matching arguments across manufacturing process changes (i.e., comparability bridging).</w:t>
      </w:r>
    </w:p>
    <w:p w14:paraId="7CDB4B25" w14:textId="77777777" w:rsidR="00204B5D" w:rsidRDefault="00000000">
      <w:pPr>
        <w:shd w:val="clear" w:color="auto" w:fill="DCE6F1"/>
        <w:spacing w:before="360" w:after="80"/>
      </w:pPr>
      <w:r>
        <w:rPr>
          <w:rFonts w:ascii="Calibri" w:eastAsia="Calibri" w:hAnsi="Calibri" w:cs="Calibri"/>
          <w:b/>
          <w:bCs/>
          <w:color w:val="1F3864"/>
          <w:sz w:val="24"/>
          <w:szCs w:val="24"/>
        </w:rPr>
        <w:t>Slide 17 — Immunogenicity (ADA) and PK</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24:00–25:50]</w:t>
      </w:r>
    </w:p>
    <w:p w14:paraId="03DEB299" w14:textId="77777777" w:rsidR="00204B5D" w:rsidRDefault="00000000">
      <w:pPr>
        <w:spacing w:after="200" w:line="300" w:lineRule="auto"/>
      </w:pPr>
      <w:r>
        <w:rPr>
          <w:rFonts w:ascii="Calibri" w:eastAsia="Calibri" w:hAnsi="Calibri" w:cs="Calibri"/>
          <w:sz w:val="22"/>
          <w:szCs w:val="22"/>
        </w:rPr>
        <w:t xml:space="preserve">This addresses whether anti-drug antibodies (ADA) directed against the CAR construct affect transgene exposure, evaluated in both CARTITUDE-1 and CARTITUDE-4 using a tiered ADA assay (screening, confirmatory, titer). No apparent difference in predicted </w:t>
      </w:r>
      <w:proofErr w:type="spellStart"/>
      <w:r>
        <w:rPr>
          <w:rFonts w:ascii="Calibri" w:eastAsia="Calibri" w:hAnsi="Calibri" w:cs="Calibri"/>
          <w:sz w:val="22"/>
          <w:szCs w:val="22"/>
        </w:rPr>
        <w:t>Cmax</w:t>
      </w:r>
      <w:proofErr w:type="spellEnd"/>
      <w:r>
        <w:rPr>
          <w:rFonts w:ascii="Calibri" w:eastAsia="Calibri" w:hAnsi="Calibri" w:cs="Calibri"/>
          <w:sz w:val="22"/>
          <w:szCs w:val="22"/>
        </w:rPr>
        <w:t xml:space="preserve"> or AUC0-28d was observed between ADA-positive and ADA-negative subjects in either study.</w:t>
      </w:r>
    </w:p>
    <w:p w14:paraId="11763748" w14:textId="77777777" w:rsidR="00204B5D" w:rsidRDefault="00000000">
      <w:pPr>
        <w:spacing w:after="200" w:line="300" w:lineRule="auto"/>
      </w:pPr>
      <w:r>
        <w:rPr>
          <w:rFonts w:ascii="Calibri" w:eastAsia="Calibri" w:hAnsi="Calibri" w:cs="Calibri"/>
          <w:sz w:val="22"/>
          <w:szCs w:val="22"/>
        </w:rPr>
        <w:t xml:space="preserve">For context on the underlying incidence data: cumulative ADA incidence was 15.5% at primary analysis in CARTITUDE-1, 19.6% per the SCP addendum used in labeling, and rose to 39.2% by the long-term closeout CSR with extended follow-up; CARTITUDE-4's primary analysis reported 21.0%. </w:t>
      </w:r>
      <w:proofErr w:type="gramStart"/>
      <w:r>
        <w:rPr>
          <w:rFonts w:ascii="Calibri" w:eastAsia="Calibri" w:hAnsi="Calibri" w:cs="Calibri"/>
          <w:sz w:val="22"/>
          <w:szCs w:val="22"/>
        </w:rPr>
        <w:t>The majority of</w:t>
      </w:r>
      <w:proofErr w:type="gramEnd"/>
      <w:r>
        <w:rPr>
          <w:rFonts w:ascii="Calibri" w:eastAsia="Calibri" w:hAnsi="Calibri" w:cs="Calibri"/>
          <w:sz w:val="22"/>
          <w:szCs w:val="22"/>
        </w:rPr>
        <w:t xml:space="preserve"> ADA-positive subjects seroconverted late — median time to first ADA-positive result was approximately 852 days in the CARTITUDE-1 closeout population, well outside the expansion phase — and generally at low titer. This immunogenicity risk assessment (no apparent PK, safety, or efficacy impact, combined with late onset and low titer) is the basis cited for not requiring a dedicated neutralizing antibody (</w:t>
      </w:r>
      <w:proofErr w:type="spellStart"/>
      <w:r>
        <w:rPr>
          <w:rFonts w:ascii="Calibri" w:eastAsia="Calibri" w:hAnsi="Calibri" w:cs="Calibri"/>
          <w:sz w:val="22"/>
          <w:szCs w:val="22"/>
        </w:rPr>
        <w:t>NAb</w:t>
      </w:r>
      <w:proofErr w:type="spellEnd"/>
      <w:r>
        <w:rPr>
          <w:rFonts w:ascii="Calibri" w:eastAsia="Calibri" w:hAnsi="Calibri" w:cs="Calibri"/>
          <w:sz w:val="22"/>
          <w:szCs w:val="22"/>
        </w:rPr>
        <w:t>) assay for this product.</w:t>
      </w:r>
    </w:p>
    <w:p w14:paraId="7F337242" w14:textId="77777777" w:rsidR="00204B5D" w:rsidRDefault="00000000">
      <w:pPr>
        <w:shd w:val="clear" w:color="auto" w:fill="DCE6F1"/>
        <w:spacing w:before="360" w:after="80"/>
      </w:pPr>
      <w:r>
        <w:rPr>
          <w:rFonts w:ascii="Calibri" w:eastAsia="Calibri" w:hAnsi="Calibri" w:cs="Calibri"/>
          <w:b/>
          <w:bCs/>
          <w:color w:val="1F3864"/>
          <w:sz w:val="24"/>
          <w:szCs w:val="24"/>
        </w:rPr>
        <w:lastRenderedPageBreak/>
        <w:t>Slide 18 — Pharmacodynamic Marker: Soluble BCMA</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25:50–27:40]</w:t>
      </w:r>
    </w:p>
    <w:p w14:paraId="73B35B83" w14:textId="77777777" w:rsidR="00204B5D" w:rsidRDefault="00000000">
      <w:pPr>
        <w:spacing w:after="200" w:line="300" w:lineRule="auto"/>
      </w:pPr>
      <w:r>
        <w:rPr>
          <w:rFonts w:ascii="Calibri" w:eastAsia="Calibri" w:hAnsi="Calibri" w:cs="Calibri"/>
          <w:sz w:val="22"/>
          <w:szCs w:val="22"/>
        </w:rPr>
        <w:t>This addresses a candidate PD/target-engagement biomarker: soluble BCMA (</w:t>
      </w:r>
      <w:proofErr w:type="spellStart"/>
      <w:r>
        <w:rPr>
          <w:rFonts w:ascii="Calibri" w:eastAsia="Calibri" w:hAnsi="Calibri" w:cs="Calibri"/>
          <w:sz w:val="22"/>
          <w:szCs w:val="22"/>
        </w:rPr>
        <w:t>sBCMA</w:t>
      </w:r>
      <w:proofErr w:type="spellEnd"/>
      <w:r>
        <w:rPr>
          <w:rFonts w:ascii="Calibri" w:eastAsia="Calibri" w:hAnsi="Calibri" w:cs="Calibri"/>
          <w:sz w:val="22"/>
          <w:szCs w:val="22"/>
        </w:rPr>
        <w:t xml:space="preserve">), generated by γ-secretase-mediated ectodomain shedding from the myeloma cell surface, making circulating </w:t>
      </w:r>
      <w:proofErr w:type="spellStart"/>
      <w:r>
        <w:rPr>
          <w:rFonts w:ascii="Calibri" w:eastAsia="Calibri" w:hAnsi="Calibri" w:cs="Calibri"/>
          <w:sz w:val="22"/>
          <w:szCs w:val="22"/>
        </w:rPr>
        <w:t>sBCMA</w:t>
      </w:r>
      <w:proofErr w:type="spellEnd"/>
      <w:r>
        <w:rPr>
          <w:rFonts w:ascii="Calibri" w:eastAsia="Calibri" w:hAnsi="Calibri" w:cs="Calibri"/>
          <w:sz w:val="22"/>
          <w:szCs w:val="22"/>
        </w:rPr>
        <w:t xml:space="preserve"> a plausible surrogate for disease/tumor burden. In CARTITUDE-4, mean </w:t>
      </w:r>
      <w:proofErr w:type="spellStart"/>
      <w:r>
        <w:rPr>
          <w:rFonts w:ascii="Calibri" w:eastAsia="Calibri" w:hAnsi="Calibri" w:cs="Calibri"/>
          <w:sz w:val="22"/>
          <w:szCs w:val="22"/>
        </w:rPr>
        <w:t>sBCMA</w:t>
      </w:r>
      <w:proofErr w:type="spellEnd"/>
      <w:r>
        <w:rPr>
          <w:rFonts w:ascii="Calibri" w:eastAsia="Calibri" w:hAnsi="Calibri" w:cs="Calibri"/>
          <w:sz w:val="22"/>
          <w:szCs w:val="22"/>
        </w:rPr>
        <w:t xml:space="preserve"> declined to approximately the assay LLOQ by around day 56, consistent with deep tumor cytoreduction; subjects who subsequently progressed showed a rise in </w:t>
      </w:r>
      <w:proofErr w:type="spellStart"/>
      <w:r>
        <w:rPr>
          <w:rFonts w:ascii="Calibri" w:eastAsia="Calibri" w:hAnsi="Calibri" w:cs="Calibri"/>
          <w:sz w:val="22"/>
          <w:szCs w:val="22"/>
        </w:rPr>
        <w:t>sBCMA</w:t>
      </w:r>
      <w:proofErr w:type="spellEnd"/>
      <w:r>
        <w:rPr>
          <w:rFonts w:ascii="Calibri" w:eastAsia="Calibri" w:hAnsi="Calibri" w:cs="Calibri"/>
          <w:sz w:val="22"/>
          <w:szCs w:val="22"/>
        </w:rPr>
        <w:t xml:space="preserve"> from nadir — an </w:t>
      </w:r>
      <w:proofErr w:type="spellStart"/>
      <w:r>
        <w:rPr>
          <w:rFonts w:ascii="Calibri" w:eastAsia="Calibri" w:hAnsi="Calibri" w:cs="Calibri"/>
          <w:sz w:val="22"/>
          <w:szCs w:val="22"/>
        </w:rPr>
        <w:t>sBCMA</w:t>
      </w:r>
      <w:proofErr w:type="spellEnd"/>
      <w:r>
        <w:rPr>
          <w:rFonts w:ascii="Calibri" w:eastAsia="Calibri" w:hAnsi="Calibri" w:cs="Calibri"/>
          <w:sz w:val="22"/>
          <w:szCs w:val="22"/>
        </w:rPr>
        <w:t xml:space="preserve"> “reversal” — relative to subjects maintaining response.</w:t>
      </w:r>
    </w:p>
    <w:p w14:paraId="42CAB570" w14:textId="77777777" w:rsidR="00204B5D" w:rsidRDefault="00000000">
      <w:pPr>
        <w:spacing w:after="200" w:line="300" w:lineRule="auto"/>
      </w:pPr>
      <w:r>
        <w:rPr>
          <w:rFonts w:ascii="Calibri" w:eastAsia="Calibri" w:hAnsi="Calibri" w:cs="Calibri"/>
          <w:sz w:val="22"/>
          <w:szCs w:val="22"/>
        </w:rPr>
        <w:t xml:space="preserve">A supplementary retrospective, subgroup-level time-to-event analysis (Kaplan–Meier methodology) was conducted relating </w:t>
      </w:r>
      <w:proofErr w:type="spellStart"/>
      <w:r>
        <w:rPr>
          <w:rFonts w:ascii="Calibri" w:eastAsia="Calibri" w:hAnsi="Calibri" w:cs="Calibri"/>
          <w:sz w:val="22"/>
          <w:szCs w:val="22"/>
        </w:rPr>
        <w:t>sBCMA</w:t>
      </w:r>
      <w:proofErr w:type="spellEnd"/>
      <w:r>
        <w:rPr>
          <w:rFonts w:ascii="Calibri" w:eastAsia="Calibri" w:hAnsi="Calibri" w:cs="Calibri"/>
          <w:sz w:val="22"/>
          <w:szCs w:val="22"/>
        </w:rPr>
        <w:t xml:space="preserve"> kinetics to clinical outcomes. Overall assessment: </w:t>
      </w:r>
      <w:proofErr w:type="spellStart"/>
      <w:r>
        <w:rPr>
          <w:rFonts w:ascii="Calibri" w:eastAsia="Calibri" w:hAnsi="Calibri" w:cs="Calibri"/>
          <w:sz w:val="22"/>
          <w:szCs w:val="22"/>
        </w:rPr>
        <w:t>sBCMA</w:t>
      </w:r>
      <w:proofErr w:type="spellEnd"/>
      <w:r>
        <w:rPr>
          <w:rFonts w:ascii="Calibri" w:eastAsia="Calibri" w:hAnsi="Calibri" w:cs="Calibri"/>
          <w:sz w:val="22"/>
          <w:szCs w:val="22"/>
        </w:rPr>
        <w:t xml:space="preserve"> is a promising candidate PD biomarker — particularly as a composite with conventional M-protein monitoring (serum protein electrophoresis/</w:t>
      </w:r>
      <w:proofErr w:type="gramStart"/>
      <w:r>
        <w:rPr>
          <w:rFonts w:ascii="Calibri" w:eastAsia="Calibri" w:hAnsi="Calibri" w:cs="Calibri"/>
          <w:sz w:val="22"/>
          <w:szCs w:val="22"/>
        </w:rPr>
        <w:t>immunofixation) —</w:t>
      </w:r>
      <w:proofErr w:type="gramEnd"/>
      <w:r>
        <w:rPr>
          <w:rFonts w:ascii="Calibri" w:eastAsia="Calibri" w:hAnsi="Calibri" w:cs="Calibri"/>
          <w:sz w:val="22"/>
          <w:szCs w:val="22"/>
        </w:rPr>
        <w:t xml:space="preserve"> but requires prospective PD/biomarker qualification modeling before it could support real-time clinical decision-making.</w:t>
      </w:r>
    </w:p>
    <w:p w14:paraId="759F6579" w14:textId="77777777" w:rsidR="00204B5D" w:rsidRDefault="00000000">
      <w:pPr>
        <w:shd w:val="clear" w:color="auto" w:fill="DCE6F1"/>
        <w:spacing w:before="360" w:after="80"/>
      </w:pPr>
      <w:r>
        <w:rPr>
          <w:rFonts w:ascii="Calibri" w:eastAsia="Calibri" w:hAnsi="Calibri" w:cs="Calibri"/>
          <w:b/>
          <w:bCs/>
          <w:color w:val="1F3864"/>
          <w:sz w:val="24"/>
          <w:szCs w:val="24"/>
        </w:rPr>
        <w:t>Slide 19 — Challenges and Opportunities</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27:40–29:00]</w:t>
      </w:r>
    </w:p>
    <w:p w14:paraId="7F04C059" w14:textId="77777777" w:rsidR="00204B5D" w:rsidRDefault="00000000">
      <w:pPr>
        <w:spacing w:after="200" w:line="300" w:lineRule="auto"/>
      </w:pPr>
      <w:r>
        <w:rPr>
          <w:rFonts w:ascii="Calibri" w:eastAsia="Calibri" w:hAnsi="Calibri" w:cs="Calibri"/>
          <w:sz w:val="22"/>
          <w:szCs w:val="22"/>
        </w:rPr>
        <w:t xml:space="preserve">From a development and CMC perspective, open challenges </w:t>
      </w:r>
      <w:proofErr w:type="gramStart"/>
      <w:r>
        <w:rPr>
          <w:rFonts w:ascii="Calibri" w:eastAsia="Calibri" w:hAnsi="Calibri" w:cs="Calibri"/>
          <w:sz w:val="22"/>
          <w:szCs w:val="22"/>
        </w:rPr>
        <w:t>include:</w:t>
      </w:r>
      <w:proofErr w:type="gramEnd"/>
      <w:r>
        <w:rPr>
          <w:rFonts w:ascii="Calibri" w:eastAsia="Calibri" w:hAnsi="Calibri" w:cs="Calibri"/>
          <w:sz w:val="22"/>
          <w:szCs w:val="22"/>
        </w:rPr>
        <w:t xml:space="preserve"> quality control and limited manufacturing capacity, the lentiviral vector production process, and out-of-specification (OOS) findings in comparability studies following manufacturing process changes — all bearing on critical quality attributes (CQAs) and potency assay development for this product class. From a translational science perspective, the mechanistic basis of delayed neurotoxicity remains unclear, in part because in vivo CAR-T biodistribution is difficult to characterize directly — radiolabeling approaches are constrained by short isotope half-lives, and reporter-gene-transfected CAR-T cells remain largely investigational.</w:t>
      </w:r>
    </w:p>
    <w:p w14:paraId="74541E06" w14:textId="77777777" w:rsidR="00204B5D" w:rsidRDefault="00000000">
      <w:pPr>
        <w:spacing w:after="200" w:line="300" w:lineRule="auto"/>
      </w:pPr>
      <w:r>
        <w:rPr>
          <w:rFonts w:ascii="Calibri" w:eastAsia="Calibri" w:hAnsi="Calibri" w:cs="Calibri"/>
          <w:sz w:val="22"/>
          <w:szCs w:val="22"/>
        </w:rPr>
        <w:t>The operative question is how to optimize manufacturing and accelerate cell therapy development more broadly. My assessment — consistent with the field's direction — is that this requires deeper translational research (longitudinal T-cell population phenotyping), cross-functional integration across clinical, CMC, and quantitative sciences, and continued engagement with health authorities as regulatory science for this personalized-medicine modality continues to evolve.</w:t>
      </w:r>
    </w:p>
    <w:p w14:paraId="5A10CA95" w14:textId="77777777" w:rsidR="00204B5D" w:rsidRDefault="00000000">
      <w:pPr>
        <w:shd w:val="clear" w:color="auto" w:fill="DCE6F1"/>
        <w:spacing w:before="360" w:after="80"/>
      </w:pPr>
      <w:r>
        <w:rPr>
          <w:rFonts w:ascii="Calibri" w:eastAsia="Calibri" w:hAnsi="Calibri" w:cs="Calibri"/>
          <w:b/>
          <w:bCs/>
          <w:color w:val="1F3864"/>
          <w:sz w:val="24"/>
          <w:szCs w:val="24"/>
        </w:rPr>
        <w:t>Slide 20 — Case Study Summary / Close</w:t>
      </w:r>
      <w:proofErr w:type="gramStart"/>
      <w:r>
        <w:rPr>
          <w:rFonts w:ascii="Calibri" w:eastAsia="Calibri" w:hAnsi="Calibri" w:cs="Calibri"/>
          <w:b/>
          <w:bCs/>
          <w:color w:val="2E75B6"/>
        </w:rPr>
        <w:t xml:space="preserve">   [</w:t>
      </w:r>
      <w:proofErr w:type="gramEnd"/>
      <w:r>
        <w:rPr>
          <w:rFonts w:ascii="Calibri" w:eastAsia="Calibri" w:hAnsi="Calibri" w:cs="Calibri"/>
          <w:b/>
          <w:bCs/>
          <w:color w:val="2E75B6"/>
        </w:rPr>
        <w:t>29:00–30:00]</w:t>
      </w:r>
    </w:p>
    <w:p w14:paraId="5138A074" w14:textId="77777777" w:rsidR="00204B5D" w:rsidRDefault="00000000">
      <w:pPr>
        <w:spacing w:after="200" w:line="300" w:lineRule="auto"/>
      </w:pPr>
      <w:r>
        <w:rPr>
          <w:rFonts w:ascii="Calibri" w:eastAsia="Calibri" w:hAnsi="Calibri" w:cs="Calibri"/>
          <w:sz w:val="22"/>
          <w:szCs w:val="22"/>
        </w:rPr>
        <w:t>To summarize the CARVYKTI case study from a clinical pharmacology standpoint: the CK profile exhibits substantial ISV but a consistent structural pattern — expansion, contraction, persistence. Exposure-response analysis demonstrates a directional association between higher exposure and both improved efficacy and greater CRS/neurotoxicity severity, but with sufficient distributional overlap that a validated, quantitative dose-exposure relationship has not been established, limiting exposure-based dose individualization. Immunogenicity assessment shows no apparent impact of ADA on exposure, safety, or efficacy. Soluble BCMA represents a promising candidate PD biomarker, particularly combined with M-protein, pending prospective qualification.</w:t>
      </w:r>
    </w:p>
    <w:p w14:paraId="04705251" w14:textId="77777777" w:rsidR="00204B5D" w:rsidRDefault="00000000">
      <w:pPr>
        <w:spacing w:after="200" w:line="300" w:lineRule="auto"/>
      </w:pPr>
      <w:r>
        <w:rPr>
          <w:rFonts w:ascii="Calibri" w:eastAsia="Calibri" w:hAnsi="Calibri" w:cs="Calibri"/>
          <w:sz w:val="22"/>
          <w:szCs w:val="22"/>
        </w:rPr>
        <w:t xml:space="preserve">More broadly, this case study illustrates how an integrated clinical pharmacology framework — CK characterization, quantitative E-R analysis, population/mechanistic modeling, immunogenicity risk assessment, and PD biomarker development — supports the development of an approved cellular therapy, and where the field's open scientific questions remain. Thank you; I'll now </w:t>
      </w:r>
      <w:proofErr w:type="gramStart"/>
      <w:r>
        <w:rPr>
          <w:rFonts w:ascii="Calibri" w:eastAsia="Calibri" w:hAnsi="Calibri" w:cs="Calibri"/>
          <w:sz w:val="22"/>
          <w:szCs w:val="22"/>
        </w:rPr>
        <w:t>take</w:t>
      </w:r>
      <w:proofErr w:type="gramEnd"/>
      <w:r>
        <w:rPr>
          <w:rFonts w:ascii="Calibri" w:eastAsia="Calibri" w:hAnsi="Calibri" w:cs="Calibri"/>
          <w:sz w:val="22"/>
          <w:szCs w:val="22"/>
        </w:rPr>
        <w:t xml:space="preserve"> questions.</w:t>
      </w:r>
    </w:p>
    <w:p w14:paraId="6412AE89" w14:textId="77777777" w:rsidR="00204B5D" w:rsidRDefault="00000000">
      <w:r>
        <w:lastRenderedPageBreak/>
        <w:br w:type="page"/>
      </w:r>
    </w:p>
    <w:p w14:paraId="3BBEB80E" w14:textId="77777777" w:rsidR="00204B5D" w:rsidRDefault="00000000">
      <w:pPr>
        <w:spacing w:before="320" w:after="120"/>
      </w:pPr>
      <w:r>
        <w:rPr>
          <w:rFonts w:ascii="Calibri" w:eastAsia="Calibri" w:hAnsi="Calibri" w:cs="Calibri"/>
          <w:b/>
          <w:bCs/>
          <w:color w:val="1F3864"/>
          <w:sz w:val="26"/>
          <w:szCs w:val="26"/>
        </w:rPr>
        <w:lastRenderedPageBreak/>
        <w:t>Anticipated Q&amp;A</w:t>
      </w:r>
    </w:p>
    <w:p w14:paraId="1EA7B559" w14:textId="77777777" w:rsidR="00204B5D" w:rsidRDefault="00000000">
      <w:pPr>
        <w:spacing w:after="200" w:line="300" w:lineRule="auto"/>
      </w:pPr>
      <w:r>
        <w:rPr>
          <w:rFonts w:ascii="Calibri" w:eastAsia="Calibri" w:hAnsi="Calibri" w:cs="Calibri"/>
          <w:sz w:val="22"/>
          <w:szCs w:val="22"/>
        </w:rPr>
        <w:t>Prepared talking points for questions likely from a clinical pharmacology / pharmacometrics audience. Not meant to be read verbatim.</w:t>
      </w:r>
    </w:p>
    <w:p w14:paraId="22E4DD04" w14:textId="77777777" w:rsidR="00204B5D" w:rsidRDefault="00000000">
      <w:pPr>
        <w:spacing w:before="220" w:after="60"/>
      </w:pPr>
      <w:r>
        <w:rPr>
          <w:rFonts w:ascii="Calibri" w:eastAsia="Calibri" w:hAnsi="Calibri" w:cs="Calibri"/>
          <w:b/>
          <w:bCs/>
          <w:color w:val="1F3864"/>
          <w:sz w:val="22"/>
          <w:szCs w:val="22"/>
        </w:rPr>
        <w:t xml:space="preserve">Q: Per FDA's CAR-T guidance, how much weight does preclinical PK/PD data </w:t>
      </w:r>
      <w:proofErr w:type="gramStart"/>
      <w:r>
        <w:rPr>
          <w:rFonts w:ascii="Calibri" w:eastAsia="Calibri" w:hAnsi="Calibri" w:cs="Calibri"/>
          <w:b/>
          <w:bCs/>
          <w:color w:val="1F3864"/>
          <w:sz w:val="22"/>
          <w:szCs w:val="22"/>
        </w:rPr>
        <w:t>actually carry</w:t>
      </w:r>
      <w:proofErr w:type="gramEnd"/>
      <w:r>
        <w:rPr>
          <w:rFonts w:ascii="Calibri" w:eastAsia="Calibri" w:hAnsi="Calibri" w:cs="Calibri"/>
          <w:b/>
          <w:bCs/>
          <w:color w:val="1F3864"/>
          <w:sz w:val="22"/>
          <w:szCs w:val="22"/>
        </w:rPr>
        <w:t xml:space="preserve"> in FIH dose selection?</w:t>
      </w:r>
    </w:p>
    <w:p w14:paraId="40FFB972"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 xml:space="preserve">Less than one might expect for a typical IND-enabling package. The January 2024 CBER guidance (Section V) is explicit that because CAR-T cells expand in vivo to a variable, patient-specific degree, the starting dose is often not determined from animal studies alone — nonclinical </w:t>
      </w:r>
      <w:proofErr w:type="spellStart"/>
      <w:r>
        <w:rPr>
          <w:rFonts w:ascii="Calibri" w:eastAsia="Calibri" w:hAnsi="Calibri" w:cs="Calibri"/>
          <w:sz w:val="22"/>
          <w:szCs w:val="22"/>
        </w:rPr>
        <w:t>effector:target</w:t>
      </w:r>
      <w:proofErr w:type="spellEnd"/>
      <w:r>
        <w:rPr>
          <w:rFonts w:ascii="Calibri" w:eastAsia="Calibri" w:hAnsi="Calibri" w:cs="Calibri"/>
          <w:sz w:val="22"/>
          <w:szCs w:val="22"/>
        </w:rPr>
        <w:t xml:space="preserve"> ratio, expansion-kinetics, and PK/PD anti-tumor response data are described as informative but supportive. Prior clinical experience with similar CAR-T constructs, even in a different indication, typically carries more practical weight in justifying the starting dose, with the caveat that in vivo behavior can differ by disease, antigen load, population, and construct. That's a direct consequence of the same </w:t>
      </w:r>
      <w:proofErr w:type="gramStart"/>
      <w:r>
        <w:rPr>
          <w:rFonts w:ascii="Calibri" w:eastAsia="Calibri" w:hAnsi="Calibri" w:cs="Calibri"/>
          <w:sz w:val="22"/>
          <w:szCs w:val="22"/>
        </w:rPr>
        <w:t>translational</w:t>
      </w:r>
      <w:proofErr w:type="gramEnd"/>
      <w:r>
        <w:rPr>
          <w:rFonts w:ascii="Calibri" w:eastAsia="Calibri" w:hAnsi="Calibri" w:cs="Calibri"/>
          <w:sz w:val="22"/>
          <w:szCs w:val="22"/>
        </w:rPr>
        <w:t xml:space="preserve"> gap we've been discussing all talk: animal PK/PD doesn't reliably predict human in vivo expansion for a proliferating cellular product.</w:t>
      </w:r>
    </w:p>
    <w:p w14:paraId="2D7A1FD5" w14:textId="77777777" w:rsidR="00204B5D" w:rsidRDefault="00000000">
      <w:pPr>
        <w:spacing w:before="220" w:after="60"/>
      </w:pPr>
      <w:r>
        <w:rPr>
          <w:rFonts w:ascii="Calibri" w:eastAsia="Calibri" w:hAnsi="Calibri" w:cs="Calibri"/>
          <w:b/>
          <w:bCs/>
          <w:color w:val="1F3864"/>
          <w:sz w:val="22"/>
          <w:szCs w:val="22"/>
        </w:rPr>
        <w:t xml:space="preserve">Q: If dose is only loosely coupled to exposure, how was the dose </w:t>
      </w:r>
      <w:proofErr w:type="gramStart"/>
      <w:r>
        <w:rPr>
          <w:rFonts w:ascii="Calibri" w:eastAsia="Calibri" w:hAnsi="Calibri" w:cs="Calibri"/>
          <w:b/>
          <w:bCs/>
          <w:color w:val="1F3864"/>
          <w:sz w:val="22"/>
          <w:szCs w:val="22"/>
        </w:rPr>
        <w:t>actually selected</w:t>
      </w:r>
      <w:proofErr w:type="gramEnd"/>
      <w:r>
        <w:rPr>
          <w:rFonts w:ascii="Calibri" w:eastAsia="Calibri" w:hAnsi="Calibri" w:cs="Calibri"/>
          <w:b/>
          <w:bCs/>
          <w:color w:val="1F3864"/>
          <w:sz w:val="22"/>
          <w:szCs w:val="22"/>
        </w:rPr>
        <w:t xml:space="preserve"> and justified for </w:t>
      </w:r>
      <w:proofErr w:type="spellStart"/>
      <w:r>
        <w:rPr>
          <w:rFonts w:ascii="Calibri" w:eastAsia="Calibri" w:hAnsi="Calibri" w:cs="Calibri"/>
          <w:b/>
          <w:bCs/>
          <w:color w:val="1F3864"/>
          <w:sz w:val="22"/>
          <w:szCs w:val="22"/>
        </w:rPr>
        <w:t>cilta</w:t>
      </w:r>
      <w:proofErr w:type="spellEnd"/>
      <w:r>
        <w:rPr>
          <w:rFonts w:ascii="Calibri" w:eastAsia="Calibri" w:hAnsi="Calibri" w:cs="Calibri"/>
          <w:b/>
          <w:bCs/>
          <w:color w:val="1F3864"/>
          <w:sz w:val="22"/>
          <w:szCs w:val="22"/>
        </w:rPr>
        <w:t>-cel?</w:t>
      </w:r>
    </w:p>
    <w:p w14:paraId="41240AEA"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Dose selection relied on preclinical allometric scaling and phase 1b safety/tolerability and preliminary activity data rather than a classical dose-ranging, dose-exposure design — the target dose range (0.5–1.0×10⁶ CAR+ viable T cells/kg) was fixed early and narrowly, and subsequent development focused on characterizing exposure-response rather than re-optimizing dose. That's a direct contributor to the difficulty in resolving a dose-exposure signal later in development: the tested range lacked the width needed for adequate power.</w:t>
      </w:r>
    </w:p>
    <w:p w14:paraId="1EC3995D" w14:textId="77777777" w:rsidR="00204B5D" w:rsidRDefault="00000000">
      <w:pPr>
        <w:spacing w:before="220" w:after="60"/>
      </w:pPr>
      <w:r>
        <w:rPr>
          <w:rFonts w:ascii="Calibri" w:eastAsia="Calibri" w:hAnsi="Calibri" w:cs="Calibri"/>
          <w:b/>
          <w:bCs/>
          <w:color w:val="1F3864"/>
          <w:sz w:val="22"/>
          <w:szCs w:val="22"/>
        </w:rPr>
        <w:t xml:space="preserve">Q: Has the </w:t>
      </w:r>
      <w:proofErr w:type="spellStart"/>
      <w:r>
        <w:rPr>
          <w:rFonts w:ascii="Calibri" w:eastAsia="Calibri" w:hAnsi="Calibri" w:cs="Calibri"/>
          <w:b/>
          <w:bCs/>
          <w:color w:val="1F3864"/>
          <w:sz w:val="22"/>
          <w:szCs w:val="22"/>
        </w:rPr>
        <w:t>popPK</w:t>
      </w:r>
      <w:proofErr w:type="spellEnd"/>
      <w:r>
        <w:rPr>
          <w:rFonts w:ascii="Calibri" w:eastAsia="Calibri" w:hAnsi="Calibri" w:cs="Calibri"/>
          <w:b/>
          <w:bCs/>
          <w:color w:val="1F3864"/>
          <w:sz w:val="22"/>
          <w:szCs w:val="22"/>
        </w:rPr>
        <w:t xml:space="preserve"> model been qualified for prospective use — e.g., manufacturing comparability bridging or extrapolation to a new population?</w:t>
      </w:r>
    </w:p>
    <w:p w14:paraId="50DF3CE8"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The current structural model is primarily descriptive/diagnostic rather than a formally qualified regulatory tool. Simulation-based applications — comparability bridging across process changes, informing PK sampling schedules in new protocols, or extrapolating expected exposure to earlier-line or pediatric populations — are logical next steps and increasingly proposed across the field via MIDD-type regulatory interactions, but I'd characterize this as an emerging application rather than one with an established prospective track record in this specific program.</w:t>
      </w:r>
    </w:p>
    <w:p w14:paraId="1F306BFF" w14:textId="77777777" w:rsidR="00204B5D" w:rsidRDefault="00000000">
      <w:pPr>
        <w:spacing w:before="220" w:after="60"/>
      </w:pPr>
      <w:r>
        <w:rPr>
          <w:rFonts w:ascii="Calibri" w:eastAsia="Calibri" w:hAnsi="Calibri" w:cs="Calibri"/>
          <w:b/>
          <w:bCs/>
          <w:color w:val="1F3864"/>
          <w:sz w:val="22"/>
          <w:szCs w:val="22"/>
        </w:rPr>
        <w:t>Q: What's the immunogenicity risk assessment rationale for not requiring a neutralizing antibody (</w:t>
      </w:r>
      <w:proofErr w:type="spellStart"/>
      <w:r>
        <w:rPr>
          <w:rFonts w:ascii="Calibri" w:eastAsia="Calibri" w:hAnsi="Calibri" w:cs="Calibri"/>
          <w:b/>
          <w:bCs/>
          <w:color w:val="1F3864"/>
          <w:sz w:val="22"/>
          <w:szCs w:val="22"/>
        </w:rPr>
        <w:t>NAb</w:t>
      </w:r>
      <w:proofErr w:type="spellEnd"/>
      <w:r>
        <w:rPr>
          <w:rFonts w:ascii="Calibri" w:eastAsia="Calibri" w:hAnsi="Calibri" w:cs="Calibri"/>
          <w:b/>
          <w:bCs/>
          <w:color w:val="1F3864"/>
          <w:sz w:val="22"/>
          <w:szCs w:val="22"/>
        </w:rPr>
        <w:t>) assay?</w:t>
      </w:r>
    </w:p>
    <w:p w14:paraId="1FABD5B4"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 xml:space="preserve">The tiered ADA assay data showed no apparent effect of ADA status on </w:t>
      </w:r>
      <w:proofErr w:type="spellStart"/>
      <w:r>
        <w:rPr>
          <w:rFonts w:ascii="Calibri" w:eastAsia="Calibri" w:hAnsi="Calibri" w:cs="Calibri"/>
          <w:sz w:val="22"/>
          <w:szCs w:val="22"/>
        </w:rPr>
        <w:t>Cmax</w:t>
      </w:r>
      <w:proofErr w:type="spellEnd"/>
      <w:r>
        <w:rPr>
          <w:rFonts w:ascii="Calibri" w:eastAsia="Calibri" w:hAnsi="Calibri" w:cs="Calibri"/>
          <w:sz w:val="22"/>
          <w:szCs w:val="22"/>
        </w:rPr>
        <w:t xml:space="preserve">/AUC0-28d, safety, or efficacy in either study, combined with late median time-to-seroconversion (outside the expansion phase) and generally low titers. Per current immunogenicity risk-assessment frameworks, that combination — no PK/clinical impact plus low clinical relevance of the antibody response — is what supports omitting a dedicated </w:t>
      </w:r>
      <w:proofErr w:type="spellStart"/>
      <w:r>
        <w:rPr>
          <w:rFonts w:ascii="Calibri" w:eastAsia="Calibri" w:hAnsi="Calibri" w:cs="Calibri"/>
          <w:sz w:val="22"/>
          <w:szCs w:val="22"/>
        </w:rPr>
        <w:t>NAb</w:t>
      </w:r>
      <w:proofErr w:type="spellEnd"/>
      <w:r>
        <w:rPr>
          <w:rFonts w:ascii="Calibri" w:eastAsia="Calibri" w:hAnsi="Calibri" w:cs="Calibri"/>
          <w:sz w:val="22"/>
          <w:szCs w:val="22"/>
        </w:rPr>
        <w:t xml:space="preserve"> assay. It's a conclusion specific to this construct and this immunogenicity dataset, not a general exemption for CAR-T or BCMA-directed constructs.</w:t>
      </w:r>
    </w:p>
    <w:p w14:paraId="1E32197C" w14:textId="77777777" w:rsidR="00204B5D" w:rsidRDefault="00000000">
      <w:pPr>
        <w:spacing w:before="220" w:after="60"/>
      </w:pPr>
      <w:r>
        <w:rPr>
          <w:rFonts w:ascii="Calibri" w:eastAsia="Calibri" w:hAnsi="Calibri" w:cs="Calibri"/>
          <w:b/>
          <w:bCs/>
          <w:color w:val="1F3864"/>
          <w:sz w:val="22"/>
          <w:szCs w:val="22"/>
        </w:rPr>
        <w:t>Q: The cumulative ADA incidence rose from ~15–20% at primary analysis to ~39% at closeout in CARTITUDE-1 — is that concerning?</w:t>
      </w:r>
    </w:p>
    <w:p w14:paraId="03085B47"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 xml:space="preserve">Not on its own — cumulative incidence is expected to increase with longer ADA sampling duration, since seroconversion to a CAR construct can occur gradually over years rather than within the initial on-study window. </w:t>
      </w:r>
      <w:r>
        <w:rPr>
          <w:rFonts w:ascii="Calibri" w:eastAsia="Calibri" w:hAnsi="Calibri" w:cs="Calibri"/>
          <w:sz w:val="22"/>
          <w:szCs w:val="22"/>
        </w:rPr>
        <w:lastRenderedPageBreak/>
        <w:t>The relevant clinical pharmacology question isn't the incidence number itself but whether ADA status tracks with exposure or outcomes, and across both the earlier and closeout analyses, it did not.</w:t>
      </w:r>
    </w:p>
    <w:p w14:paraId="72A2733B" w14:textId="77777777" w:rsidR="00204B5D" w:rsidRDefault="00000000">
      <w:pPr>
        <w:spacing w:before="220" w:after="60"/>
      </w:pPr>
      <w:r>
        <w:rPr>
          <w:rFonts w:ascii="Calibri" w:eastAsia="Calibri" w:hAnsi="Calibri" w:cs="Calibri"/>
          <w:b/>
          <w:bCs/>
          <w:color w:val="1F3864"/>
          <w:sz w:val="22"/>
          <w:szCs w:val="22"/>
        </w:rPr>
        <w:t>Q: If exposure only partially explains CRS/ICANS severity, what covariates would you prioritize in a future exposure-safety model?</w:t>
      </w:r>
    </w:p>
    <w:p w14:paraId="5D2B805E"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Baseline tumor burden, lymphodepletion regimen/timing, baseline inflammatory markers (e.g., ferritin, CRP), and CAR-T product composition/phenotype (e.g., CD4:CD8 ratio, naive/memory subset fractions) would be reasonable candidate covariates, several of which are under active investigation across the field. Exposure captures part of the variance — largely because expansion magnitude correlates with cytokine release — but clearly isn't sufficient alone, which is why exposure-only risk stratification isn't yet used clinically for this class.</w:t>
      </w:r>
    </w:p>
    <w:p w14:paraId="68E87023" w14:textId="77777777" w:rsidR="00204B5D" w:rsidRDefault="00000000">
      <w:pPr>
        <w:spacing w:before="220" w:after="60"/>
      </w:pPr>
      <w:r>
        <w:rPr>
          <w:rFonts w:ascii="Calibri" w:eastAsia="Calibri" w:hAnsi="Calibri" w:cs="Calibri"/>
          <w:b/>
          <w:bCs/>
          <w:color w:val="1F3864"/>
          <w:sz w:val="22"/>
          <w:szCs w:val="22"/>
        </w:rPr>
        <w:t xml:space="preserve">Q: How does this exposure-response profile compare with </w:t>
      </w:r>
      <w:proofErr w:type="spellStart"/>
      <w:r>
        <w:rPr>
          <w:rFonts w:ascii="Calibri" w:eastAsia="Calibri" w:hAnsi="Calibri" w:cs="Calibri"/>
          <w:b/>
          <w:bCs/>
          <w:color w:val="1F3864"/>
          <w:sz w:val="22"/>
          <w:szCs w:val="22"/>
        </w:rPr>
        <w:t>Abecma</w:t>
      </w:r>
      <w:proofErr w:type="spellEnd"/>
      <w:r>
        <w:rPr>
          <w:rFonts w:ascii="Calibri" w:eastAsia="Calibri" w:hAnsi="Calibri" w:cs="Calibri"/>
          <w:b/>
          <w:bCs/>
          <w:color w:val="1F3864"/>
          <w:sz w:val="22"/>
          <w:szCs w:val="22"/>
        </w:rPr>
        <w:t>, the other BCMA-directed CAR-T?</w:t>
      </w:r>
    </w:p>
    <w:p w14:paraId="3822CE53"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 xml:space="preserve">Qualitatively, both programs show the same structural features — multi-phasic expansion/contraction/persistence kinetics, high ISV, and a directional E-R trend for both efficacy and CRS — consistent with a class effect of BCMA-directed autologous CAR-T rather than something construct-specific to </w:t>
      </w:r>
      <w:proofErr w:type="spellStart"/>
      <w:r>
        <w:rPr>
          <w:rFonts w:ascii="Calibri" w:eastAsia="Calibri" w:hAnsi="Calibri" w:cs="Calibri"/>
          <w:sz w:val="22"/>
          <w:szCs w:val="22"/>
        </w:rPr>
        <w:t>cilta</w:t>
      </w:r>
      <w:proofErr w:type="spellEnd"/>
      <w:r>
        <w:rPr>
          <w:rFonts w:ascii="Calibri" w:eastAsia="Calibri" w:hAnsi="Calibri" w:cs="Calibri"/>
          <w:sz w:val="22"/>
          <w:szCs w:val="22"/>
        </w:rPr>
        <w:t>-cel. I'd avoid direct quantitative cross-trial exposure comparisons, though, given differing bioanalytical assay platforms, sampling schedules, and exposure-metric definitions between programs — that's a genuine cross-trial comparability limitation, not just a caveat.</w:t>
      </w:r>
    </w:p>
    <w:p w14:paraId="2A52174D" w14:textId="77777777" w:rsidR="00204B5D" w:rsidRDefault="00000000">
      <w:pPr>
        <w:spacing w:before="220" w:after="60"/>
      </w:pPr>
      <w:r>
        <w:rPr>
          <w:rFonts w:ascii="Calibri" w:eastAsia="Calibri" w:hAnsi="Calibri" w:cs="Calibri"/>
          <w:b/>
          <w:bCs/>
          <w:color w:val="1F3864"/>
          <w:sz w:val="22"/>
          <w:szCs w:val="22"/>
        </w:rPr>
        <w:t xml:space="preserve">Q: Is there an </w:t>
      </w:r>
      <w:proofErr w:type="spellStart"/>
      <w:r>
        <w:rPr>
          <w:rFonts w:ascii="Calibri" w:eastAsia="Calibri" w:hAnsi="Calibri" w:cs="Calibri"/>
          <w:b/>
          <w:bCs/>
          <w:color w:val="1F3864"/>
          <w:sz w:val="22"/>
          <w:szCs w:val="22"/>
        </w:rPr>
        <w:t>sBCMA</w:t>
      </w:r>
      <w:proofErr w:type="spellEnd"/>
      <w:r>
        <w:rPr>
          <w:rFonts w:ascii="Calibri" w:eastAsia="Calibri" w:hAnsi="Calibri" w:cs="Calibri"/>
          <w:b/>
          <w:bCs/>
          <w:color w:val="1F3864"/>
          <w:sz w:val="22"/>
          <w:szCs w:val="22"/>
        </w:rPr>
        <w:t>-analogous PD biomarker being explored for CD19-directed CAR-T programs?</w:t>
      </w:r>
    </w:p>
    <w:p w14:paraId="2A54B3F3"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 xml:space="preserve">Conceptually yes — circulating tumor DNA, MRD by flow cytometry or NGS (10⁻⁵ to 10⁻⁶ sensitivity), and disease-specific markers such as involved serum free light chains or LDH are being explored as PD/response biomarkers in those settings. None has quite the same direct shed-antigen pharmacodynamic relationship that </w:t>
      </w:r>
      <w:proofErr w:type="spellStart"/>
      <w:r>
        <w:rPr>
          <w:rFonts w:ascii="Calibri" w:eastAsia="Calibri" w:hAnsi="Calibri" w:cs="Calibri"/>
          <w:sz w:val="22"/>
          <w:szCs w:val="22"/>
        </w:rPr>
        <w:t>sBCMA</w:t>
      </w:r>
      <w:proofErr w:type="spellEnd"/>
      <w:r>
        <w:rPr>
          <w:rFonts w:ascii="Calibri" w:eastAsia="Calibri" w:hAnsi="Calibri" w:cs="Calibri"/>
          <w:sz w:val="22"/>
          <w:szCs w:val="22"/>
        </w:rPr>
        <w:t xml:space="preserve"> has with a BCMA-directed construct, so biomarker qualification is necessarily target- and disease-specific.</w:t>
      </w:r>
    </w:p>
    <w:p w14:paraId="0E8835FD" w14:textId="77777777" w:rsidR="00204B5D" w:rsidRDefault="00000000">
      <w:pPr>
        <w:spacing w:before="220" w:after="60"/>
      </w:pPr>
      <w:r>
        <w:rPr>
          <w:rFonts w:ascii="Calibri" w:eastAsia="Calibri" w:hAnsi="Calibri" w:cs="Calibri"/>
          <w:b/>
          <w:bCs/>
          <w:color w:val="1F3864"/>
          <w:sz w:val="22"/>
          <w:szCs w:val="22"/>
        </w:rPr>
        <w:t>Q: With CARVYKTI moving into earlier treatment lines, would you expect the CK or exposure-safety relationship to shift?</w:t>
      </w:r>
    </w:p>
    <w:p w14:paraId="1A8BF40B"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Earlier-line patients typically present with better-preserved T-cell fitness and lower tumor/immune burden entering apheresis and lymphodepletion, which in other CAR-T programs has been associated with improved expansion and sometimes a different AE timing/severity pattern. CARTITUDE-4 is itself the earlier-line evidence base, and its safety profile was broadly consistent with CARTITUDE-1, but continued pharmacovigilance and real-world CK characterization in this expanding population would be prudent.</w:t>
      </w:r>
    </w:p>
    <w:p w14:paraId="061E0844" w14:textId="77777777" w:rsidR="00204B5D" w:rsidRDefault="00000000">
      <w:pPr>
        <w:spacing w:before="220" w:after="60"/>
      </w:pPr>
      <w:r>
        <w:rPr>
          <w:rFonts w:ascii="Calibri" w:eastAsia="Calibri" w:hAnsi="Calibri" w:cs="Calibri"/>
          <w:b/>
          <w:bCs/>
          <w:color w:val="1F3864"/>
          <w:sz w:val="22"/>
          <w:szCs w:val="22"/>
        </w:rPr>
        <w:t>Q: What's the rate-limiting factor in scaling patient access to this therapy?</w:t>
      </w:r>
    </w:p>
    <w:p w14:paraId="492FCA01"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Manufacturing capacity and vein-to-vein turnaround time remain the dominant practical constraints — slot availability at qualified manufacturing sites and the logistics of bridging therapy during manufacturing, rather than an unresolved pharmacology question. That's why the CMC/manufacturing-capacity point is called out explicitly on the challenges slide.</w:t>
      </w:r>
    </w:p>
    <w:p w14:paraId="49657622" w14:textId="77777777" w:rsidR="00204B5D" w:rsidRDefault="00000000">
      <w:pPr>
        <w:spacing w:before="220" w:after="60"/>
      </w:pPr>
      <w:r>
        <w:rPr>
          <w:rFonts w:ascii="Calibri" w:eastAsia="Calibri" w:hAnsi="Calibri" w:cs="Calibri"/>
          <w:b/>
          <w:bCs/>
          <w:color w:val="1F3864"/>
          <w:sz w:val="22"/>
          <w:szCs w:val="22"/>
        </w:rPr>
        <w:t>Q: Is there real-world evidence supporting generalizability of these trial-derived E-R findings?</w:t>
      </w:r>
    </w:p>
    <w:p w14:paraId="5471D429"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Real-world CAR-T registries and comparative-effectiveness analyses benchmarking CARTITUDE-4-eligible real-world cohorts against trial data are beginning to emerge and directionally support the trial findings, though real-</w:t>
      </w:r>
      <w:r>
        <w:rPr>
          <w:rFonts w:ascii="Calibri" w:eastAsia="Calibri" w:hAnsi="Calibri" w:cs="Calibri"/>
          <w:sz w:val="22"/>
          <w:szCs w:val="22"/>
        </w:rPr>
        <w:lastRenderedPageBreak/>
        <w:t>world populations skew older and more comorbid than trial-eligible populations, which is a relevant caveat before extrapolating trial-derived exposure-response relationships without adjustment.</w:t>
      </w:r>
    </w:p>
    <w:p w14:paraId="2DE5129F" w14:textId="77777777" w:rsidR="00204B5D" w:rsidRDefault="00000000">
      <w:pPr>
        <w:spacing w:before="220" w:after="60"/>
      </w:pPr>
      <w:r>
        <w:rPr>
          <w:rFonts w:ascii="Calibri" w:eastAsia="Calibri" w:hAnsi="Calibri" w:cs="Calibri"/>
          <w:b/>
          <w:bCs/>
          <w:color w:val="1F3864"/>
          <w:sz w:val="22"/>
          <w:szCs w:val="22"/>
        </w:rPr>
        <w:t>Q: In one sentence, what's the clinical pharmacology takeaway from the CARVYKTI program?</w:t>
      </w:r>
    </w:p>
    <w:p w14:paraId="48081C8D" w14:textId="77777777" w:rsidR="00204B5D" w:rsidRDefault="00000000">
      <w:pPr>
        <w:spacing w:after="120" w:line="290" w:lineRule="auto"/>
      </w:pPr>
      <w:r>
        <w:rPr>
          <w:rFonts w:ascii="Calibri" w:eastAsia="Calibri" w:hAnsi="Calibri" w:cs="Calibri"/>
          <w:b/>
          <w:bCs/>
          <w:sz w:val="22"/>
          <w:szCs w:val="22"/>
        </w:rPr>
        <w:t xml:space="preserve">A: </w:t>
      </w:r>
      <w:r>
        <w:rPr>
          <w:rFonts w:ascii="Calibri" w:eastAsia="Calibri" w:hAnsi="Calibri" w:cs="Calibri"/>
          <w:sz w:val="22"/>
          <w:szCs w:val="22"/>
        </w:rPr>
        <w:t>A single infusion of a proliferating cellular therapeutic produces highly variable but structurally reproducible cellular kinetics, a real but insufficiently tight exposure-response relationship for both efficacy and key toxicities to support exposure-guided dose individualization, and no clinically meaningful immunogenicity signal — collectively supporting continued investment in mechanistic/population modeling and pharmacodynamic biomarkers over classical dose-optimization strategies for this drug class.</w:t>
      </w:r>
    </w:p>
    <w:sectPr w:rsidR="00204B5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2E24E7"/>
    <w:multiLevelType w:val="hybridMultilevel"/>
    <w:tmpl w:val="C3ECCF48"/>
    <w:lvl w:ilvl="0" w:tplc="AF2A83E0">
      <w:start w:val="1"/>
      <w:numFmt w:val="bullet"/>
      <w:lvlText w:val="●"/>
      <w:lvlJc w:val="left"/>
      <w:pPr>
        <w:ind w:left="720" w:hanging="360"/>
      </w:pPr>
    </w:lvl>
    <w:lvl w:ilvl="1" w:tplc="BA0856C4">
      <w:start w:val="1"/>
      <w:numFmt w:val="bullet"/>
      <w:lvlText w:val="○"/>
      <w:lvlJc w:val="left"/>
      <w:pPr>
        <w:ind w:left="1440" w:hanging="360"/>
      </w:pPr>
    </w:lvl>
    <w:lvl w:ilvl="2" w:tplc="0BA89DFA">
      <w:start w:val="1"/>
      <w:numFmt w:val="bullet"/>
      <w:lvlText w:val="■"/>
      <w:lvlJc w:val="left"/>
      <w:pPr>
        <w:ind w:left="2160" w:hanging="360"/>
      </w:pPr>
    </w:lvl>
    <w:lvl w:ilvl="3" w:tplc="2BDC0D22">
      <w:start w:val="1"/>
      <w:numFmt w:val="bullet"/>
      <w:lvlText w:val="●"/>
      <w:lvlJc w:val="left"/>
      <w:pPr>
        <w:ind w:left="2880" w:hanging="360"/>
      </w:pPr>
    </w:lvl>
    <w:lvl w:ilvl="4" w:tplc="1486B910">
      <w:start w:val="1"/>
      <w:numFmt w:val="bullet"/>
      <w:lvlText w:val="○"/>
      <w:lvlJc w:val="left"/>
      <w:pPr>
        <w:ind w:left="3600" w:hanging="360"/>
      </w:pPr>
    </w:lvl>
    <w:lvl w:ilvl="5" w:tplc="3FE21FDA">
      <w:start w:val="1"/>
      <w:numFmt w:val="bullet"/>
      <w:lvlText w:val="■"/>
      <w:lvlJc w:val="left"/>
      <w:pPr>
        <w:ind w:left="4320" w:hanging="360"/>
      </w:pPr>
    </w:lvl>
    <w:lvl w:ilvl="6" w:tplc="6096E90A">
      <w:start w:val="1"/>
      <w:numFmt w:val="bullet"/>
      <w:lvlText w:val="●"/>
      <w:lvlJc w:val="left"/>
      <w:pPr>
        <w:ind w:left="5040" w:hanging="360"/>
      </w:pPr>
    </w:lvl>
    <w:lvl w:ilvl="7" w:tplc="A6DCC1A0">
      <w:start w:val="1"/>
      <w:numFmt w:val="bullet"/>
      <w:lvlText w:val="●"/>
      <w:lvlJc w:val="left"/>
      <w:pPr>
        <w:ind w:left="5760" w:hanging="360"/>
      </w:pPr>
    </w:lvl>
    <w:lvl w:ilvl="8" w:tplc="C5FE4ABE">
      <w:start w:val="1"/>
      <w:numFmt w:val="bullet"/>
      <w:lvlText w:val="●"/>
      <w:lvlJc w:val="left"/>
      <w:pPr>
        <w:ind w:left="6480" w:hanging="360"/>
      </w:pPr>
    </w:lvl>
  </w:abstractNum>
  <w:num w:numId="1" w16cid:durableId="14222180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4B5D"/>
    <w:rsid w:val="00204B5D"/>
    <w:rsid w:val="00354DB7"/>
    <w:rsid w:val="00DB56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8F54B"/>
  <w15:docId w15:val="{FD5696D5-2E38-4E10-A013-7BD497D78F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5359</Words>
  <Characters>30552</Characters>
  <Application>Microsoft Office Word</Application>
  <DocSecurity>0</DocSecurity>
  <Lines>254</Lines>
  <Paragraphs>71</Paragraphs>
  <ScaleCrop>false</ScaleCrop>
  <Company/>
  <LinksUpToDate>false</LinksUpToDate>
  <CharactersWithSpaces>35840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Tairan Yang</cp:lastModifiedBy>
  <cp:revision>2</cp:revision>
  <dcterms:created xsi:type="dcterms:W3CDTF">2026-08-27T18:02:00Z</dcterms:created>
  <dcterms:modified xsi:type="dcterms:W3CDTF">2026-08-27T18:24:00Z</dcterms:modified>
</cp:coreProperties>
</file>