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3864"/>
          <w:sz w:val="32"/>
        </w:rPr>
        <w:t>Study CYB003-101</w:t>
      </w:r>
    </w:p>
    <w:p>
      <w:pPr>
        <w:spacing w:after="40"/>
        <w:jc w:val="center"/>
      </w:pPr>
      <w:r>
        <w:rPr>
          <w:b/>
          <w:i w:val="0"/>
          <w:sz w:val="25"/>
        </w:rPr>
        <w:t>Exploratory Pharmacokinetic/Pharmacodynamic Analyses — Text for the Clinical Study Report</w:t>
      </w:r>
    </w:p>
    <w:p>
      <w:pPr>
        <w:spacing w:after="200"/>
        <w:jc w:val="center"/>
        <w:pBdr>
          <w:bottom w:val="single" w:sz="6" w:color="1F3864" w:space="4"/>
        </w:pBdr>
      </w:pPr>
      <w:r>
        <w:rPr>
          <w:b w:val="0"/>
          <w:i/>
          <w:color w:val="595959"/>
          <w:sz w:val="19"/>
        </w:rPr>
        <w:t>Proposed text for Section 11.4.5 (Drug Dose, Drug Concentration, and Relationships to Response) and Section 13 (Discussion and Overall Conclusions) — 20 October 2026</w:t>
      </w:r>
    </w:p>
    <w:p>
      <w:pPr>
        <w:spacing w:after="60" w:before="120"/>
      </w:pPr>
      <w:r>
        <w:rPr>
          <w:b/>
          <w:i w:val="0"/>
          <w:color w:val="1F3864"/>
          <w:sz w:val="22"/>
        </w:rPr>
        <w:t>11.4.5 Exploratory Pharmacokinetic/Pharmacodynamic Analyses</w:t>
      </w:r>
    </w:p>
    <w:p>
      <w:pPr>
        <w:spacing w:after="120" w:line="259" w:lineRule="auto"/>
        <w:jc w:val="both"/>
      </w:pPr>
      <w:r>
        <w:t>Exploratory exposure–response analyses were performed to characterize the relationships between CYB003 plasma concentration and supine blood pressure, supine pulse rate, and hallucination/perceptual adverse events following the single oral dose of CYB003 16 mg administered with the CYP probe cocktail on Day 8 (34 participants). Hemodynamic endpoints were evaluated as the change from baseline on Day 8 corrected for the corresponding change on Day 1 (probe cocktail alone). The methods and complete results of these analyses are presented in the PK/PD Analysis Report (Appendix 16.1.x).</w:t>
      </w:r>
    </w:p>
    <w:p>
      <w:pPr>
        <w:spacing w:after="120" w:line="259" w:lineRule="auto"/>
        <w:jc w:val="both"/>
      </w:pPr>
      <w:r>
        <w:rPr>
          <w:b/>
        </w:rPr>
        <w:t xml:space="preserve">Blood pressure. </w:t>
      </w:r>
      <w:r>
        <w:t>Increases in supine systolic and diastolic blood pressure were concentration-dependent. The model-predicted increases at the geometric mean C</w:t>
      </w:r>
      <w:r>
        <w:rPr>
          <w:vertAlign w:val="subscript"/>
        </w:rPr>
        <w:t>max</w:t>
      </w:r>
      <w:r>
        <w:t xml:space="preserve"> of CYB003 (26.9 ng/mL) were 24.8 mmHg (90% CI: 21.0, 28.5) for systolic blood pressure and 13.5 mmHg (90% CI: 11.2, 15.9) for diastolic blood pressure. The maximum mean increases from baseline (21.1 mmHg systolic and 10.9 mmHg diastolic) were observed at 2 hours post-dose. An increase of greater than 20% above baseline was observed in 14 of 34 participants (41.2%) for systolic blood pressure and in 14 of 34 participants (41.2%) for diastolic blood pressure; in all of these participants, blood pressure had returned to within 20% of baseline by 8 hours post-dose for systolic and by 6 hours post-dose for diastolic blood pressure, with a median time to return of 4 hours. No participant had a blood pressure value greater than 20% above baseline at 8 hours post-dose or later.</w:t>
      </w:r>
    </w:p>
    <w:p>
      <w:pPr>
        <w:spacing w:after="120" w:line="259" w:lineRule="auto"/>
        <w:jc w:val="both"/>
      </w:pPr>
      <w:r>
        <w:rPr>
          <w:b/>
        </w:rPr>
        <w:t xml:space="preserve">Pulse rate. </w:t>
      </w:r>
      <w:r>
        <w:t>Increases in supine pulse rate were concentration-dependent, with a model-predicted increase of 13.8 bpm (90% CI: 10.5, 17.1) at the geometric mean C</w:t>
      </w:r>
      <w:r>
        <w:rPr>
          <w:vertAlign w:val="subscript"/>
        </w:rPr>
        <w:t>max</w:t>
      </w:r>
      <w:r>
        <w:t xml:space="preserve"> and a maximum mean increase from baseline of 14.8 bpm at 4 hours post-dose. For both blood pressure and pulse rate, the maximum effect coincided with the time of maximum plasma concentration, and no delay between concentration and effect was evident.</w:t>
      </w:r>
    </w:p>
    <w:p>
      <w:pPr>
        <w:spacing w:after="120" w:line="259" w:lineRule="auto"/>
        <w:jc w:val="both"/>
      </w:pPr>
      <w:r>
        <w:rPr>
          <w:b/>
        </w:rPr>
        <w:t xml:space="preserve">Hallucination and perceptual adverse events. </w:t>
      </w:r>
      <w:r>
        <w:t>Hallucination/perceptual adverse events were reported in 30 of 34 participants (88.2%), with a total of 47 events. All events were mild (43 events) or moderate (4 events) in intensity, and all resolved without intervention. The Kaplan-Meier median time to onset of the first event was 0.9 hours post-dose, the median duration of individual events was 4.8 hours, and the Kaplan-Meier median time to resolution of the last event was 6.5 hours post-dose; all events had resolved by 11.3 hours post-dose. The probability of hallucination at a given time increased with CYB003 plasma concentration: the model-predicted probability was 0.07 at a plasma concentration of 0 ng/mL and 0.89 at the geometric mean C</w:t>
      </w:r>
      <w:r>
        <w:rPr>
          <w:vertAlign w:val="subscript"/>
        </w:rPr>
        <w:t>max</w:t>
      </w:r>
      <w:r>
        <w:t>, and the plasma concentrations associated with a 20% and a 50% probability of hallucination (EC20 and EC50) were 6.8 ng/mL (90% CI: 4.7, 9.1) and 14.8 ng/mL (90% CI: 12.7, 17.4), respectively. Mean plasma concentrations had declined below the EC20 by 12 hours post-dose (90th percentile by 16 hours post-dose), consistent with the absence of hallucination beyond 12 hours post-dose. The duration of hallucination was correlated with the terminal elimination half-life of CYB003 (Spearman correlation coefficients 0.34 to 0.40) but not with C</w:t>
      </w:r>
      <w:r>
        <w:rPr>
          <w:vertAlign w:val="subscript"/>
        </w:rPr>
        <w:t>max</w:t>
      </w:r>
      <w:r>
        <w:t xml:space="preserve"> or AUC</w:t>
      </w:r>
      <w:r>
        <w:rPr>
          <w:vertAlign w:val="subscript"/>
        </w:rPr>
        <w:t>0–∞</w:t>
      </w:r>
      <w:r>
        <w:t>.</w:t>
      </w:r>
    </w:p>
    <w:p>
      <w:pPr>
        <w:spacing w:after="60" w:before="120"/>
      </w:pPr>
      <w:r>
        <w:rPr>
          <w:b/>
          <w:i w:val="0"/>
          <w:color w:val="1F3864"/>
          <w:sz w:val="22"/>
        </w:rPr>
        <w:t>13 Overall Conclusions (Pharmacokinetic/Pharmacodynamic)</w:t>
      </w:r>
    </w:p>
    <w:p>
      <w:pPr>
        <w:spacing w:after="120" w:line="259" w:lineRule="auto"/>
        <w:jc w:val="both"/>
      </w:pPr>
      <w:r>
        <w:t>Following a single oral dose of CYB003 16 mg, concentration-dependent increases in supine blood pressure and pulse rate and a concentration-dependent perceptual effect were observed. Each of these effects followed the plasma concentration–time profile of CYB003 and resolved within the observation period: blood pressure had returned to within 20% of baseline in all participants by 8 hours post-dose, and all hallucination/perceptual adverse events had resolved by approximately 12 hours post-dose. The magnitude and likelihood of these effects were related to the plasma concentration of CYB003, whereas the duration of the perceptual effect was related to the rate of elimination of CYB003. These analyses were exploratory, were based on a single dose level in healthy adult male participants, and were not adjusted for multiplicity; the exposure–response relationships should be confirmed at additional dose levels.</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