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Clinical Pharmacology Assessment</w:t>
      </w:r>
    </w:p>
    <w:p>
      <w:pPr>
        <w:spacing w:after="30"/>
        <w:jc w:val="center"/>
      </w:pPr>
      <w:r>
        <w:rPr>
          <w:b/>
          <w:bCs/>
          <w:sz w:val="22"/>
          <w:szCs w:val="22"/>
        </w:rPr>
        <w:t xml:space="preserve">CYB003 Blood-Pressure Exposure–Response: Time-Matched Concentration vs Cₘₐₓ</w:t>
      </w:r>
    </w:p>
    <w:p>
      <w:pPr>
        <w:spacing w:after="180"/>
        <w:jc w:val="center"/>
      </w:pPr>
      <w:r>
        <w:rPr>
          <w:i/>
          <w:iCs/>
          <w:color w:val="595959"/>
          <w:sz w:val="18"/>
          <w:szCs w:val="18"/>
        </w:rPr>
        <w:t xml:space="preserve">Study CYB003-101 (exploratory PK/PD) — Draft v0.1</w:t>
      </w:r>
    </w:p>
    <w:p>
      <w:pPr>
        <w:pBdr>
          <w:bottom w:val="single" w:color="1F3864" w:sz="6" w:space="6"/>
        </w:pBdr>
      </w:pPr>
      <w:r>
        <w:t xml:space="preserve"/>
      </w:r>
    </w:p>
    <w:p>
      <w:pPr>
        <w:pStyle w:val="Heading1"/>
        <w:spacing w:after="100" w:before="260"/>
      </w:pPr>
      <w:r>
        <w:rPr>
          <w:b/>
          <w:bCs/>
          <w:color w:val="1F3864"/>
        </w:rPr>
        <w:t xml:space="preserve">1. Bottom Line</w:t>
      </w:r>
    </w:p>
    <w:p>
      <w:pPr>
        <w:spacing w:after="110" w:line="270"/>
        <w:jc w:val="both"/>
      </w:pPr>
      <w:r>
        <w:t xml:space="preserve">Two exposure–response views of the same Day-8 data point in </w:t>
      </w:r>
      <w:r>
        <w:rPr>
          <w:b/>
          <w:bCs/>
        </w:rPr>
        <w:t xml:space="preserve">opposite directions</w:t>
      </w:r>
      <w:r>
        <w:t xml:space="preserve">. Against </w:t>
      </w:r>
      <w:r>
        <w:rPr>
          <w:b/>
          <w:bCs/>
        </w:rPr>
        <w:t xml:space="preserve">time-matched CYB003 concentration</w:t>
      </w:r>
      <w:r>
        <w:t xml:space="preserve"> (within-subject), ΔΔSBP and ΔΔDBP rise steeply and significantly with drug level. Against </w:t>
      </w:r>
      <w:r>
        <w:rPr>
          <w:b/>
          <w:bCs/>
        </w:rPr>
        <w:t xml:space="preserve">individual Cₘₐₓ</w:t>
      </w:r>
      <w:r>
        <w:t xml:space="preserve"> (between-subject), the relationship is flat and non-significant (slightly negative for SBP, slightly positive for DBP). This is not a contradiction: the two analyses estimate different parameters. The within-subject relationship is the valid basis for an exposure–response characterization; the between-subject Cₘₐₓ regression is uninformative over a single-dose exposure range and must not be read as “no effect.” </w:t>
      </w:r>
      <w:r>
        <w:rPr>
          <w:b/>
          <w:bCs/>
        </w:rPr>
        <w:t xml:space="preserve">CYB003 has a real, transient, concentration-linked pressor effect (≈ +20/+11 mmHg SBP/DBP at geometric-mean Cₘₐₓ), which should be carried forward as a within-subject, reference-corrected concentration–response and confirmed across doses.</w:t>
      </w:r>
    </w:p>
    <w:p>
      <w:pPr>
        <w:pStyle w:val="Heading1"/>
        <w:spacing w:after="100" w:before="260"/>
      </w:pPr>
      <w:r>
        <w:rPr>
          <w:b/>
          <w:bCs/>
          <w:color w:val="1F3864"/>
        </w:rPr>
        <w:t xml:space="preserve">2. The Two Analyses</w:t>
      </w:r>
    </w:p>
    <w:p>
      <w:pPr>
        <w:spacing w:after="110" w:line="270"/>
        <w:jc w:val="both"/>
      </w:pPr>
      <w:r>
        <w:t xml:space="preserve">Endpoint is the reference-corrected change ΔΔ = (Day 8 change-from-baseline) − (Day 1 change-from-baseline), time-matched by participant and nominal timepoint. Day 1 (CYP probes alone, no CYB003) is the within-subject time-matched control, removing circadian drift and the probe cocktail's own hemodynamic effects (notably metoprolol). Models are linear mixed-effects with a random intercept; slopes carry 90% CI. n = 33 participants.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2400"/>
        <w:gridCol w:w="2050"/>
        <w:gridCol w:w="20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Contrast</w:t>
            </w:r>
          </w:p>
        </w:tc>
        <w:tc>
          <w:tcPr>
            <w:tcW w:type="dxa" w:w="2400"/>
            <w:shd w:fill="1F3864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Exposure variable</w:t>
            </w:r>
          </w:p>
        </w:tc>
        <w:tc>
          <w:tcPr>
            <w:tcW w:type="dxa" w:w="2050"/>
            <w:shd w:fill="1F3864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SBP slope (90% CI)</w:t>
            </w:r>
          </w:p>
        </w:tc>
        <w:tc>
          <w:tcPr>
            <w:tcW w:type="dxa" w:w="2050"/>
            <w:shd w:fill="1F3864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DBP slope (90% CI)</w:t>
            </w:r>
          </w:p>
        </w:tc>
      </w:tr>
      <w:tr>
        <w:tc>
          <w:tcPr>
            <w:tcW w:type="dxa" w:w="25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Within-subject</w:t>
            </w:r>
          </w:p>
        </w:tc>
        <w:tc>
          <w:tcPr>
            <w:tcW w:type="dxa" w:w="24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Time-matched conc. (ng/mL)</w:t>
            </w:r>
          </w:p>
        </w:tc>
        <w:tc>
          <w:tcPr>
            <w:tcW w:type="dxa" w:w="205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+1.14 (+0.93, +1.36)</w:t>
            </w:r>
          </w:p>
        </w:tc>
        <w:tc>
          <w:tcPr>
            <w:tcW w:type="dxa" w:w="205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+0.67 (+0.52, +0.81)</w:t>
            </w:r>
          </w:p>
        </w:tc>
      </w:tr>
      <w:tr>
        <w:tc>
          <w:tcPr>
            <w:tcW w:type="dxa" w:w="25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Between-subject</w:t>
            </w:r>
          </w:p>
        </w:tc>
        <w:tc>
          <w:tcPr>
            <w:tcW w:type="dxa" w:w="24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Individual Cₘₐₓ (ng/mL)</w:t>
            </w:r>
          </w:p>
        </w:tc>
        <w:tc>
          <w:tcPr>
            <w:tcW w:type="dxa" w:w="205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−0.31 (n.s.)</w:t>
            </w:r>
          </w:p>
        </w:tc>
        <w:tc>
          <w:tcPr>
            <w:tcW w:type="dxa" w:w="205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+0.28 (n.s.)</w:t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95959"/>
          <w:sz w:val="15"/>
          <w:szCs w:val="15"/>
        </w:rPr>
        <w:t xml:space="preserve">Table 1. Slopes (mmHg per ng/mL). Within-subject = ΔΔ vs time-matched concentration; between-subject = subject-level ΔΔ vs individual Cₘₐₓ. Predicted ΔΔ at geometric-mean Cₘₐₓ (26.9 ng/mL): SBP +20.4 (16.5, 24.3), DBP +11.1 (8.8, 13.5) mmHg.</w:t>
      </w:r>
    </w:p>
    <w:p>
      <w:pPr>
        <w:spacing w:after="16" w:before="70"/>
        <w:jc w:val="center"/>
      </w:pPr>
      <w:r>
        <w:drawing>
          <wp:inline distT="0" distB="0" distL="0" distR="0">
            <wp:extent cx="59436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"/>
        <w:jc w:val="center"/>
      </w:pPr>
      <w:r>
        <w:rPr>
          <w:i/>
          <w:iCs/>
          <w:color w:val="595959"/>
          <w:sz w:val="15"/>
          <w:szCs w:val="15"/>
        </w:rPr>
        <w:t xml:space="preserve">Figure 1. ΔΔ SBP and DBP vs time-matched CYB003 concentration (within-subject). Green = reference-corrected fit; navy dashed = uncorrected single-Δ fit. The positive slope persists — and steepens for SBP — after Day-1 correction, so it is not circadian.</w:t>
      </w:r>
    </w:p>
    <w:p>
      <w:pPr>
        <w:spacing w:after="16" w:before="70"/>
        <w:jc w:val="center"/>
      </w:pPr>
      <w:r>
        <w:drawing>
          <wp:inline distT="0" distB="0" distL="0" distR="0">
            <wp:extent cx="4829175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"/>
        <w:jc w:val="center"/>
      </w:pPr>
      <w:r>
        <w:rPr>
          <w:i/>
          <w:iCs/>
          <w:color w:val="595959"/>
          <w:sz w:val="15"/>
          <w:szCs w:val="15"/>
        </w:rPr>
        <w:t xml:space="preserve">Figure 2. Subject-level ΔΔ (peak and mean) vs individual Cₘₐₓ (between-subject). No significant gradient for either endpoint; SBP slightly negative, DBP slightly positive.</w:t>
      </w:r>
    </w:p>
    <w:p>
      <w:pPr>
        <w:pStyle w:val="Heading1"/>
        <w:spacing w:after="100" w:before="260"/>
      </w:pPr>
      <w:r>
        <w:rPr>
          <w:b/>
          <w:bCs/>
          <w:color w:val="1F3864"/>
        </w:rPr>
        <w:t xml:space="preserve">3. Why the Trends Are Opposite</w:t>
      </w:r>
    </w:p>
    <w:p>
      <w:pPr>
        <w:spacing w:after="110" w:line="270"/>
        <w:jc w:val="both"/>
      </w:pPr>
      <w:r>
        <w:t xml:space="preserve">A within/between decomposition (a single model with concentration split into each subject's own fluctuation and their mean level) shows the effect lives almost entirely in the within-subject dimension: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3600"/>
            <w:shd w:fill="1F3864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Within-subject slope (90% CI)</w:t>
            </w:r>
          </w:p>
        </w:tc>
        <w:tc>
          <w:tcPr>
            <w:tcW w:type="dxa" w:w="3600"/>
            <w:shd w:fill="1F3864" w:val="clear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Between-subject slope (90% CI)</w:t>
            </w:r>
          </w:p>
        </w:tc>
      </w:tr>
      <w:tr>
        <w:tc>
          <w:tcPr>
            <w:tcW w:type="dxa" w:w="18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SBP</w:t>
            </w:r>
          </w:p>
        </w:tc>
        <w:tc>
          <w:tcPr>
            <w:tcW w:type="dxa" w:w="36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+1.25 (+1.02, +1.47)</w:t>
            </w:r>
          </w:p>
        </w:tc>
        <w:tc>
          <w:tcPr>
            <w:tcW w:type="dxa" w:w="36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+0.16 (−0.47, +0.79)</w:t>
            </w:r>
          </w:p>
        </w:tc>
      </w:tr>
      <w:tr>
        <w:tc>
          <w:tcPr>
            <w:tcW w:type="dxa" w:w="18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DBP</w:t>
            </w:r>
          </w:p>
        </w:tc>
        <w:tc>
          <w:tcPr>
            <w:tcW w:type="dxa" w:w="36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+0.71 (+0.56, +0.86)</w:t>
            </w:r>
          </w:p>
        </w:tc>
        <w:tc>
          <w:tcPr>
            <w:tcW w:type="dxa" w:w="3600"/>
            <w:tcMar>
              <w:top w:type="dxa" w:w="34"/>
              <w:left w:type="dxa" w:w="70"/>
              <w:bottom w:type="dxa" w:w="34"/>
              <w:right w:type="dxa" w:w="7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+0.38 (−0.01, +0.77)</w:t>
            </w:r>
          </w:p>
        </w:tc>
      </w:tr>
    </w:tbl>
    <w:p>
      <w:pPr>
        <w:spacing w:after="150" w:before="30"/>
        <w:jc w:val="center"/>
      </w:pPr>
      <w:r>
        <w:rPr>
          <w:i/>
          <w:iCs/>
          <w:color w:val="595959"/>
          <w:sz w:val="15"/>
          <w:szCs w:val="15"/>
        </w:rPr>
        <w:t xml:space="preserve">Table 2. Within- vs between-subject slopes from one decomposition model (mmHg per ng/mL). The within slope is precise and clearly positive; the between slope is imprecise and indistinguishable from zero.</w:t>
      </w:r>
    </w:p>
    <w:p>
      <w:pPr>
        <w:spacing w:after="16" w:before="70"/>
        <w:jc w:val="center"/>
      </w:pPr>
      <w:r>
        <w:drawing>
          <wp:inline distT="0" distB="0" distL="0" distR="0">
            <wp:extent cx="59436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"/>
        <w:jc w:val="center"/>
      </w:pPr>
      <w:r>
        <w:rPr>
          <w:i/>
          <w:iCs/>
          <w:color w:val="595959"/>
          <w:sz w:val="15"/>
          <w:szCs w:val="15"/>
        </w:rPr>
        <w:t xml:space="preserve">Figure 3. Same SBP data, two contrasts. A: each participant vs their own concentration — 31/32 individual slopes positive. B: each participant's peak exposure vs their response — flat.</w:t>
      </w:r>
    </w:p>
    <w:p>
      <w:pPr>
        <w:spacing w:after="110" w:line="270"/>
        <w:jc w:val="both"/>
      </w:pPr>
      <w:r>
        <w:t xml:space="preserve">Three reasons the within-subject relationship is strong and the between-subject one is not: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rPr>
          <w:b/>
          <w:bCs/>
        </w:rPr>
        <w:t xml:space="preserve">Exposure leverage.</w:t>
      </w:r>
      <w:r>
        <w:t xml:space="preserve"> Within a participant, concentration sweeps the full 0 → Cₘₐₓ → 0 profile. Across participants, Cₘₐₓ spans only ~17–43 ng/mL (2.6-fold) at a single 16 mg dose — little between-subject range to detect a slope.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rPr>
          <w:b/>
          <w:bCs/>
        </w:rPr>
        <w:t xml:space="preserve">Noise structure.</w:t>
      </w:r>
      <w:r>
        <w:t xml:space="preserve"> The within-subject contrast cancels every stable personal trait (baseline BP, autonomic tone, body size, the probe-cocktail effect, anticipatory rise) because each participant is their own control. The between-subject contrast is dominated by exactly those inter-individual differences — they are the scatter in Figure 2 — which swamp the modest exposure effect and widen the CI roughly four-fold.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rPr>
          <w:b/>
          <w:bCs/>
        </w:rPr>
        <w:t xml:space="preserve">Cₘₐₓ is a weak proxy.</w:t>
      </w:r>
      <w:r>
        <w:t xml:space="preserve"> A single peak value does not represent the time-integrated exposure each participant's BP actually tracks; individual AUC performs no better here.</w:t>
      </w:r>
    </w:p>
    <w:p>
      <w:pPr>
        <w:spacing w:after="110" w:line="270"/>
        <w:jc w:val="both"/>
      </w:pPr>
      <w:r>
        <w:t xml:space="preserve">The opposite signs (SBP negative, DBP positive) are simply noise around zero, not a physiological signal — both between-subject slopes are non-significant with CIs spanning zero.</w:t>
      </w:r>
    </w:p>
    <w:p>
      <w:pPr>
        <w:pStyle w:val="Heading1"/>
        <w:spacing w:after="100" w:before="260"/>
      </w:pPr>
      <w:r>
        <w:rPr>
          <w:b/>
          <w:bCs/>
          <w:color w:val="1F3864"/>
        </w:rPr>
        <w:t xml:space="preserve">4. Recommendation: Which to Carry into a Dose–Response</w:t>
      </w:r>
    </w:p>
    <w:p>
      <w:pPr>
        <w:spacing w:after="110" w:line="270"/>
        <w:jc w:val="both"/>
      </w:pPr>
      <w:r>
        <w:rPr>
          <w:b/>
          <w:bCs/>
        </w:rPr>
        <w:t xml:space="preserve">Use the within-subject, time-matched, reference-corrected (ΔΔ) concentration–response as the primary exposure–response model.</w:t>
      </w:r>
      <w:r>
        <w:t xml:space="preserve"> It isolates the drug effect, uses the full exposure range, controls stable inter-individual confounders, is estimated with high precision, and is mechanistically interpretable (BP follows the concentration–time course).</w:t>
      </w:r>
    </w:p>
    <w:p>
      <w:pPr>
        <w:spacing w:after="110" w:line="270"/>
        <w:jc w:val="both"/>
      </w:pPr>
      <w:r>
        <w:rPr>
          <w:b/>
          <w:bCs/>
        </w:rPr>
        <w:t xml:space="preserve">Do not use the between-subject Cₘₐₓ regression to define or to dismiss the relationship.</w:t>
      </w:r>
      <w:r>
        <w:t xml:space="preserve"> Over a single-dose, narrow-Cₘₐₓ range it is underpowered and confounded; its near-zero, sign-unstable slope is the expected result and carries no evidence against a drug effect. Reserve between-subject exposure metrics for when multiple dose levels widen the exposure range.</w:t>
      </w:r>
    </w:p>
    <w:p>
      <w:pPr>
        <w:spacing w:after="110" w:line="270"/>
        <w:jc w:val="both"/>
      </w:pPr>
      <w:r>
        <w:rPr>
          <w:b/>
          <w:bCs/>
        </w:rPr>
        <w:t xml:space="preserve">Distinguish exposure–response from dose–response.</w:t>
      </w:r>
      <w:r>
        <w:t xml:space="preserve"> This single-dose study yields an exposure–response slope, not a dose–response curve. Build the dose–response by linking dose → exposure (population PK) → effect (the within-subject C-R), then project the expected BP change across the intended therapeutic dose range. Confirm the exposure-dependence directly using the program's other dose levels (e.g., MAD / therapeutic-dose cohorts) before finalizing.</w:t>
      </w:r>
    </w:p>
    <w:p>
      <w:pPr>
        <w:pStyle w:val="Heading1"/>
        <w:spacing w:after="100" w:before="260"/>
      </w:pPr>
      <w:r>
        <w:rPr>
          <w:b/>
          <w:bCs/>
          <w:color w:val="1F3864"/>
        </w:rPr>
        <w:t xml:space="preserve">5. Clinical Pharmacology Approach</w:t>
      </w:r>
    </w:p>
    <w:p>
      <w:pPr>
        <w:pStyle w:val="ListParagraph"/>
        <w:numPr>
          <w:ilvl w:val="0"/>
          <w:numId w:val="3"/>
        </w:numPr>
        <w:spacing w:after="56" w:line="264"/>
      </w:pPr>
      <w:r>
        <w:rPr>
          <w:b/>
          <w:bCs/>
        </w:rPr>
        <w:t xml:space="preserve">Model.</w:t>
      </w:r>
      <w:r>
        <w:t xml:space="preserve"> Linear ΔΔ concentration–response with random intercept (and random slope if supported); the Day-1 period serves as the placebo/time-matched control (ΔΔ), analogous to the concentration–QTc paradigm. Test an Eₘₐₓ form if higher-dose data show curvature.</w:t>
      </w:r>
    </w:p>
    <w:p>
      <w:pPr>
        <w:pStyle w:val="ListParagraph"/>
        <w:numPr>
          <w:ilvl w:val="0"/>
          <w:numId w:val="3"/>
        </w:numPr>
        <w:spacing w:after="56" w:line="264"/>
      </w:pPr>
      <w:r>
        <w:rPr>
          <w:b/>
          <w:bCs/>
        </w:rPr>
        <w:t xml:space="preserve">Report within/between explicitly</w:t>
      </w:r>
      <w:r>
        <w:t xml:space="preserve"> (decomposition), rather than a single pooled concentration term, so the effect is not diluted or misread.</w:t>
      </w:r>
    </w:p>
    <w:p>
      <w:pPr>
        <w:pStyle w:val="ListParagraph"/>
        <w:numPr>
          <w:ilvl w:val="0"/>
          <w:numId w:val="3"/>
        </w:numPr>
        <w:spacing w:after="56" w:line="264"/>
      </w:pPr>
      <w:r>
        <w:rPr>
          <w:b/>
          <w:bCs/>
        </w:rPr>
        <w:t xml:space="preserve">Hysteresis.</w:t>
      </w:r>
      <w:r>
        <w:t xml:space="preserve"> SBP/DBP track concentration directly (minimal delay), so a direct-effect model is appropriate; pulse lags Cₘₐₓ and, if modeled, needs an effect-compartment (kₑ₀).</w:t>
      </w:r>
    </w:p>
    <w:p>
      <w:pPr>
        <w:pStyle w:val="ListParagraph"/>
        <w:numPr>
          <w:ilvl w:val="0"/>
          <w:numId w:val="3"/>
        </w:numPr>
        <w:spacing w:after="56" w:line="264"/>
      </w:pPr>
      <w:r>
        <w:rPr>
          <w:b/>
          <w:bCs/>
        </w:rPr>
        <w:t xml:space="preserve">Covariates.</w:t>
      </w:r>
      <w:r>
        <w:t xml:space="preserve"> Screen baseline BP, body size, and age on the C-R, interpreting cautiously given healthy young males, n ≈ 33.</w:t>
      </w:r>
    </w:p>
    <w:p>
      <w:pPr>
        <w:pStyle w:val="ListParagraph"/>
        <w:numPr>
          <w:ilvl w:val="0"/>
          <w:numId w:val="3"/>
        </w:numPr>
        <w:spacing w:after="56" w:line="264"/>
      </w:pPr>
      <w:r>
        <w:rPr>
          <w:b/>
          <w:bCs/>
        </w:rPr>
        <w:t xml:space="preserve">Confirm and translate.</w:t>
      </w:r>
      <w:r>
        <w:t xml:space="preserve"> Verify exposure-dependence across doses; project peak and time-course BP at therapeutic exposures; evaluate orthostatic change and duration (peak ~2 h, resolution by 8–12 h). Recommend protocolized BP monitoring over the Tₘₐₓ window and consider serial/ambulatory BP in future studies.</w:t>
      </w:r>
    </w:p>
    <w:p>
      <w:pPr>
        <w:pStyle w:val="Heading1"/>
        <w:spacing w:after="100" w:before="260"/>
      </w:pPr>
      <w:r>
        <w:rPr>
          <w:b/>
          <w:bCs/>
          <w:color w:val="1F3864"/>
        </w:rPr>
        <w:t xml:space="preserve">6. Message to Convey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t xml:space="preserve">CYB003 produces a </w:t>
      </w:r>
      <w:r>
        <w:rPr>
          <w:b/>
          <w:bCs/>
        </w:rPr>
        <w:t xml:space="preserve">real, transient, concentration-linked increase in blood pressure</w:t>
      </w:r>
      <w:r>
        <w:t xml:space="preserve"> — BP rises and falls with drug level, reproducibly across nearly all participants (31/32).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t xml:space="preserve">The effect is </w:t>
      </w:r>
      <w:r>
        <w:rPr>
          <w:b/>
          <w:bCs/>
        </w:rPr>
        <w:t xml:space="preserve">pharmacologic, not an artifact</w:t>
      </w:r>
      <w:r>
        <w:t xml:space="preserve">: it survives placebo/time (Day-1) correction, so it is not circadian or attributable to the probe cocktail.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rPr>
          <w:b/>
          <w:bCs/>
        </w:rPr>
        <w:t xml:space="preserve">Magnitude at 16 mg:</w:t>
      </w:r>
      <w:r>
        <w:t xml:space="preserve"> ≈ +20/+11 mmHg (SBP/DBP) at peak concentration, transient (peak ~2 h, resolving by 8–12 h).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rPr>
          <w:b/>
          <w:bCs/>
        </w:rPr>
        <w:t xml:space="preserve">Peak exposure (Cₘₐₓ) does not identify who responds most</w:t>
      </w:r>
      <w:r>
        <w:t xml:space="preserve"> over this narrow single-dose range; flat Cₘₐₓ plots are an expected statistical feature and must not be presented as evidence of no effect.</w:t>
      </w:r>
    </w:p>
    <w:p>
      <w:pPr>
        <w:pStyle w:val="ListParagraph"/>
        <w:numPr>
          <w:ilvl w:val="0"/>
          <w:numId w:val="2"/>
        </w:numPr>
        <w:spacing w:after="56" w:line="264"/>
      </w:pPr>
      <w:r>
        <w:t xml:space="preserve">The exposure–response is characterized </w:t>
      </w:r>
      <w:r>
        <w:rPr>
          <w:b/>
          <w:bCs/>
        </w:rPr>
        <w:t xml:space="preserve">within-subject</w:t>
      </w:r>
      <w:r>
        <w:t xml:space="preserve"> and will be </w:t>
      </w:r>
      <w:r>
        <w:rPr>
          <w:b/>
          <w:bCs/>
        </w:rPr>
        <w:t xml:space="preserve">confirmed and dose-projected</w:t>
      </w:r>
      <w:r>
        <w:t xml:space="preserve"> via population PK and additional dose levels; BP is a </w:t>
      </w:r>
      <w:r>
        <w:rPr>
          <w:b/>
          <w:bCs/>
        </w:rPr>
        <w:t xml:space="preserve">monitorable, time-limited</w:t>
      </w:r>
      <w:r>
        <w:t xml:space="preserve"> effect consistent with the supervised dosing setting, pending confirmation at therapeutic doses.</w:t>
      </w:r>
    </w:p>
    <w:p>
      <w:pPr>
        <w:pStyle w:val="Heading1"/>
        <w:spacing w:after="100" w:before="260"/>
      </w:pPr>
      <w:r>
        <w:rPr>
          <w:b/>
          <w:bCs/>
          <w:color w:val="1F3864"/>
        </w:rPr>
        <w:t xml:space="preserve">7. Limitations</w:t>
      </w:r>
    </w:p>
    <w:p>
      <w:pPr>
        <w:spacing w:after="110" w:line="270"/>
        <w:jc w:val="both"/>
      </w:pPr>
      <w:r>
        <w:t xml:space="preserve">Single 16 mg dose (narrow exposure range; exposure–response, not dose–response); healthy adult males, n ≈ 33; CYP probe cocktail co-administered (mitigated by ΔΔ correction); within-subject concentration and time are partly collinear (mitigated by, and robust to, the Day-1 reference correction); parent CYB003 only, no active metabolite in the dataset; exploratory analysis without multiplicity adjustment.</w:t>
      </w:r>
    </w:p>
    <w:sectPr>
      <w:footerReference w:type="default" r:id="rId7"/>
      <w:pgSz w:w="12240" w:h="15840" w:orient="portrait"/>
      <w:pgMar w:top="1300" w:right="1350" w:bottom="12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CYB003-101 — BP Exposure–Response Clinical Pharmacology Assessment — Draft v0.1 —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e30fae5a8c125ab8ea955c9342d91f9b77a5b85.png"/><Relationship Id="rId9" Type="http://schemas.openxmlformats.org/officeDocument/2006/relationships/image" Target="media/98e71d70a6346c735680aeb48a8a9a4dc2a0a42c.png"/><Relationship Id="rId10" Type="http://schemas.openxmlformats.org/officeDocument/2006/relationships/image" Target="media/296d17430e078b8791080b79b1d401dc4539516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CYB003 BP Exposure-Response Clinical Pharmacology Assessment</dc:title>
  <dc:creator>CYB003-101</dc:creator>
  <cp:lastModifiedBy>Un-named</cp:lastModifiedBy>
  <cp:revision>1</cp:revision>
  <dcterms:created xsi:type="dcterms:W3CDTF">2026-08-14T13:00:34.668Z</dcterms:created>
  <dcterms:modified xsi:type="dcterms:W3CDTF">2026-08-14T13:00:34.684Z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