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Exploratory &amp; PK/PD Analysis Plan — Study CYB003-101</w:t>
      </w:r>
    </w:p>
    <w:p>
      <w:pPr>
        <w:pBdr>
          <w:bottom w:val="single" w:color="1F3864" w:sz="6" w:space="4"/>
        </w:pBdr>
        <w:spacing w:after="110"/>
      </w:pPr>
      <w:r>
        <w:rPr>
          <w:i/>
          <w:iCs/>
          <w:color w:val="595959"/>
          <w:sz w:val="18"/>
          <w:szCs w:val="18"/>
        </w:rPr>
        <w:t xml:space="preserve">Supplement to CSR §11 — exposure–response and exploratory analyses only — Draft v0.3</w:t>
      </w:r>
    </w:p>
    <w:p>
      <w:pPr>
        <w:spacing w:after="90" w:line="262"/>
        <w:jc w:val="both"/>
      </w:pPr>
      <w:r>
        <w:rPr>
          <w:b/>
          <w:bCs/>
        </w:rPr>
        <w:t xml:space="preserve">Scope.</w:t>
      </w:r>
      <w:r>
        <w:t xml:space="preserve"> This plan covers only analyses </w:t>
      </w:r>
      <w:r>
        <w:rPr>
          <w:b/>
          <w:bCs/>
        </w:rPr>
        <w:t xml:space="preserve">not already in CSR §11</w:t>
      </w:r>
      <w:r>
        <w:t xml:space="preserve">. It therefore excludes the CYB003 and probe non-compartmental summaries, the drug–drug interaction (DDI) geometric-mean-ratio analysis and forest plots, and the phenotyping (metabolite/parent) ratios — all reported in the CSR — as well as the categorical ECG/vital-sign timepoint summaries in the CSR safety section. It specifies the exposure–response (PK/PD) and exploratory analyses that are feasible from the ADaM datasets. All are </w:t>
      </w:r>
      <w:r>
        <w:rPr>
          <w:b/>
          <w:bCs/>
        </w:rPr>
        <w:t xml:space="preserve">exploratory</w:t>
      </w:r>
      <w:r>
        <w:t xml:space="preserve">: no multiplicity adjustment, single 16 mg dose.</w:t>
      </w:r>
    </w:p>
    <w:p>
      <w:pPr>
        <w:pStyle w:val="Heading1"/>
        <w:spacing w:after="80" w:before="220"/>
      </w:pPr>
      <w:r>
        <w:rPr>
          <w:b/>
          <w:bCs/>
          <w:color w:val="1F3864"/>
        </w:rPr>
        <w:t xml:space="preserve">1. Data and General Methods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Exposure:</w:t>
      </w:r>
      <w:r>
        <w:t xml:space="preserve"> (i) Day 8 CYB003 plasma concentration (ADPC), time-matched by nominal timepoint to each response; (ii) individual CYB003 Cₘₐₓ and AUC (ADPP).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Response:</w:t>
      </w:r>
      <w:r>
        <w:t xml:space="preserve"> change from Day 8 pre-dose (ADaM CHG) for the endpoints below.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Models:</w:t>
      </w:r>
      <w:r>
        <w:t xml:space="preserve"> linear mixed-effects (Δresponse ~ concentration, random intercept per participant, REML, centered predictor); slopes and predicted Δ at geometric-mean and maximum Cₘₐₓ with 90% CI. Between-subject associations by OLS/Spearman on individual exposure.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Population:</w:t>
      </w:r>
      <w:r>
        <w:t xml:space="preserve"> Safety (exposure–response, exposure–safety); DDI PK (exposure–interaction). </w:t>
      </w:r>
      <w:r>
        <w:rPr>
          <w:b/>
          <w:bCs/>
        </w:rPr>
        <w:t xml:space="preserve">Software:</w:t>
      </w:r>
      <w:r>
        <w:t xml:space="preserve"> R 4.3 (nlme, ggplot2).</w:t>
      </w:r>
    </w:p>
    <w:p>
      <w:pPr>
        <w:pStyle w:val="Heading1"/>
        <w:spacing w:after="80" w:before="220"/>
      </w:pPr>
      <w:r>
        <w:rPr>
          <w:b/>
          <w:bCs/>
          <w:color w:val="1F3864"/>
        </w:rPr>
        <w:t xml:space="preserve">2. Cardiovascular Exposure–Response (PK/PD)</w:t>
      </w:r>
    </w:p>
    <w:p>
      <w:pPr>
        <w:spacing w:after="50" w:before="120"/>
      </w:pPr>
      <w:r>
        <w:rPr>
          <w:b/>
          <w:bCs/>
          <w:i/>
          <w:iCs/>
          <w:color w:val="404040"/>
          <w:sz w:val="19"/>
          <w:szCs w:val="19"/>
        </w:rPr>
        <w:t xml:space="preserve">2.1 Vital-sign concentration–response — primary</w:t>
      </w:r>
    </w:p>
    <w:p>
      <w:pPr>
        <w:spacing w:after="90" w:line="262"/>
        <w:jc w:val="both"/>
      </w:pPr>
      <w:r>
        <w:t xml:space="preserve">Supine SBP, DBP, and pulse Δ versus time-matched CYB003 concentration; slope and predicted Δ at Cₘₐₓ. Standing measures and orthostatic differences (SYSBPDIF, DIABPDIF; ADVS) analyzed as supportive, given observed orthostatic events.</w:t>
      </w:r>
    </w:p>
    <w:p>
      <w:pPr>
        <w:spacing w:after="50" w:before="120"/>
      </w:pPr>
      <w:r>
        <w:rPr>
          <w:b/>
          <w:bCs/>
          <w:i/>
          <w:iCs/>
          <w:color w:val="404040"/>
          <w:sz w:val="19"/>
          <w:szCs w:val="19"/>
        </w:rPr>
        <w:t xml:space="preserve">2.2 Concentration–QTc and conduction intervals</w:t>
      </w:r>
    </w:p>
    <w:p>
      <w:pPr>
        <w:spacing w:after="90" w:line="262"/>
        <w:jc w:val="both"/>
      </w:pPr>
      <w:r>
        <w:t xml:space="preserve">ΔQTcF (ADEG) versus CYB003 concentration; model-predicted ΔQTcF (90% CI) at geometric-mean and maximum Cₘₐₓ referenced to the 10 ms threshold. PR, QRS, and ventricular rate (RR) analyzed analogously as supportive.</w:t>
      </w:r>
    </w:p>
    <w:p>
      <w:pPr>
        <w:spacing w:after="50" w:before="120"/>
      </w:pPr>
      <w:r>
        <w:rPr>
          <w:b/>
          <w:bCs/>
          <w:i/>
          <w:iCs/>
          <w:color w:val="404040"/>
          <w:sz w:val="19"/>
          <w:szCs w:val="19"/>
        </w:rPr>
        <w:t xml:space="preserve">2.3 Effect-compartment (hysteresis) model</w:t>
      </w:r>
    </w:p>
    <w:p>
      <w:pPr>
        <w:spacing w:after="90" w:line="262"/>
        <w:jc w:val="both"/>
      </w:pPr>
      <w:r>
        <w:t xml:space="preserve">Where the response lags concentration — expected for pulse, whose peak follows CYB003 Tₘₐₓ — a direct slope understates the effect. A time-course/effect-compartment model (estimating kₑ₀) is fit to characterize the counter-clockwise hysteresis; a Δ-vs-time / concentration-vs-time diagnostic accompanies it.</w:t>
      </w:r>
    </w:p>
    <w:p>
      <w:pPr>
        <w:spacing w:after="50" w:before="120"/>
      </w:pPr>
      <w:r>
        <w:rPr>
          <w:b/>
          <w:bCs/>
          <w:i/>
          <w:iCs/>
          <w:color w:val="404040"/>
          <w:sz w:val="19"/>
          <w:szCs w:val="19"/>
        </w:rPr>
        <w:t xml:space="preserve">2.4 Per-subject exposure–response — supportive</w:t>
      </w:r>
    </w:p>
    <w:p>
      <w:pPr>
        <w:spacing w:after="90" w:line="262"/>
        <w:jc w:val="both"/>
      </w:pPr>
      <w:r>
        <w:t xml:space="preserve">Individual peak Δ (SBP, DBP, pulse, QTcF) regressed on individual CYB003 Cₘₐₓ/AUC; reported separately from the within-subject models, which it may not corroborate given the narrow single-dose exposure range.</w:t>
      </w:r>
    </w:p>
    <w:p>
      <w:pPr>
        <w:spacing w:after="50" w:before="120"/>
      </w:pPr>
      <w:r>
        <w:rPr>
          <w:b/>
          <w:bCs/>
          <w:i/>
          <w:iCs/>
          <w:color w:val="404040"/>
          <w:sz w:val="19"/>
          <w:szCs w:val="19"/>
        </w:rPr>
        <w:t xml:space="preserve">2.5 Other autonomic endpoints — exploratory</w:t>
      </w:r>
    </w:p>
    <w:p>
      <w:pPr>
        <w:spacing w:after="90" w:line="262"/>
        <w:jc w:val="both"/>
      </w:pPr>
      <w:r>
        <w:t xml:space="preserve">Body temperature and respiratory rate (ADVS) versus CYB003 concentration, screened for a serotonergic/autonomic exposure signal.</w:t>
      </w:r>
    </w:p>
    <w:p>
      <w:pPr>
        <w:pStyle w:val="Heading1"/>
        <w:spacing w:after="80" w:before="220"/>
      </w:pPr>
      <w:r>
        <w:rPr>
          <w:b/>
          <w:bCs/>
          <w:color w:val="1F3864"/>
        </w:rPr>
        <w:t xml:space="preserve">3. Exploratory Exposure–Interaction (Perpetrator)</w:t>
      </w:r>
    </w:p>
    <w:p>
      <w:pPr>
        <w:spacing w:after="90" w:line="262"/>
        <w:jc w:val="both"/>
      </w:pPr>
      <w:r>
        <w:t xml:space="preserve">Tests whether the magnitude of the CYP interaction depends on individual CYB003 exposure — an analysis not present in the CSR. For each probe, the per-participant exposure ratio (CYB003 + probe vs probe alone, from ADPP IMPL) for AUC and Cₘₐₓ is regressed (linear / Spearman) on individual CYB003 Cₘₐₓ and AUC. The corresponding metabolite/parent-ratio shift is screened the same way. Interpreted cautiously: single dose, narrow exposure range.</w:t>
      </w:r>
    </w:p>
    <w:p>
      <w:pPr>
        <w:pStyle w:val="Heading1"/>
        <w:spacing w:after="80" w:before="220"/>
      </w:pPr>
      <w:r>
        <w:rPr>
          <w:b/>
          <w:bCs/>
          <w:color w:val="1F3864"/>
        </w:rPr>
        <w:t xml:space="preserve">4. Exploratory Exposure–Safety</w:t>
      </w:r>
    </w:p>
    <w:p>
      <w:pPr>
        <w:spacing w:after="90" w:line="262"/>
        <w:jc w:val="both"/>
      </w:pPr>
      <w:r>
        <w:t xml:space="preserve">Individual CYB003 exposure (Cₘₐₓ, AUC) versus the incidence and number of treatment-related and abuse-related/psychedelic TEAEs (ADAE; logistic or Poisson). Exploratory only — nearly all participants reported psychedelic-type events at the single 16 mg dose, so discrimination is limited.</w:t>
      </w:r>
    </w:p>
    <w:p>
      <w:pPr>
        <w:pStyle w:val="Heading1"/>
        <w:spacing w:after="80" w:before="220"/>
      </w:pPr>
      <w:r>
        <w:rPr>
          <w:b/>
          <w:bCs/>
          <w:color w:val="1F3864"/>
        </w:rPr>
        <w:t xml:space="preserve">5. Exploratory CYB003 PK Covariate Screen</w:t>
      </w:r>
    </w:p>
    <w:p>
      <w:pPr>
        <w:spacing w:after="90" w:line="262"/>
        <w:jc w:val="both"/>
      </w:pPr>
      <w:r>
        <w:t xml:space="preserve">Individual CYB003 CL/F and Cₘₐₓ (ADPP) versus age, body size (weight, BMI), and race (ADSL) by scatter and linear regression. The CYB003 NCA summary itself is in the CSR and is not repeated; only the covariate exploration is added. Exploratory: healthy adult males, single dose, n ≈ 33.</w:t>
      </w:r>
    </w:p>
    <w:p>
      <w:pPr>
        <w:pStyle w:val="Heading1"/>
        <w:spacing w:after="80" w:before="220"/>
      </w:pPr>
      <w:r>
        <w:rPr>
          <w:b/>
          <w:bCs/>
          <w:color w:val="1F3864"/>
        </w:rPr>
        <w:t xml:space="preserve">6. Feasibility Limits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No exposure–efficacy / psychedelic-intensity analysis:</w:t>
      </w:r>
      <w:r>
        <w:t xml:space="preserve"> the ADaM contains no continuous PD or efficacy endpoint (ADQS = C-SSRS only).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Single dose level (16 mg):</w:t>
      </w:r>
      <w:r>
        <w:t xml:space="preserve"> narrow exposure range weakens all between-subject exposure–response inference; results are associations, not dose-ranging.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Time–concentration collinearity</w:t>
      </w:r>
      <w:r>
        <w:t xml:space="preserve"> in single-dose profiles inflates within-subject C-R slopes; a time-adjusted model is run as sensitivity.</w:t>
      </w:r>
    </w:p>
    <w:p>
      <w:pPr>
        <w:pStyle w:val="ListParagraph"/>
        <w:numPr>
          <w:ilvl w:val="0"/>
          <w:numId w:val="2"/>
        </w:numPr>
        <w:spacing w:after="36" w:line="256"/>
      </w:pPr>
      <w:r>
        <w:rPr>
          <w:b/>
          <w:bCs/>
        </w:rPr>
        <w:t xml:space="preserve">Parent only:</w:t>
      </w:r>
      <w:r>
        <w:t xml:space="preserve"> no CYB003 active metabolite (psilocin) in the ADaM.</w:t>
      </w:r>
    </w:p>
    <w:p>
      <w:pPr>
        <w:pStyle w:val="Heading1"/>
        <w:spacing w:after="80" w:before="220"/>
      </w:pPr>
      <w:r>
        <w:rPr>
          <w:b/>
          <w:bCs/>
          <w:color w:val="1F3864"/>
        </w:rPr>
        <w:t xml:space="preserve">7. Deliverables (new; not in CSR)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6300"/>
        <w:gridCol w:w="15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300"/>
            <w:shd w:fill="1F3864" w:val="clear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1500"/>
            <w:shd w:fill="1F3864" w:val="clear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PD-01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Vital-sign C-R: slopes, predicted Δ at Cₘₐₓ (F-PD-01) + hysteresis time-course (F-PD-03)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PD-02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C-QTc and conduction intervals: slope, predicted ΔQTcF vs 10 ms (F-PD-02)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PD-03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Effect-compartment (kₑ₀) model for lagged endpoints (pulse)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PD-04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Supportive per-subject peak-Δ vs individual Cₘₐₓ/AUC (F-PD-04)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PD-05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Temperature and respiratory-rate exposure screen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EX-01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CYB003 exposure vs magnitude of each probe interaction (AUC, Cₘₐₓ ratios)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EX-02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CYB003 exposure vs treatment-related / abuse-related TEAEs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  <w:tr>
        <w:tc>
          <w:tcPr>
            <w:tcW w:type="dxa" w:w="12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EX-03</w:t>
            </w:r>
          </w:p>
        </w:tc>
        <w:tc>
          <w:tcPr>
            <w:tcW w:type="dxa" w:w="63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CYB003 CL/F and Cₘₐₓ vs age, body size, race</w:t>
            </w:r>
          </w:p>
        </w:tc>
        <w:tc>
          <w:tcPr>
            <w:tcW w:type="dxa" w:w="1500"/>
            <w:tcMar>
              <w:top w:type="dxa" w:w="28"/>
              <w:left w:type="dxa" w:w="66"/>
              <w:bottom w:type="dxa" w:w="28"/>
              <w:right w:type="dxa" w:w="66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Table/Fig</w:t>
            </w:r>
          </w:p>
        </w:tc>
      </w:tr>
    </w:tbl>
    <w:sectPr>
      <w:footerReference w:type="default" r:id="rId7"/>
      <w:pgSz w:w="12240" w:h="15840" w:orient="portrait"/>
      <w:pgMar w:top="120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CYB003-101 Exploratory &amp; PK/PD Analysis Plan — Draft v0.3 — 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9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CYB003-101 Exploratory &amp; PK/PD Analysis Plan</dc:title>
  <dc:creator>CYB003-101</dc:creator>
  <cp:lastModifiedBy>Un-named</cp:lastModifiedBy>
  <cp:revision>1</cp:revision>
  <dcterms:created xsi:type="dcterms:W3CDTF">2026-08-07T14:06:16.807Z</dcterms:created>
  <dcterms:modified xsi:type="dcterms:W3CDTF">2026-08-07T14:06:16.821Z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