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b/>
          <w:bCs/>
          <w:color w:val="1F3864"/>
          <w:sz w:val="34"/>
          <w:szCs w:val="34"/>
        </w:rPr>
        <w:t xml:space="preserve">Exploratory PK/PD (Exposure–Response) Analysis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Study CYB003-101</w:t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Results memo to populate the CSR “PK/PD Analysis” section — Draft v0.1</w:t>
      </w:r>
    </w:p>
    <w:p>
      <w:pPr>
        <w:pBdr>
          <w:bottom w:val="single" w:color="1F3864" w:sz="6" w:space="6"/>
        </w:pBdr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3864"/>
        </w:rPr>
        <w:t xml:space="preserve">1. Summary</w:t>
      </w:r>
    </w:p>
    <w:p>
      <w:pPr>
        <w:spacing w:after="120" w:line="276"/>
        <w:jc w:val="both"/>
      </w:pPr>
      <w:r>
        <w:t xml:space="preserve">Day 8 CYB003 plasma concentrations were time-matched to vital-sign and 12-lead ECG changes from pre-dose and analyzed by linear mixed-effects concentration–response (C-R) models (random intercept per participant), with a supportive per-subject analysis of individual peak response versus individual Cₘₐₓ. CYB003 geometric-mean Cₘₐₓ was 26.9 ng/mL (max 43.0).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Blood pressure:</w:t>
      </w:r>
      <w:r>
        <w:t xml:space="preserve"> a clear positive concentration–response. Predicted ΔSBP at geometric-mean Cₘₐₓ was +16.15 mmHg (+13.39, +18.90) and ΔDBP +10.09 mmHg (+8.55, +11.63); observed peak mean rises were +18 and +11 mmHg at ~2 h.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Pulse:</w:t>
      </w:r>
      <w:r>
        <w:t xml:space="preserve"> a smaller, delayed rise (predicted +5.65 bpm at GM Cₘₐₓ); the effect peaks at 4–6 h, after CYB003 Tₘₐₓ (~2.9 h) — i.e., counter-clockwise hysteresis (Figure F-PD-03).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QTcF:</w:t>
      </w:r>
      <w:r>
        <w:t xml:space="preserve"> no prolongation signal. The C-QTc slope was slightly negative (-0.469 ms per ng/mL) and predicted ΔQTcF at geometric-mean Cₘₐₓ was -6.47 ms (-9.87, -3.07); the entire prediction lies below the 10 ms threshold. PR and QRS showed no meaningful relationship.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Caveat:</w:t>
      </w:r>
      <w:r>
        <w:t xml:space="preserve"> the positive BP/HR slopes reflect a </w:t>
      </w:r>
      <w:r>
        <w:rPr>
          <w:b/>
          <w:bCs/>
        </w:rPr>
        <w:t xml:space="preserve">within-subject temporal</w:t>
      </w:r>
      <w:r>
        <w:t xml:space="preserve"> association; because concentration and time are collinear in a single-dose profile, they cannot be cleanly separated from time-related (circadian/procedural) effects. Consistent with this, individual Cₘₐₓ did </w:t>
      </w:r>
      <w:r>
        <w:rPr>
          <w:b/>
          <w:bCs/>
        </w:rPr>
        <w:t xml:space="preserve">not</w:t>
      </w:r>
      <w:r>
        <w:t xml:space="preserve"> predict individual peak response (all between-subject r ≈ 0, p &gt; 0.3).</w:t>
      </w:r>
    </w:p>
    <w:p>
      <w:pPr>
        <w:pStyle w:val="Heading1"/>
        <w:spacing w:after="120" w:before="300"/>
      </w:pPr>
      <w:r>
        <w:rPr>
          <w:b/>
          <w:bCs/>
          <w:color w:val="1F3864"/>
        </w:rPr>
        <w:t xml:space="preserve">2. Methods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Population / period:</w:t>
      </w:r>
      <w:r>
        <w:t xml:space="preserve"> Safety Population, Day 8 (CYB003 + probe cocktail) only.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Exposure:</w:t>
      </w:r>
      <w:r>
        <w:t xml:space="preserve"> CYB003 plasma concentration (ADPC, PARAMCD = CYB003), matched to each response by participant and nominal timepoint.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Response:</w:t>
      </w:r>
      <w:r>
        <w:t xml:space="preserve"> change from Day 8 pre-dose (ADaM CHG) for supine SBP/DBP/pulse (ADVS) and QTcF/PR/QRS (ADEG).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Model:</w:t>
      </w:r>
      <w:r>
        <w:t xml:space="preserve"> linear mixed-effects, CHG ~ concentration with a per-participant random intercept (REML); predictor centered for numerical stability. Slopes and predictions reported with two-sided 90% CI. Predicted Δ evaluated at geometric-mean and maximum CYB003 Cₘₐₓ.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Supportive:</w:t>
      </w:r>
      <w:r>
        <w:t xml:space="preserve"> OLS of individual peak |Δ| against individual CYB003 Cₘₐₓ/AUC (ADPP). </w:t>
      </w:r>
      <w:r>
        <w:rPr>
          <w:b/>
          <w:bCs/>
        </w:rPr>
        <w:t xml:space="preserve">Diagnostic:</w:t>
      </w:r>
      <w:r>
        <w:t xml:space="preserve"> observed mean Δ vs time overlaid on concentration (hysteresis).</w:t>
      </w:r>
    </w:p>
    <w:p>
      <w:pPr>
        <w:spacing w:after="120" w:line="276"/>
        <w:jc w:val="both"/>
      </w:pPr>
      <w:r>
        <w:t xml:space="preserve">Software: R 4.3.3 (nlme for mixed-effects models, ggplot2 for figures). This is an exploratory analysis; estimates are descriptive and not adjusted for multiplicity.</w:t>
      </w:r>
    </w:p>
    <w:p>
      <w:pPr>
        <w:pStyle w:val="Heading1"/>
        <w:spacing w:after="120" w:before="300"/>
      </w:pPr>
      <w:r>
        <w:rPr>
          <w:b/>
          <w:bCs/>
          <w:color w:val="1F3864"/>
        </w:rPr>
        <w:t xml:space="preserve">3. Vital-Sign Concentration–Response (Primary)</w:t>
      </w:r>
    </w:p>
    <w:tbl>
      <w:tblPr>
        <w:tblW w:type="dxa" w:w="10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100"/>
        <w:gridCol w:w="700"/>
        <w:gridCol w:w="2600"/>
        <w:gridCol w:w="2500"/>
        <w:gridCol w:w="1300"/>
        <w:gridCol w:w="8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7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  <w:tc>
          <w:tcPr>
            <w:tcW w:type="dxa" w:w="26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Slope /ng·mL⁻¹ (90% CI)</w:t>
            </w:r>
          </w:p>
        </w:tc>
        <w:tc>
          <w:tcPr>
            <w:tcW w:type="dxa" w:w="25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Pred. Δ at GM Cₘₐₓ (90% CI)</w:t>
            </w:r>
          </w:p>
        </w:tc>
        <w:tc>
          <w:tcPr>
            <w:tcW w:type="dxa" w:w="13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Obs. peak mean</w:t>
            </w:r>
          </w:p>
        </w:tc>
        <w:tc>
          <w:tcPr>
            <w:tcW w:type="dxa" w:w="8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ρ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Δ Supine SBP (mmHg)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203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+0.977 (+0.79, +1.17)</w:t>
            </w:r>
          </w:p>
        </w:tc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+16.15 (+13.39, +18.90)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+18.20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+0.50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Δ Supine DBP (mmHg)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203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+0.685 (+0.56, +0.81)</w:t>
            </w:r>
          </w:p>
        </w:tc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+10.09 (+8.55, +11.63)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+11.00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+0.60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Δ Supine Pulse (bpm)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203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+0.320 (+0.17, +0.47)</w:t>
            </w:r>
          </w:p>
        </w:tc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+5.65 (+3.42, +7.87)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+8.40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+0.24</w:t>
            </w:r>
          </w:p>
        </w:tc>
      </w:tr>
    </w:tbl>
    <w:p>
      <w:pPr>
        <w:spacing w:after="160" w:before="40"/>
        <w:jc w:val="center"/>
      </w:pPr>
      <w:r>
        <w:rPr>
          <w:i/>
          <w:iCs/>
          <w:color w:val="595959"/>
          <w:sz w:val="16"/>
          <w:szCs w:val="16"/>
        </w:rPr>
        <w:t xml:space="preserve">Table T-PD-01. Vital-sign concentration–response (Day 8). Slope = change per ng/mL CYB003; predictions at geometric-mean Cₘₐₓ = 26.9 ng/mL. Observed peak mean = largest mean change across nominal timepoints. ρ = Spearman (concentration vs Δ).</w:t>
      </w:r>
    </w:p>
    <w:p>
      <w:pPr>
        <w:spacing w:after="20" w:before="80"/>
        <w:jc w:val="center"/>
      </w:pPr>
      <w:r>
        <w:drawing>
          <wp:inline distT="0" distB="0" distL="0" distR="0">
            <wp:extent cx="5943600" cy="198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595959"/>
          <w:sz w:val="16"/>
          <w:szCs w:val="16"/>
        </w:rPr>
        <w:t xml:space="preserve">Figure F-PD-01. ΔSBP, ΔDBP, and Δpulse versus time-matched CYB003 concentration with mixed-model fit and 90% CI band. Red point = predicted Δ (90% CI) at geometric-mean Cₘₐₓ.</w:t>
      </w:r>
    </w:p>
    <w:p>
      <w:pPr>
        <w:spacing w:after="20" w:before="80"/>
        <w:jc w:val="center"/>
      </w:pPr>
      <w:r>
        <w:drawing>
          <wp:inline distT="0" distB="0" distL="0" distR="0">
            <wp:extent cx="59436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595959"/>
          <w:sz w:val="16"/>
          <w:szCs w:val="16"/>
        </w:rPr>
        <w:t xml:space="preserve">Figure F-PD-03. Time course of mean Δ-response (left axis) and mean CYB003 concentration (right axis). ΔSBP tracks concentration (direct effect); Δpulse peaks after CYB003 Tₘₐₓ (dashed line), indicating hysteresis.</w:t>
      </w:r>
    </w:p>
    <w:p>
      <w:pPr>
        <w:pStyle w:val="Heading1"/>
        <w:spacing w:after="120" w:before="300"/>
      </w:pPr>
      <w:r>
        <w:rPr>
          <w:b/>
          <w:bCs/>
          <w:color w:val="1F3864"/>
        </w:rPr>
        <w:t xml:space="preserve">4. Concentration–QTc and Conduction Intervals</w:t>
      </w:r>
    </w:p>
    <w:tbl>
      <w:tblPr>
        <w:tblW w:type="dxa" w:w="10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00"/>
        <w:gridCol w:w="700"/>
        <w:gridCol w:w="2600"/>
        <w:gridCol w:w="2500"/>
        <w:gridCol w:w="25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7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  <w:tc>
          <w:tcPr>
            <w:tcW w:type="dxa" w:w="26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Slope /ng·mL⁻¹ (90% CI)</w:t>
            </w:r>
          </w:p>
        </w:tc>
        <w:tc>
          <w:tcPr>
            <w:tcW w:type="dxa" w:w="25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Pred. Δ at GM Cₘₐₓ (90% CI)</w:t>
            </w:r>
          </w:p>
        </w:tc>
        <w:tc>
          <w:tcPr>
            <w:tcW w:type="dxa" w:w="25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Pred. Δ at max Cₘₐₓ (90% CI)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Δ QTcF (ms)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94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-0.469 (-0.76, -0.17)</w:t>
            </w:r>
          </w:p>
        </w:tc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-6.47 (-9.87, -3.07)</w:t>
            </w:r>
          </w:p>
        </w:tc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-14.00 (-20.97, -7.04)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Δ PR (ms)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94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-0.009 (-0.64, +0.63)</w:t>
            </w:r>
          </w:p>
        </w:tc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+1.45 (-4.35, +7.25)</w:t>
            </w:r>
          </w:p>
        </w:tc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+1.30 (-13.04, +15.64)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Δ QRS (ms)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94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+0.139 (+0.01, +0.26)</w:t>
            </w:r>
          </w:p>
        </w:tc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-0.49 (-1.77, +0.80)</w:t>
            </w:r>
          </w:p>
        </w:tc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+1.75 (-1.13, +4.63)</w:t>
            </w:r>
          </w:p>
        </w:tc>
      </w:tr>
    </w:tbl>
    <w:p>
      <w:pPr>
        <w:spacing w:after="160" w:before="40"/>
        <w:jc w:val="center"/>
      </w:pPr>
      <w:r>
        <w:rPr>
          <w:i/>
          <w:iCs/>
          <w:color w:val="595959"/>
          <w:sz w:val="16"/>
          <w:szCs w:val="16"/>
        </w:rPr>
        <w:t xml:space="preserve">Table T-PD-02. Concentration–QTc and conduction-interval models (Day 8). The upper 90% CI of predicted ΔQTcF at both geometric-mean and maximum Cₘₐₓ remains below the 10 ms threshold of regulatory interest.</w:t>
      </w:r>
    </w:p>
    <w:p>
      <w:pPr>
        <w:spacing w:after="20" w:before="80"/>
        <w:jc w:val="center"/>
      </w:pPr>
      <w:r>
        <w:drawing>
          <wp:inline distT="0" distB="0" distL="0" distR="0">
            <wp:extent cx="59436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595959"/>
          <w:sz w:val="16"/>
          <w:szCs w:val="16"/>
        </w:rPr>
        <w:t xml:space="preserve">Figure F-PD-02. ΔQTcF, ΔPR, and ΔQRS versus CYB003 concentration with mixed-model fit and 90% CI. Dashed red line (left panel) = 10 ms threshold; red point = predicted Δ (90% CI) at geometric-mean Cₘₐₓ.</w:t>
      </w:r>
    </w:p>
    <w:p>
      <w:pPr>
        <w:pStyle w:val="Heading1"/>
        <w:spacing w:after="120" w:before="300"/>
      </w:pPr>
      <w:r>
        <w:rPr>
          <w:b/>
          <w:bCs/>
          <w:color w:val="1F3864"/>
        </w:rPr>
        <w:t xml:space="preserve">5. Supportive Per-Subject Exposure–Response</w:t>
      </w:r>
    </w:p>
    <w:p>
      <w:pPr>
        <w:spacing w:after="120" w:line="276"/>
        <w:jc w:val="both"/>
      </w:pPr>
      <w:r>
        <w:t xml:space="preserve">Individual peak response was regressed on individual CYB003 Cₘₐₓ across participants with evaluable CYB003 PK. In contrast to the within-subject C-R slopes, none of the between-subject relationships was significant, indicating that participants with higher peak CYB003 exposure did not show larger peak cardiovascular effects over the range studied.</w:t>
      </w:r>
    </w:p>
    <w:tbl>
      <w:tblPr>
        <w:tblW w:type="dxa" w:w="87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900"/>
        <w:gridCol w:w="2200"/>
        <w:gridCol w:w="1600"/>
        <w:gridCol w:w="16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9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  <w:tc>
          <w:tcPr>
            <w:tcW w:type="dxa" w:w="22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Slope vs Cₘₐₓ</w:t>
            </w:r>
          </w:p>
        </w:tc>
        <w:tc>
          <w:tcPr>
            <w:tcW w:type="dxa" w:w="16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Pearson r</w:t>
            </w:r>
          </w:p>
        </w:tc>
        <w:tc>
          <w:tcPr>
            <w:tcW w:type="dxa" w:w="16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p-value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Δ Supine SBP (mmHg)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33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-0.421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-0.13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0.458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Δ Supine DBP (mmHg)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33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+0.149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+0.08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0.673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Δ Supine Pulse (bpm)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33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+0.440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+0.18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0.304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Δ QTcF (ms)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33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-0.096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-0.04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0.827</w:t>
            </w:r>
          </w:p>
        </w:tc>
      </w:tr>
    </w:tbl>
    <w:p>
      <w:pPr>
        <w:spacing w:after="160" w:before="40"/>
        <w:jc w:val="center"/>
      </w:pPr>
      <w:r>
        <w:rPr>
          <w:i/>
          <w:iCs/>
          <w:color w:val="595959"/>
          <w:sz w:val="16"/>
          <w:szCs w:val="16"/>
        </w:rPr>
        <w:t xml:space="preserve">Table T-PD-03. Supportive per-subject exposure–response (individual peak response vs individual CYB003 Cₘₐₓ).</w:t>
      </w:r>
    </w:p>
    <w:p>
      <w:pPr>
        <w:spacing w:after="20" w:before="80"/>
        <w:jc w:val="center"/>
      </w:pPr>
      <w:r>
        <w:drawing>
          <wp:inline distT="0" distB="0" distL="0" distR="0">
            <wp:extent cx="5943600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595959"/>
          <w:sz w:val="16"/>
          <w:szCs w:val="16"/>
        </w:rPr>
        <w:t xml:space="preserve">Figure F-PD-04. Individual peak response versus individual CYB003 Cₘₐₓ. Flat between-subject slopes support a time-related contribution to the within-subject C-R associations.</w:t>
      </w:r>
    </w:p>
    <w:p>
      <w:pPr>
        <w:pStyle w:val="Heading1"/>
        <w:spacing w:after="120" w:before="300"/>
      </w:pPr>
      <w:r>
        <w:rPr>
          <w:b/>
          <w:bCs/>
          <w:color w:val="1F3864"/>
        </w:rPr>
        <w:t xml:space="preserve">6. Interpretation and Limitations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Cardiovascular effect is real but modest and transient.</w:t>
      </w:r>
      <w:r>
        <w:t xml:space="preserve"> CYB003 16 mg was associated with a peak mean SBP/DBP rise of ~18/11 mmHg near 2 h and a delayed pulse rise of ~8 bpm at 4–6 h, resolving by 8–12 h — consistent with the CSR safety narrative, now quantified against exposure.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Time–concentration confounding.</w:t>
      </w:r>
      <w:r>
        <w:t xml:space="preserve"> In a single-dose serial design, concentration and elapsed time are collinear; late low-concentration timepoints fall below pre-dose (circadian recovery), which steepens the linear C-R slope. The slopes should be read as associations, not calibrated pharmacodynamic gains.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Hysteresis for pulse.</w:t>
      </w:r>
      <w:r>
        <w:t xml:space="preserve"> The pulse effect lags concentration (Figure F-PD-03); a direct-effect slope understates the peak. An effect-compartment or time-course model would be needed to characterize it properly.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Between- vs within-subject discordance.</w:t>
      </w:r>
      <w:r>
        <w:t xml:space="preserve"> Individual Cₘₐₓ did not predict individual peak response, reinforcing caution about a purely concentration-driven mechanism over this narrow exposure range.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QTcF conclusion is robust.</w:t>
      </w:r>
      <w:r>
        <w:t xml:space="preserve"> Both the slope and the predicted ΔQTcF (upper 90% CI &lt; 10 ms at max Cₘₐₓ) indicate no QT prolongation, supporting — and quantifying — the CSR's categorical finding.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Not analyzable:</w:t>
      </w:r>
      <w:r>
        <w:t xml:space="preserve"> no continuous pharmacodynamic/efficacy endpoint is present in the ADaM (ADQS = C-SSRS only), so exposure vs psychedelic effect was not evaluated.</w:t>
      </w:r>
    </w:p>
    <w:p>
      <w:pPr>
        <w:pStyle w:val="Heading1"/>
        <w:spacing w:after="120" w:before="300"/>
      </w:pPr>
      <w:r>
        <w:rPr>
          <w:b/>
          <w:bCs/>
          <w:color w:val="1F3864"/>
        </w:rPr>
        <w:t xml:space="preserve">7. Conclusions</w:t>
      </w:r>
    </w:p>
    <w:p>
      <w:pPr>
        <w:spacing w:after="120" w:line="276"/>
        <w:jc w:val="both"/>
      </w:pPr>
      <w:r>
        <w:t xml:space="preserve">CYB003 16 mg produces a transient, exposure-associated rise in blood pressure (peak ~18/11 mmHg near 2 h) and a smaller, delayed rise in pulse, with no evidence of QTcF prolongation (predicted ΔQTcF below 10 ms across the observed concentration range). These exploratory exposure–response results populate the CSR “PK/PD Analysis” section and should be interpreted as descriptive associations given the single-dose, time-confounded design.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CYB003-101 Exploratory PK/PD Results — Draft v0.1 —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62f4a12bdf1db31da73fcc4625580f4eee87068.png"/><Relationship Id="rId9" Type="http://schemas.openxmlformats.org/officeDocument/2006/relationships/image" Target="media/48736fdf79303bbced23c23ef6814f05b3bb8a69.png"/><Relationship Id="rId10" Type="http://schemas.openxmlformats.org/officeDocument/2006/relationships/image" Target="media/4836218cee1d7d5c7e70650e3da1a246e86e5572.png"/><Relationship Id="rId11" Type="http://schemas.openxmlformats.org/officeDocument/2006/relationships/image" Target="media/a60c26158c34a71348789c8f2436ede7cd63daf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CYB003-101 Exploratory PK/PD Results</dc:title>
  <dc:creator>CYB003-101 PK/PD</dc:creator>
  <cp:lastModifiedBy>Un-named</cp:lastModifiedBy>
  <cp:revision>1</cp:revision>
  <dcterms:created xsi:type="dcterms:W3CDTF">2026-08-07T13:27:54.608Z</dcterms:created>
  <dcterms:modified xsi:type="dcterms:W3CDTF">2026-08-07T13:27:54.618Z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