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1F3864"/>
          <w:sz w:val="30"/>
          <w:szCs w:val="30"/>
        </w:rPr>
        <w:t xml:space="preserve">Presentation Script</w:t>
      </w:r>
    </w:p>
    <w:p>
      <w:pPr>
        <w:spacing w:after="30"/>
      </w:pPr>
      <w:r>
        <w:rPr>
          <w:b/>
          <w:bCs/>
          <w:sz w:val="19"/>
          <w:szCs w:val="19"/>
        </w:rPr>
        <w:t xml:space="preserve">Clin Pharm Forum — CYB003-101 PK/PD Analyses: Blood Pressure and Hallucination</w:t>
      </w:r>
    </w:p>
    <w:p>
      <w:pPr>
        <w:pBdr>
          <w:bottom w:val="single" w:color="1F3864" w:sz="6" w:space="6"/>
        </w:pBdr>
        <w:spacing w:after="150"/>
      </w:pPr>
      <w:r>
        <w:rPr>
          <w:i/>
          <w:iCs/>
          <w:color w:val="666666"/>
          <w:sz w:val="16"/>
          <w:szCs w:val="16"/>
        </w:rPr>
        <w:t xml:space="preserve">Target 30–45 min | 8 slides + Q&amp;A | narration tracks each slide’s content; clinical-pharmacology register</w:t>
      </w:r>
    </w:p>
    <w:p>
      <w:pPr>
        <w:spacing w:after="120" w:line="280"/>
      </w:pPr>
      <w:r>
        <w:rPr>
          <w:b/>
          <w:bCs/>
        </w:rPr>
        <w:t xml:space="preserve">Use:</w:t>
      </w:r>
      <w:r>
        <w:t xml:space="preserve"> quoted text is delivery; bracketed notes are cues. Narration follows the on-slide bullets slide-by-slide. Numbers reflect the corrected nominal-hour time-matching — two slide values are stale and flagged at the end.</w:t>
      </w:r>
    </w:p>
    <w:p>
      <w:pPr>
        <w:spacing w:after="60" w:before="260"/>
      </w:pPr>
      <w:r>
        <w:rPr>
          <w:b/>
          <w:bCs/>
          <w:color w:val="1F3864"/>
          <w:sz w:val="23"/>
          <w:szCs w:val="23"/>
        </w:rPr>
        <w:t xml:space="preserve">Slide 1 — Title</w:t>
      </w:r>
      <w:r>
        <w:rPr>
          <w:i/>
          <w:iCs/>
          <w:color w:val="666666"/>
          <w:sz w:val="17"/>
          <w:szCs w:val="17"/>
        </w:rPr>
        <w:t xml:space="preserve">   ( ~1 min)</w:t>
      </w:r>
    </w:p>
    <w:p>
      <w:pPr>
        <w:spacing w:after="120" w:line="288"/>
        <w:ind w:left="220"/>
      </w:pPr>
      <w:r>
        <w:rPr>
          <w:sz w:val="21"/>
          <w:szCs w:val="21"/>
        </w:rPr>
        <w:t xml:space="preserve">“Good morning — I’m Tairan Yang from Clinical Pharmacology. Today’s forum covers the exposure–response analyses from CYB003-101, our Phase 1 CYP-cocktail drug–drug interaction study of CYB003, a deuterated psilocybin analog, in healthy volunteers. Beyond the primary DDI objective, the study captured serial pharmacokinetics alongside serial hemodynamic and adverse-event data, which lets us characterize two on-target pharmacodynamic effects against CYB003 exposure: a transient pressor response, and the perceptual — hallucination — experience. I’ll take the blood-pressure exposure–response first, then the hallucination time-course.”</w:t>
      </w:r>
    </w:p>
    <w:p>
      <w:pPr>
        <w:spacing w:after="60"/>
      </w:pPr>
      <w:r>
        <w:rPr>
          <w:i/>
          <w:iCs/>
          <w:color w:val="666666"/>
          <w:sz w:val="17"/>
          <w:szCs w:val="17"/>
        </w:rPr>
        <w:t xml:space="preserve">[ One-line roadmap: four slides on the BP exposure–response and an apparent within- vs between-subject discordance, then three on the hallucination time-course and one illustrative subject. ]</w:t>
      </w:r>
    </w:p>
    <w:p>
      <w:pPr>
        <w:spacing w:after="60" w:before="260"/>
      </w:pPr>
      <w:r>
        <w:rPr>
          <w:b/>
          <w:bCs/>
          <w:color w:val="1F3864"/>
          <w:sz w:val="23"/>
          <w:szCs w:val="23"/>
        </w:rPr>
        <w:t xml:space="preserve">Slide 2 — BP exposure–response: BP vs Cmax (between-subject)</w:t>
      </w:r>
      <w:r>
        <w:rPr>
          <w:i/>
          <w:iCs/>
          <w:color w:val="666666"/>
          <w:sz w:val="17"/>
          <w:szCs w:val="17"/>
        </w:rPr>
        <w:t xml:space="preserve">   ( ~4–5 min)</w:t>
      </w:r>
    </w:p>
    <w:p>
      <w:pPr>
        <w:spacing w:after="120" w:line="288"/>
        <w:ind w:left="220"/>
      </w:pPr>
      <w:r>
        <w:rPr>
          <w:sz w:val="21"/>
          <w:szCs w:val="21"/>
        </w:rPr>
        <w:t xml:space="preserve">“This first slide is the between-subject exposure–response. The endpoint is ΔΔ blood pressure — the baseline- and period-corrected change, i.e., each subject’s Day-8 change-from-baseline minus their time-matched Day-1 change; Day 1 is the probe cocktail alone, so it serves as the within-subject, time-matched control. Here I’ve taken each subject’s peak and mean ΔΔ for systolic and diastolic and regressed them against their individual Cmax.”</w:t>
      </w:r>
    </w:p>
    <w:p>
      <w:pPr>
        <w:spacing w:after="120" w:line="288"/>
        <w:ind w:left="220"/>
      </w:pPr>
      <w:r>
        <w:rPr>
          <w:sz w:val="21"/>
          <w:szCs w:val="21"/>
        </w:rPr>
        <w:t xml:space="preserve">“The between-subject relationship is flat and non-significant — a shallow negative slope for systolic, a shallow positive slope for diastolic, neither distinguishable from zero. Put in exposure–response terms: over the observed Cmax range, peak exposure does not predict the magnitude of an individual’s pressor response. Taken in isolation, this analysis would read as no exposure dependence.”</w:t>
      </w:r>
    </w:p>
    <w:p>
      <w:pPr>
        <w:spacing w:after="60"/>
      </w:pPr>
      <w:r>
        <w:rPr>
          <w:i/>
          <w:iCs/>
          <w:color w:val="666666"/>
          <w:sz w:val="17"/>
          <w:szCs w:val="17"/>
        </w:rPr>
        <w:t xml:space="preserve">[ Set up the discordance: “hold that — the next slide analyzes the identical endpoint within-subject and inverts the conclusion.” Data: 33 subjects (Cmax + evaluable ΔΔ), one point each. ]</w:t>
      </w:r>
    </w:p>
    <w:p>
      <w:pPr>
        <w:spacing w:after="60" w:before="260"/>
      </w:pPr>
      <w:r>
        <w:rPr>
          <w:b/>
          <w:bCs/>
          <w:color w:val="1F3864"/>
          <w:sz w:val="23"/>
          <w:szCs w:val="23"/>
        </w:rPr>
        <w:t xml:space="preserve">Slide 3 — BP concentration–response (within-subject)</w:t>
      </w:r>
      <w:r>
        <w:rPr>
          <w:i/>
          <w:iCs/>
          <w:color w:val="666666"/>
          <w:sz w:val="17"/>
          <w:szCs w:val="17"/>
        </w:rPr>
        <w:t xml:space="preserve">   ( ~5 min)</w:t>
      </w:r>
    </w:p>
    <w:p>
      <w:pPr>
        <w:spacing w:after="120" w:line="288"/>
        <w:ind w:left="220"/>
      </w:pPr>
      <w:r>
        <w:rPr>
          <w:sz w:val="21"/>
          <w:szCs w:val="21"/>
        </w:rPr>
        <w:t xml:space="preserve">“Same ΔΔ endpoint, now analyzed within-subject against the time-matched plasma concentration — every concentration–ΔΔ pair across the 24-hour profile contributes. Both systolic and diastolic rise steeply and significantly with CYB003 concentration. On the figure, the reference-corrected — ΔΔ — fit is the solid line, and the baseline-corrected, single-delta fit is the dashed line.”</w:t>
      </w:r>
    </w:p>
    <w:p>
      <w:pPr>
        <w:spacing w:after="120" w:line="288"/>
        <w:ind w:left="220"/>
      </w:pPr>
      <w:r>
        <w:rPr>
          <w:sz w:val="21"/>
          <w:szCs w:val="21"/>
        </w:rPr>
        <w:t xml:space="preserve">“The key pharmacologic point is that the slope is preserved — and for systolic it steepens — after the Day-1 correction. Because the period correction removes the circadian trajectory and the cocktail’s own hemodynamic contribution, including metoprolol’s beta-blockade, what remains is a concentration-driven, on-target pressor effect, not a time or nuisance artifact. At the geometric-mean Cmax the model predicts approximately +25 mmHg systolic and +14 mmHg diastolic, transient and tracking the concentration–time course.”</w:t>
      </w:r>
    </w:p>
    <w:p>
      <w:pPr>
        <w:spacing w:after="60"/>
      </w:pPr>
      <w:r>
        <w:rPr>
          <w:i/>
          <w:iCs/>
          <w:color w:val="666666"/>
          <w:sz w:val="17"/>
          <w:szCs w:val="17"/>
        </w:rPr>
        <w:t xml:space="preserve">[ Point to solid vs dashed when you say ‘period-corrected vs baseline-corrected.’ If the slide still shows +20/+11, state the corrected +25/+14 and note the slide will be updated. ]</w:t>
      </w:r>
    </w:p>
    <w:p>
      <w:pPr>
        <w:spacing w:after="60" w:before="260"/>
      </w:pPr>
      <w:r>
        <w:rPr>
          <w:b/>
          <w:bCs/>
          <w:color w:val="1F3864"/>
          <w:sz w:val="23"/>
          <w:szCs w:val="23"/>
        </w:rPr>
        <w:t xml:space="preserve">Slide 4 — Two analyses — why the trends are opposite</w:t>
      </w:r>
      <w:r>
        <w:rPr>
          <w:i/>
          <w:iCs/>
          <w:color w:val="666666"/>
          <w:sz w:val="17"/>
          <w:szCs w:val="17"/>
        </w:rPr>
        <w:t xml:space="preserve">   ( ~5–6 min)</w:t>
      </w:r>
    </w:p>
    <w:p>
      <w:pPr>
        <w:spacing w:after="120" w:line="288"/>
        <w:ind w:left="220"/>
      </w:pPr>
      <w:r>
        <w:rPr>
          <w:sz w:val="21"/>
          <w:szCs w:val="21"/>
        </w:rPr>
        <w:t xml:space="preserve">“So we have an apparent discordance: the same corrected endpoint gives a null between-subject exposure–response but a strong positive within-subject concentration–response. This slide reconciles it, and it’s the central methodological message. On the left, each subject’s own concentration–ΔΔ slope: of the 33 subjects with an estimable slope, 31 are positive — the pressor effect is reproducible within essentially every individual. On the right is the between-subject view again — one Cmax per subject — which is flat.”</w:t>
      </w:r>
    </w:p>
    <w:p>
      <w:pPr>
        <w:spacing w:after="120" w:line="288"/>
        <w:ind w:left="220"/>
      </w:pPr>
      <w:r>
        <w:rPr>
          <w:sz w:val="21"/>
          <w:szCs w:val="21"/>
        </w:rPr>
        <w:t xml:space="preserve">“These are two different parameters, not a contradiction. The within-subject slope estimates how an individual’s pressure tracks fluctuation in their own concentration; the between-subject slope asks whether higher-Cmax individuals mount a larger response. A compound can show a strong within-subject concentration–response and no between-subject exposure gradient simultaneously — which is exactly what we observe.”</w:t>
      </w:r>
    </w:p>
    <w:p>
      <w:pPr>
        <w:spacing w:after="60"/>
      </w:pPr>
      <w:r>
        <w:rPr>
          <w:i/>
          <w:iCs/>
          <w:color w:val="666666"/>
          <w:sz w:val="17"/>
          <w:szCs w:val="17"/>
        </w:rPr>
        <w:t xml:space="preserve">[ This is the anchor slide — slow the pace. Left: ~31 ascending individual regression lines; right: flat cloud of subject means. ]</w:t>
      </w:r>
    </w:p>
    <w:p>
      <w:pPr>
        <w:spacing w:after="60" w:before="260"/>
      </w:pPr>
      <w:r>
        <w:rPr>
          <w:b/>
          <w:bCs/>
          <w:color w:val="1F3864"/>
          <w:sz w:val="23"/>
          <w:szCs w:val="23"/>
        </w:rPr>
        <w:t xml:space="preserve">Slide 5 — Conclusions &amp; key takeaways (BP)</w:t>
      </w:r>
      <w:r>
        <w:rPr>
          <w:i/>
          <w:iCs/>
          <w:color w:val="666666"/>
          <w:sz w:val="17"/>
          <w:szCs w:val="17"/>
        </w:rPr>
        <w:t xml:space="preserve">   ( ~4–5 min)</w:t>
      </w:r>
    </w:p>
    <w:p>
      <w:pPr>
        <w:spacing w:after="120" w:line="288"/>
        <w:ind w:left="220"/>
      </w:pPr>
      <w:r>
        <w:rPr>
          <w:sz w:val="21"/>
          <w:szCs w:val="21"/>
        </w:rPr>
        <w:t xml:space="preserve">“Three reasons the within-subject estimate is informative and the between-subject one is not. First, dynamic range of exposure: within-subject, concentration spans zero to Cmax; between-subject, Cmax spans only about 2.6-fold at a single 16 mg dose — insufficient contrast to resolve a slope. Second, variance structure: the within-subject contrast conditions out stable inter-individual covariates — baseline pressure, body habitus, autonomic tone — whereas the between-subject contrast is dominated by them. Third, information content: a single Cmax is a poor surrogate for the time-integrated exposure the hemodynamic response actually tracks.”</w:t>
      </w:r>
    </w:p>
    <w:p>
      <w:pPr>
        <w:spacing w:after="120" w:line="288"/>
        <w:ind w:left="220"/>
      </w:pPr>
      <w:r>
        <w:rPr>
          <w:sz w:val="21"/>
          <w:szCs w:val="21"/>
        </w:rPr>
        <w:t xml:space="preserve">“The conclusion: CYB003 produces a real, transient, concentration-linked pressor effect — on the order of +25 over +14 mmHg systolic/diastolic at peak concentration — with onset and offset that follow the pharmacokinetics and resolution within roughly 8 to 12 hours. And peak exposure alone does not identify the most susceptible individuals over this single-dose range, so the flat Cmax relationship should not be over-interpreted as absence of effect. Operationally, this is a monitorable, self-limited, on-target hemodynamic effect — appropriate for a supervised dosing setting — to be characterized within-subject and confirmed across dose levels.”</w:t>
      </w:r>
    </w:p>
    <w:p>
      <w:pPr>
        <w:spacing w:after="60"/>
      </w:pPr>
      <w:r>
        <w:rPr>
          <w:i/>
          <w:iCs/>
          <w:color w:val="666666"/>
          <w:sz w:val="17"/>
          <w:szCs w:val="17"/>
        </w:rPr>
        <w:t xml:space="preserve">[ Transition to the perceptual pharmacodynamics: “same exposure driver, now the hallucination time-course.” ]</w:t>
      </w:r>
    </w:p>
    <w:p>
      <w:pPr>
        <w:spacing w:after="60" w:before="260"/>
      </w:pPr>
      <w:r>
        <w:rPr>
          <w:b/>
          <w:bCs/>
          <w:color w:val="1F3864"/>
          <w:sz w:val="23"/>
          <w:szCs w:val="23"/>
        </w:rPr>
        <w:t xml:space="preserve">Slide 6 — Hallucination episodes were transient</w:t>
      </w:r>
      <w:r>
        <w:rPr>
          <w:i/>
          <w:iCs/>
          <w:color w:val="666666"/>
          <w:sz w:val="17"/>
          <w:szCs w:val="17"/>
        </w:rPr>
        <w:t xml:space="preserve">   ( ~4 min)</w:t>
      </w:r>
    </w:p>
    <w:p>
      <w:pPr>
        <w:spacing w:after="120" w:line="288"/>
        <w:ind w:left="220"/>
      </w:pPr>
      <w:r>
        <w:rPr>
          <w:sz w:val="21"/>
          <w:szCs w:val="21"/>
        </w:rPr>
        <w:t xml:space="preserve">“Turning to the perceptual pharmacodynamics. Across 30 participants, 47 hallucination or perceptual treatment-emergent events were reported after CYB003 dosing, recalibrated here to time since dose. The temporal signature is that of an on-drug effect: most events began within the first hours post-dose and resolved the same day, the median individual episode lasted about 4.8 hours, and per-subject windows were generally confined to roughly 4 to 8 hours post-dose, with a small number extending longer. By MedDRA preferred term, visual hallucinations were the most frequently reported type.”</w:t>
      </w:r>
    </w:p>
    <w:p>
      <w:pPr>
        <w:spacing w:after="60"/>
      </w:pPr>
      <w:r>
        <w:rPr>
          <w:i/>
          <w:iCs/>
          <w:color w:val="666666"/>
          <w:sz w:val="17"/>
          <w:szCs w:val="17"/>
        </w:rPr>
        <w:t xml:space="preserve">[ Point to the dose reference line at t=0 and the clustering of onsets just after it. 47 episodes / 30 subjects; from ADAE, unaffected by the BP time-matching correction. ]</w:t>
      </w:r>
    </w:p>
    <w:p>
      <w:pPr>
        <w:spacing w:after="60" w:before="260"/>
      </w:pPr>
      <w:r>
        <w:rPr>
          <w:b/>
          <w:bCs/>
          <w:color w:val="1F3864"/>
          <w:sz w:val="23"/>
          <w:szCs w:val="23"/>
        </w:rPr>
        <w:t xml:space="preserve">Slide 7 — Time-limited, median resolution ~6 h</w:t>
      </w:r>
      <w:r>
        <w:rPr>
          <w:i/>
          <w:iCs/>
          <w:color w:val="666666"/>
          <w:sz w:val="17"/>
          <w:szCs w:val="17"/>
        </w:rPr>
        <w:t xml:space="preserve">   ( ~4 min)</w:t>
      </w:r>
    </w:p>
    <w:p>
      <w:pPr>
        <w:spacing w:after="120" w:line="288"/>
        <w:ind w:left="220"/>
      </w:pPr>
      <w:r>
        <w:rPr>
          <w:sz w:val="21"/>
          <w:szCs w:val="21"/>
        </w:rPr>
        <w:t xml:space="preserve">“Quantifying that time-course. Onset was early — most events began around one hour post-dose, on the absorption phase. Duration was transient, with a median of approximately 4.8 hours, and median resolution by about 6 hours post-dose — on the order of two to three elimination half-lives. Severity was predominantly mild: 43 mild and 4 moderate events, no severe, and no meaningful difference in duration between mild and moderate. The overall profile is an early-onset, self-limited, on-drug perceptual effect whose time-course mirrors CYB003 exposure.”</w:t>
      </w:r>
    </w:p>
    <w:p>
      <w:pPr>
        <w:spacing w:after="60"/>
      </w:pPr>
      <w:r>
        <w:rPr>
          <w:i/>
          <w:iCs/>
          <w:color w:val="666666"/>
          <w:sz w:val="17"/>
          <w:szCs w:val="17"/>
        </w:rPr>
        <w:t xml:space="preserve">[ Boxplots: contrast the tight onset distribution with the wider duration and resolution distributions. Caveat the small moderate-severity n if pressed. ]</w:t>
      </w:r>
    </w:p>
    <w:p>
      <w:pPr>
        <w:spacing w:after="60" w:before="260"/>
      </w:pPr>
      <w:r>
        <w:rPr>
          <w:b/>
          <w:bCs/>
          <w:color w:val="1F3864"/>
          <w:sz w:val="23"/>
          <w:szCs w:val="23"/>
        </w:rPr>
        <w:t xml:space="preserve">Slide 8 — Subject 01-033 — longest visual hallucination</w:t>
      </w:r>
      <w:r>
        <w:rPr>
          <w:i/>
          <w:iCs/>
          <w:color w:val="666666"/>
          <w:sz w:val="17"/>
          <w:szCs w:val="17"/>
        </w:rPr>
        <w:t xml:space="preserve">   ( ~4 min)</w:t>
      </w:r>
    </w:p>
    <w:p>
      <w:pPr>
        <w:spacing w:after="120" w:line="288"/>
        <w:ind w:left="220"/>
      </w:pPr>
      <w:r>
        <w:rPr>
          <w:sz w:val="21"/>
          <w:szCs w:val="21"/>
        </w:rPr>
        <w:t xml:space="preserve">“A single-subject vignette to make the exposure–effect coupling concrete. Subject 01-033 — a 55-year-old healthy male — had the longest visual hallucination in the study, about 10.7 hours, mild, treatment-related, and self-resolved without intervention. The pharmacokinetics account for it: an average Cmax of roughly 27 nanograms per milliliter, but a late Tmax of 4 hours and a prolonged terminal half-life near 6 hours — delayed, sustained exposure, and a correspondingly extended pharmacodynamic effect.”</w:t>
      </w:r>
    </w:p>
    <w:p>
      <w:pPr>
        <w:spacing w:after="120" w:line="288"/>
        <w:ind w:left="220"/>
      </w:pPr>
      <w:r>
        <w:rPr>
          <w:sz w:val="21"/>
          <w:szCs w:val="21"/>
        </w:rPr>
        <w:t xml:space="preserve">“His hemodynamics tracked the same exposure — systolic up 28 and diastolic up 11 millimeters of mercury near Tmax, normalizing by 24 hours — whereas on Day 1, cocktail alone, his pressure was essentially unchanged, confirming CYB003 attribution. A concurrent mild euphoric mood spanned approximately 1.9 to 3.9 hours, over the concentration peak. The case encapsulates the within-subject exposure–response and illustrates that slower elimination prolongs both the perceptual and the hemodynamic effect at an unremarkable peak concentration.”</w:t>
      </w:r>
    </w:p>
    <w:p>
      <w:pPr>
        <w:spacing w:after="60"/>
      </w:pPr>
      <w:r>
        <w:rPr>
          <w:i/>
          <w:iCs/>
          <w:color w:val="666666"/>
          <w:sz w:val="17"/>
          <w:szCs w:val="17"/>
        </w:rPr>
        <w:t xml:space="preserve">[ State it’s a single extreme-value case — illustrative, not representative — then move to wrap-up. ]</w:t>
      </w:r>
    </w:p>
    <w:p>
      <w:pPr>
        <w:spacing w:after="60" w:before="260"/>
      </w:pPr>
      <w:r>
        <w:rPr>
          <w:b/>
          <w:bCs/>
          <w:color w:val="1F3864"/>
          <w:sz w:val="23"/>
          <w:szCs w:val="23"/>
        </w:rPr>
        <w:t xml:space="preserve">Slide — — Wrap-up &amp; Q&amp;A</w:t>
      </w:r>
      <w:r>
        <w:rPr>
          <w:i/>
          <w:iCs/>
          <w:color w:val="666666"/>
          <w:sz w:val="17"/>
          <w:szCs w:val="17"/>
        </w:rPr>
        <w:t xml:space="preserve">   ( ~3–5 min)</w:t>
      </w:r>
    </w:p>
    <w:p>
      <w:pPr>
        <w:spacing w:after="120" w:line="288"/>
        <w:ind w:left="220"/>
      </w:pPr>
      <w:r>
        <w:rPr>
          <w:sz w:val="21"/>
          <w:szCs w:val="21"/>
        </w:rPr>
        <w:t xml:space="preserve">“In summary: CYB003 has two clear, on-target, concentration-linked pharmacodynamic effects — a transient pressor response and a time-limited perceptual experience — both of which track exposure within-subject over time. The between-subject, peak-only view is underpowered at a single dose and should not be read as absence of effect. Our path forward is to characterize these within-subject and confirm the exposure-dependence across dose levels. Both effects are mild-to-moderate, transient, and monitorable, consistent with a supervised dosing setting. I’m happy to take questions.”</w:t>
      </w:r>
    </w:p>
    <w:p>
      <w:pPr>
        <w:spacing w:after="120" w:line="280"/>
      </w:pPr>
      <w:r>
        <w:rPr>
          <w:b/>
          <w:bCs/>
        </w:rPr>
        <w:t xml:space="preserve">Anticipated questions — concise answers:</w:t>
      </w:r>
    </w:p>
    <w:p>
      <w:pPr>
        <w:spacing w:after="120" w:line="280"/>
      </w:pPr>
      <w:r>
        <w:t xml:space="preserve">• Why ΔΔ rather than change-from-baseline? — Day 1 (cocktail alone) is a within-subject, time-matched control; the period correction removes circadian drift and the cocktail’s own hemodynamic effect (metoprolol), isolating the CYB003 increment. The concentration–response slope persists and steepens after correction, arguing against a nuisance-time artifact.</w:t>
      </w:r>
    </w:p>
    <w:p>
      <w:pPr>
        <w:spacing w:after="120" w:line="280"/>
      </w:pPr>
      <w:r>
        <w:t xml:space="preserve">• Isn’t the within-subject slope confounded by concentration–time collinearity? — In a single-dose profile, yes, partly; that is precisely why we apply the Day-1 period correction and report within- and between-subject slopes separately. The concentration signal remains after correction.</w:t>
      </w:r>
    </w:p>
    <w:p>
      <w:pPr>
        <w:spacing w:after="120" w:line="280"/>
      </w:pPr>
      <w:r>
        <w:t xml:space="preserve">• N and sampling? — 34 subjects dosed with CYB003; the within-subject concentration–response uses 222 time-matched observations from 34 subjects across 8 timepoints; the Cmax analysis uses 33; the hallucination summary uses 47 episodes in 30 subjects.</w:t>
      </w:r>
    </w:p>
    <w:p>
      <w:pPr>
        <w:spacing w:after="120" w:line="280"/>
      </w:pPr>
      <w:r>
        <w:t xml:space="preserve">• Clinical relevance of +25/+14 mmHg? — Transient (hours), resolving by 8–12 h, monitorable in a supervised setting; to be evaluated at the intended therapeutic exposure and in populations with cardiovascular risk factors.</w:t>
      </w:r>
    </w:p>
    <w:p>
      <w:pPr>
        <w:pageBreakBefore/>
        <w:spacing w:after="60"/>
      </w:pPr>
      <w:r>
        <w:rPr>
          <w:b/>
          <w:bCs/>
          <w:color w:val="1F3864"/>
          <w:sz w:val="24"/>
          <w:szCs w:val="24"/>
        </w:rPr>
        <w:t xml:space="preserve">Appendix — Data &amp; Methods (backup / Q&amp;A reference)</w:t>
      </w:r>
    </w:p>
    <w:p>
      <w:pPr>
        <w:spacing w:after="120" w:line="280"/>
      </w:pPr>
      <w:r>
        <w:t xml:space="preserve">Counts reflect the corrected nominal-hour time-matching. Times are relative to the Day 8 CYB003 dose. Source: ADaM datasets (ADSL, ADPC, ADVS, ADEG, ADPP, ADAE).</w:t>
      </w:r>
    </w:p>
    <w:p>
      <w:pPr>
        <w:spacing w:after="60" w:before="160"/>
      </w:pPr>
      <w:r>
        <w:rPr>
          <w:b/>
          <w:bCs/>
          <w:color w:val="1F3864"/>
          <w:sz w:val="20"/>
          <w:szCs w:val="20"/>
        </w:rPr>
        <w:t xml:space="preserve">A. Population flow</w:t>
      </w:r>
    </w:p>
    <w:tbl>
      <w:tblPr>
        <w:tblW w:type="dxa" w:w="7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600"/>
        <w:gridCol w:w="1400"/>
      </w:tblGrid>
      <w:tr>
        <w:trPr>
          <w:tblHeader/>
        </w:trPr>
        <w:tc>
          <w:tcPr>
            <w:tcW w:type="dxa" w:w="56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Population</w:t>
            </w:r>
          </w:p>
        </w:tc>
        <w:tc>
          <w:tcPr>
            <w:tcW w:type="dxa" w:w="14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</w:t>
            </w:r>
          </w:p>
        </w:tc>
      </w:tr>
      <w:tr>
        <w:tc>
          <w:tcPr>
            <w:tcW w:type="dxa" w:w="5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Treated / Safety (≥ 1 dose)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36</w:t>
            </w:r>
          </w:p>
        </w:tc>
      </w:tr>
      <w:tr>
        <w:tc>
          <w:tcPr>
            <w:tcW w:type="dxa" w:w="5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Dosed Period 1 (probe cocktail alone, Day 1)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36</w:t>
            </w:r>
          </w:p>
        </w:tc>
      </w:tr>
      <w:tr>
        <w:tc>
          <w:tcPr>
            <w:tcW w:type="dxa" w:w="5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Dosed Period 2 (CYB003 + cocktail, Day 8)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34</w:t>
            </w:r>
          </w:p>
        </w:tc>
      </w:tr>
      <w:tr>
        <w:tc>
          <w:tcPr>
            <w:tcW w:type="dxa" w:w="5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PK population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35</w:t>
            </w:r>
          </w:p>
        </w:tc>
      </w:tr>
      <w:tr>
        <w:tc>
          <w:tcPr>
            <w:tcW w:type="dxa" w:w="5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DDI-PK population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33</w:t>
            </w:r>
          </w:p>
        </w:tc>
      </w:tr>
      <w:tr>
        <w:tc>
          <w:tcPr>
            <w:tcW w:type="dxa" w:w="5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Completed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34</w:t>
            </w:r>
          </w:p>
        </w:tc>
      </w:tr>
      <w:tr>
        <w:tc>
          <w:tcPr>
            <w:tcW w:type="dxa" w:w="5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CYB003 PK parameters available (Cmax, AUC, Tmax, t½)</w:t>
            </w:r>
          </w:p>
        </w:tc>
        <w:tc>
          <w:tcPr>
            <w:tcW w:type="dxa" w:w="1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33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  <w:sz w:val="20"/>
          <w:szCs w:val="20"/>
        </w:rPr>
        <w:t xml:space="preserve">B. Subjects with data at each nominal timepoint</w:t>
      </w:r>
    </w:p>
    <w:tbl>
      <w:tblPr>
        <w:tblW w:type="dxa" w:w="82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300"/>
        <w:gridCol w:w="1900"/>
        <w:gridCol w:w="2600"/>
        <w:gridCol w:w="240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Hour</w:t>
            </w:r>
          </w:p>
        </w:tc>
        <w:tc>
          <w:tcPr>
            <w:tcW w:type="dxa" w:w="19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CYB003 conc</w:t>
            </w:r>
          </w:p>
        </w:tc>
        <w:tc>
          <w:tcPr>
            <w:tcW w:type="dxa" w:w="26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SBP/DBP (D1 / D8)</w:t>
            </w:r>
          </w:p>
        </w:tc>
        <w:tc>
          <w:tcPr>
            <w:tcW w:type="dxa" w:w="24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QTcF (D1 / D8)</w:t>
            </w:r>
          </w:p>
        </w:tc>
      </w:tr>
      <w:tr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pre (0)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34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36 / 34</w:t>
            </w:r>
          </w:p>
        </w:tc>
        <w:tc>
          <w:tcPr>
            <w:tcW w:type="dxa" w:w="2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36 / 34</w:t>
            </w:r>
          </w:p>
        </w:tc>
      </w:tr>
      <w:tr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34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36 / 33</w:t>
            </w:r>
          </w:p>
        </w:tc>
        <w:tc>
          <w:tcPr>
            <w:tcW w:type="dxa" w:w="2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34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36 / 31</w:t>
            </w:r>
          </w:p>
        </w:tc>
        <w:tc>
          <w:tcPr>
            <w:tcW w:type="dxa" w:w="2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36 / 32</w:t>
            </w:r>
          </w:p>
        </w:tc>
      </w:tr>
      <w:tr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33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31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36 / 30</w:t>
            </w:r>
          </w:p>
        </w:tc>
        <w:tc>
          <w:tcPr>
            <w:tcW w:type="dxa" w:w="2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36 / 28</w:t>
            </w:r>
          </w:p>
        </w:tc>
      </w:tr>
      <w:tr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33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36 / 34</w:t>
            </w:r>
          </w:p>
        </w:tc>
        <w:tc>
          <w:tcPr>
            <w:tcW w:type="dxa" w:w="2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34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36 / 34</w:t>
            </w:r>
          </w:p>
        </w:tc>
        <w:tc>
          <w:tcPr>
            <w:tcW w:type="dxa" w:w="2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36 / 34</w:t>
            </w:r>
          </w:p>
        </w:tc>
      </w:tr>
      <w:tr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34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36 / 34</w:t>
            </w:r>
          </w:p>
        </w:tc>
        <w:tc>
          <w:tcPr>
            <w:tcW w:type="dxa" w:w="2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16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33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24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34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36 / 34</w:t>
            </w:r>
          </w:p>
        </w:tc>
        <w:tc>
          <w:tcPr>
            <w:tcW w:type="dxa" w:w="2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36 / 34</w:t>
            </w:r>
          </w:p>
        </w:tc>
      </w:tr>
      <w:tr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48</w:t>
            </w:r>
          </w:p>
        </w:tc>
        <w:tc>
          <w:tcPr>
            <w:tcW w:type="dxa" w:w="1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34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4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30" w:before="20"/>
      </w:pPr>
      <w:r>
        <w:rPr>
          <w:i/>
          <w:iCs/>
          <w:color w:val="666666"/>
          <w:sz w:val="15"/>
          <w:szCs w:val="15"/>
        </w:rPr>
        <w:t xml:space="preserve">The 2–4 h Day-8 window has a few missing values (down to 30–31), i.e., the highest-concentration points — a minor limitation. ECG has 5 timepoints only.</w:t>
      </w:r>
    </w:p>
    <w:p>
      <w:pPr>
        <w:spacing w:after="60" w:before="160"/>
      </w:pPr>
      <w:r>
        <w:rPr>
          <w:b/>
          <w:bCs/>
          <w:color w:val="1F3864"/>
          <w:sz w:val="20"/>
          <w:szCs w:val="20"/>
        </w:rPr>
        <w:t xml:space="preserve">C. What was included in each analysis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900"/>
        <w:gridCol w:w="59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Analysis</w:t>
            </w:r>
          </w:p>
        </w:tc>
        <w:tc>
          <w:tcPr>
            <w:tcW w:type="dxa" w:w="9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Slide</w:t>
            </w:r>
          </w:p>
        </w:tc>
        <w:tc>
          <w:tcPr>
            <w:tcW w:type="dxa" w:w="59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 included</w:t>
            </w:r>
          </w:p>
        </w:tc>
      </w:tr>
      <w:tr>
        <w:tc>
          <w:tcPr>
            <w:tcW w:type="dxa" w:w="2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BP vs Cmax (between-subject)</w:t>
            </w:r>
          </w:p>
        </w:tc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5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33 subjects (require Cmax + ΔΔ)</w:t>
            </w:r>
          </w:p>
        </w:tc>
      </w:tr>
      <w:tr>
        <w:tc>
          <w:tcPr>
            <w:tcW w:type="dxa" w:w="2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ΔΔ BP concentration–response (within-subject)</w:t>
            </w:r>
          </w:p>
        </w:tc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5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222 observations, 34 subjects, 8 timepoints (0,1,2,4,6,8,12,24 h)</w:t>
            </w:r>
          </w:p>
        </w:tc>
      </w:tr>
      <w:tr>
        <w:tc>
          <w:tcPr>
            <w:tcW w:type="dxa" w:w="2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Within vs between / per-subject slopes</w:t>
            </w:r>
          </w:p>
        </w:tc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5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34 subjects; slopes estimable for 33 → SBP 31/33 positive, DBP 30/33</w:t>
            </w:r>
          </w:p>
        </w:tc>
      </w:tr>
      <w:tr>
        <w:tc>
          <w:tcPr>
            <w:tcW w:type="dxa" w:w="2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Hallucination episodes</w:t>
            </w:r>
          </w:p>
        </w:tc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6, 7</w:t>
            </w:r>
          </w:p>
        </w:tc>
        <w:tc>
          <w:tcPr>
            <w:tcW w:type="dxa" w:w="5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47 episodes, 30 subjects (visual: 24 episodes, 24 subjects)</w:t>
            </w:r>
          </w:p>
        </w:tc>
      </w:tr>
      <w:tr>
        <w:tc>
          <w:tcPr>
            <w:tcW w:type="dxa" w:w="2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Longest-VH case</w:t>
            </w:r>
          </w:p>
        </w:tc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5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 subject (01-033)</w:t>
            </w:r>
          </w:p>
        </w:tc>
      </w:tr>
      <w:tr>
        <w:tc>
          <w:tcPr>
            <w:tcW w:type="dxa" w:w="22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C-QTc (if presented)</w:t>
            </w:r>
          </w:p>
        </w:tc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center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5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line="244"/>
              <w:jc w:val="left"/>
            </w:pPr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115 obs, 34 subjects, 4 post-dose timepoints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  <w:sz w:val="20"/>
          <w:szCs w:val="20"/>
        </w:rPr>
        <w:t xml:space="preserve">D. What feeds each individual trendline (Slide 4, Panel A)</w:t>
      </w:r>
    </w:p>
    <w:p>
      <w:pPr>
        <w:spacing w:after="120" w:line="280"/>
      </w:pPr>
      <w:r>
        <w:t xml:space="preserve">Each grey line is one participant’s own OLS regression of ΔΔ SBP on their time-matched CYB003 concentration. Per subject, the points are the paired values at every nominal hour where a CYB003 concentration and both a Day-8 and Day-1 SBP measurement exist (0, 1, 2, 4, 6, 8, 12, 24 h) — 5–8 points each (median 7), including the pre-dose conc = 0 anchor. y is double-corrected: (Day-8 change-from-baseline) minus (Day-1 change-from-baseline) at the same time. The solid line is the pooled within-subject slope (+1.03).</w:t>
      </w:r>
    </w:p>
    <w:p>
      <w:pPr>
        <w:spacing w:after="120" w:line="280"/>
      </w:pPr>
      <w:r>
        <w:rPr>
          <w:b/>
          <w:bCs/>
        </w:rPr>
        <w:t xml:space="preserve">Why 31/33 and not /34:</w:t>
      </w:r>
      <w:r>
        <w:t xml:space="preserve"> of the 34 subjects dosed with CYB003, two steps reduce the count. (1) One subject lacked ≥ 4 usable matched points, so no individual line could be fit — leaving 33 estimable slopes. (2) Of those 33, 31 slope upward and 2 slope downward (real individual fits that happen to be negative). So “31/33” = of the 33 participants with an estimable slope, 31 were positive; the 34th is not classifiable. The pooled ΔΔ model (222 obs, 34 subjects) retains all 34, as it does not require ≥ 4 points per subject — that filter applies only to fitting an individual line. Alternative framing: ‘of 34 dosed: 31 positive, 2 negative, 1 not estimable.’</w:t>
      </w:r>
    </w:p>
    <w:p>
      <w:pPr>
        <w:spacing w:before="200"/>
      </w:pPr>
      <w:r>
        <w:rPr>
          <w:i/>
          <w:iCs/>
          <w:color w:val="666666"/>
          <w:sz w:val="16"/>
          <w:szCs w:val="16"/>
        </w:rPr>
        <w:t xml:space="preserve">Deck edits before presenting: Slide 4 “31/32” → “31/33”; Slide 5 magnitude “+20/+11” → “≈ +25/+14 mmHg” and “peak ~2 h” → “peak ~2–4 h.” Hallucination figures (slides 6–7) are correct as shown.</w:t>
      </w:r>
    </w:p>
    <w:sectPr>
      <w:footerReference w:type="default" r:id="rId7"/>
      <w:pgSz w:w="12240" w:h="15840" w:orient="portrait"/>
      <w:pgMar w:top="1300" w:right="1350" w:bottom="125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5"/>
        <w:szCs w:val="15"/>
      </w:rPr>
      <w:t xml:space="preserve">Clin Pharm Forum — CYB003-101 PK/PD — Presentation Script — Page </w:t>
    </w:r>
    <w:r>
      <w:rPr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5"/>
        <w:szCs w:val="15"/>
      </w:rPr>
      <w:t xml:space="preserve"> of </w:t>
    </w:r>
    <w:r>
      <w:rPr>
        <w:color w:val="6666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 Pharm Forum Presentation Script</dc:title>
  <dc:creator>CYB003-101</dc:creator>
  <cp:lastModifiedBy>Un-named</cp:lastModifiedBy>
  <cp:revision>1</cp:revision>
  <dcterms:created xsi:type="dcterms:W3CDTF">2026-08-18T15:21:22.864Z</dcterms:created>
  <dcterms:modified xsi:type="dcterms:W3CDTF">2026-08-18T15:21:22.905Z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