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4"/>
        </w:rPr>
        <w:t>商业计划书</w:t>
      </w:r>
    </w:p>
    <w:p>
      <w:pPr>
        <w:spacing w:before="0" w:after="160" w:line="252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60"/>
        </w:rPr>
        <w:t>彤见矩阵</w:t>
      </w:r>
    </w:p>
    <w:p>
      <w:pPr>
        <w:spacing w:before="0" w:after="8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32"/>
        </w:rPr>
        <w:t>AI 短视频增长操盘系统</w:t>
      </w:r>
    </w:p>
    <w:p>
      <w:pPr>
        <w:spacing w:before="0" w:after="56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3"/>
        </w:rPr>
        <w:t>OPC 转化 · 企业培训 · 认证代理 · 授权渠道 · 系统消耗平台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EF5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核心口号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让每个卖点都被看见。彤见矩阵的机会不是再做一个剪辑工具，而是把短视频经营从“凭感觉做内容”变成“围绕利益点持续测试、复盘和复制”的系统。</w:t>
            </w:r>
          </w:p>
        </w:tc>
      </w:tr>
    </w:tbl>
    <w:p>
      <w:pPr>
        <w:spacing w:before="0" w:after="40" w:line="288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9"/>
              </w:rPr>
              <w:t>创始人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杨彤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9"/>
              </w:rPr>
              <w:t>版本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系统商业叙事 v1.1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9"/>
              </w:rPr>
              <w:t>日期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2026 年 5 月 31 日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9"/>
              </w:rPr>
              <w:t>文档用途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9"/>
              </w:rPr>
              <w:t>融资沟通、渠道沟通、团队内部战略对齐</w:t>
            </w:r>
          </w:p>
        </w:tc>
      </w:tr>
    </w:tbl>
    <w:p>
      <w:pPr>
        <w:spacing w:before="0" w:after="40" w:line="288" w:lineRule="auto"/>
      </w:pPr>
    </w:p>
    <w:p>
      <w:pPr>
        <w:spacing w:before="320" w:after="0" w:line="288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19"/>
        </w:rPr>
        <w:t>重要说明：本计划书中的公开市场数据均注明来源；涉及营收、漏斗、成本、转化率的数字为阶段目标或测算假设，正式融资材料需要用试点实测数据替换。</w:t>
      </w:r>
    </w:p>
    <w:p>
      <w:r>
        <w:br w:type="page"/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执行摘要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彤见矩阵不是单纯靠终端客户订阅赚钱的 AI 剪辑软件，而是一套围绕商业短视频增长能力搭建的“产品 + 方法 + 渠道”系统。它先用真实用户的内容操盘场景验证产品，再通过 OPC 转化、企业培训、认证代理、授权渠道、系统服务费和 AI 消耗形成分阶段收入。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产品当前方向是 AI 短视频增长操盘系统：帮助有销售、获客、曝光和转化需求的人，完成从卖点提炼、内容生成、批量测试、发布台账到数据复盘的闭环。适用对象不局限于实体门店，也包括电商商家、品牌方、矩阵号团队、MCN/代运营公司、达人主播和不会剪辑但需要内容的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一句话商业判断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彤见矩阵早期用终端客户和 OPC 跑出案例与现金流，中期用企业培训和认证代理把方法规模化，后期用授权渠道、系统服务费、AI 消耗和数据资产放大平台价值。</w:t>
            </w:r>
          </w:p>
        </w:tc>
      </w:tr>
    </w:tbl>
    <w:p>
      <w:pPr>
        <w:spacing w:before="0" w:after="40" w:line="288" w:lineRule="auto"/>
      </w:pP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对投资人：这不是“又一个 AI 剪辑工具”，而是把培训、渠道和系统消耗串成收入链的 AI 短视频增长平台。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对渠道方：它不是只卖软件，而是给服务商一套可教学、可交付、可复购、可质检的业务包。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对终端用户：它解决的不是会不会剪辑，而是今天卖什么、怎么说利益点、发完怎么判断有效。</w:t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数据调研与市场依据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公开数据可以证明三个大前提：短视频是基础流量入口，线上消费和本地生活的经营数字化仍在扩大，AI 内容合规正在成为商家使用门槛。真正需要试点证明的是：哪类用户最愿意持续付费、哪个内容场景使用频率最高、代理和企业培训是否能把收入放大。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数据点</w:t>
            </w:r>
          </w:p>
        </w:tc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公开数据</w:t>
            </w:r>
          </w:p>
        </w:tc>
        <w:tc>
          <w:tcPr>
            <w:tcW w:type="dxa" w:w="3311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对项目的意义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来源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短视频用户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截至 2025 年 12 月，短视频用户规模达 10.74 亿，占网民整体 95.4%。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短视频已经是商业内容的基础入口，商家需要的是持续生产和测试能力。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CNNIC 第57次报告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网络购物用户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截至 2025 年 12 月，网络购物用户规模达 9.37 亿，占网民整体 83.2%。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电商、品牌、新品推广和投放素材测试具备长期内容需求。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CNNIC 第57次报告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网上零售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2025 年全国网上零售额 15.97 万亿元，同比增长 8.6%。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商品视频、详情页转短视频、卖点 A/B 测试有可服务空间。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国家统计局/CNNIC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餐饮消费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2025 年餐饮收入 57982 亿元，同比增长 3.2%。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本地生活到店、团购套餐和门店活动适合做高频短视频内容测试。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国家统计局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餐饮连锁化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2025 年餐厅总数约 747 万家，餐饮连锁化率达 25%。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连锁和区域品牌更适合标准化内容 SOP、代理交付和系统复用。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CCFA/美团白皮书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AI 合规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《人工智能生成合成内容标识办法》自 2025 年 9 月 1 日起施行。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AI 视频产品必须处理标识、授权、审核和平台规则，合规能力可成为差异点。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国家网信办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市场机会的真实切口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项目不能只用“短视频市场大”作为论据。彤见矩阵真正要切的是商业内容生产中的高频、重复、可模板化、可训练、可复盘环节：商品卖点测试、门店活动推广、矩阵号批量发布、客户内容交付、直播切片复用和无剪辑基础用户的内容启动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因此，商业计划书的验证重点应从宏观市场规模转向一手经营数据：OPC 线索成本、训练营转化率、企业培训客单价、代理续费率、AI 生成消耗、终端内容发布率和复盘后复购率。</w:t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目标人群与真实痛点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彤见矩阵的产品适用人群不应被限制为实体商家。更准确的定义是：所有需要通过短视频完成销售、引流、获客、曝光或内容交付的人。早期可以选择一个高频场景做验证，但品牌叙事要站在商业短视频增长系统上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人群</w:t>
            </w:r>
          </w:p>
        </w:tc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高频用途</w:t>
            </w:r>
          </w:p>
        </w:tc>
        <w:tc>
          <w:tcPr>
            <w:tcW w:type="dxa" w:w="302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真实痛点</w:t>
            </w:r>
          </w:p>
        </w:tc>
        <w:tc>
          <w:tcPr>
            <w:tcW w:type="dxa" w:w="1655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收入入口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电商商家 / 品牌方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商品图转视频、详情页转短视频、商品口播、新品推广、卖点测试、多版本投放。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上新快、素材多、投放需要多版本，但内部缺少持续脚本和剪辑产能。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系统订阅、AI 美豆、企业培训、投放素材包。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本地生活商家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门店图转视频、活动海报转视频、团购套餐推广、同城引流、节日促销。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知道要发短视频，但不会持续选题、提炼利益点和复盘团购效果。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7天试点包、内容测试包、培训营、代理交付。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短视频运营 / 矩阵号团队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批量混剪、极速裂变、多账号发布、A/B 测试、标题封面优化、成片库管理。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账号多、需求快、内容变量多，人工剪辑和管理成本高。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团队版系统、AI 消耗、成片库、发布台账。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MCN / 代运营 / 内容营销公司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客户素材管理、行业模板复用、爆款结构参考、统一包装、批量出片、数据复盘。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客户多、交付重、利润被人工和返修吃掉，难以复制稳定 SOP。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认证代理、系统服务费、模板授权、质检督导。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达人 / 主播 / 个人 IP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直播切片、数字人口播、AI 字幕、课程推广、商品讲解、IP 内容复用。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内容资产分散，直播和长内容无法高效二次分发。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训练营、AI 美豆、数字人、切片工具包。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不会剪辑但需要内容的人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上传素材、选择场景和模板，即可生成可发布视频。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缺少剪辑技能，也不知道商业短视频该讲什么利益点。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低价公开课、实战营、模板会员、基础订阅。</w:t>
            </w:r>
          </w:p>
        </w:tc>
      </w:tr>
    </w:tbl>
    <w:p>
      <w:pPr>
        <w:spacing w:before="0" w:after="40" w:line="288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焦点原则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品牌目标人群可以宽，但 60 天验证切口必须窄。建议优先选择“本地生活团购内容测试”或“电商商品卖点素材测试”其中一个跑出案例，再复制到其他人群。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当前产品方向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当前产品应聚焦为“AI 短视频增长操盘系统”，不是泛剪辑工具。用户进入系统后，不是先面对时间轴和复杂编辑器，而是先回答商业问题：这次要卖什么、卖点是什么、给谁看、用什么结构表达、发布后看什么数据。</w:t>
      </w: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OPC 产品逻辑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产品底层采用 OPC 操盘逻辑，把短视频生产拆成三个可训练、可系统化的环节：</w:t>
      </w:r>
    </w:p>
    <w:p>
      <w:pPr>
        <w:pStyle w:val="ListNumber"/>
        <w:spacing w:before="0" w:after="80" w:line="283" w:lineRule="auto"/>
        <w:ind w:left="432" w:hanging="173"/>
      </w:pPr>
      <w:r>
        <w:rPr>
          <w:rFonts w:ascii="Microsoft YaHei" w:hAnsi="Microsoft YaHei" w:eastAsia="Microsoft YaHei"/>
          <w:sz w:val="20"/>
        </w:rPr>
        <w:t>Offer：明确本轮要推广的商品、套餐、活动、课程、直播间或服务。</w:t>
      </w:r>
    </w:p>
    <w:p>
      <w:pPr>
        <w:pStyle w:val="ListNumber"/>
        <w:spacing w:before="0" w:after="80" w:line="283" w:lineRule="auto"/>
        <w:ind w:left="432" w:hanging="173"/>
      </w:pPr>
      <w:r>
        <w:rPr>
          <w:rFonts w:ascii="Microsoft YaHei" w:hAnsi="Microsoft YaHei" w:eastAsia="Microsoft YaHei"/>
          <w:sz w:val="20"/>
        </w:rPr>
        <w:t>Point：提炼用户能看懂、能被打动的利益点，包括价格、效果、场景、信任、稀缺、便利、身份感。</w:t>
      </w:r>
    </w:p>
    <w:p>
      <w:pPr>
        <w:pStyle w:val="ListNumber"/>
        <w:spacing w:before="0" w:after="80" w:line="283" w:lineRule="auto"/>
        <w:ind w:left="432" w:hanging="173"/>
      </w:pPr>
      <w:r>
        <w:rPr>
          <w:rFonts w:ascii="Microsoft YaHei" w:hAnsi="Microsoft YaHei" w:eastAsia="Microsoft YaHei"/>
          <w:sz w:val="20"/>
        </w:rPr>
        <w:t>Content：围绕不同利益点生成多条短视频、标题、封面文案、口播稿和发布建议，并通过数据复盘继续迭代。</w:t>
      </w: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MVP 功能边界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4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素材输入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商品图、门店图、海报、直播片段、详情页、课程资料、客户素材。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卖点提炼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按行业和场景自动拆解利益点、目标人群、转化理由和风险表达。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内容测试包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一次生成多个卖点方向、短视频版本、标题封面和 CTA，用于 A/B 测试。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批量生成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支持图文转视频、口播视频、数字人、混剪变体、直播切片和模板化包装。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合规审核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检查价格、活动有效期、夸大承诺、肖像授权、AI 标识、行业敏感词。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发布台账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记录账号、发布时间、素材版本、标题、卖点方向、链接和后续数据。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8"/>
              </w:rPr>
              <w:t>复盘迭代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8"/>
              </w:rPr>
              <w:t>回收曝光、点击、私信、转化线索、核销或人工填报数据，给出下一轮建议。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北极星指标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EF5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产品北极星指标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每个付费用户每月完成“创建 Offer -&gt; 提炼 Point -&gt; 生成 Content -&gt; 发布 -&gt; 复盘 -&gt; 再生成”的有效循环次数。</w:t>
            </w:r>
          </w:p>
        </w:tc>
      </w:tr>
    </w:tbl>
    <w:p>
      <w:pPr>
        <w:spacing w:before="0" w:after="40" w:line="288" w:lineRule="auto"/>
      </w:pP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生成后发布率：避免产品停留在“生成玩具”，验证内容是否真的进入经营场景。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发布后数据回收率：验证系统能否从工具走向操盘，形成迭代依据。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复盘后再次生成率：验证用户是否把系统当成持续内容工厂，而不是一次性体验。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代理交付活跃率：验证渠道是否真正使用系统交付，而不是只买授权。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AI 美豆复购率：验证高频生成是否成立，避免消耗模式只是转嫁成本。</w:t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最终方向与竞争优势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最终方向不是单点 AI 视频工具，而是 AI 短视频增长服务行业的操作系统：底层是内容生成和数据复盘，中层是课程、模板、SOP 和质检，上层是企业培训、认证代理和授权渠道。这个方向的壁垒不来自某一个数字人或模板，而来自真实案例、行业利益点库、渠道交付标准和系统消耗网络的叠加。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对比对象</w:t>
            </w:r>
          </w:p>
        </w:tc>
        <w:tc>
          <w:tcPr>
            <w:tcW w:type="dxa" w:w="3671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客户现有选择的问题</w:t>
            </w:r>
          </w:p>
        </w:tc>
        <w:tc>
          <w:tcPr>
            <w:tcW w:type="dxa" w:w="3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彤见矩阵的差异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剪映 / 模板工具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便宜、易上手，但仍依赖人写脚本、找卖点、做复盘。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彤见矩阵从 Offer 和利益点开始，不只是剪辑操作。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通用 AI 视频工具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画面生成能力强，但不懂商品、套餐、转化路径和交付 SOP。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彤见矩阵把商业短视频拆成可测试的卖点和内容包。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数据平台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能看榜单和趋势，但不能直接生成下一轮内容。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彤见矩阵把趋势、模板和生成流程连接到发布复盘。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代运营公司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能交付内容，但人力重、质量不透明、难复制。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彤见矩阵让服务商用统一系统、模板、台账和质检交付。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培训机构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能教方法，但课后工具和交付链路弱。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彤见矩阵把培训结果导入系统使用、代理认证和持续消耗。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可量化优势指标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现阶段不能直接声称“效果领先”，应把优势写成可验证指标。融资前建议用 30-50 个试点账号或商家补齐下列数据。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优势方向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衡量方式</w:t>
            </w:r>
          </w:p>
        </w:tc>
        <w:tc>
          <w:tcPr>
            <w:tcW w:type="dxa" w:w="36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验证目标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内容效率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从素材上传到 20 条可发布视频的平均用时。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目标：低于传统人工交付 70% 以上。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发布率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生成内容中真实发布的比例。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目标：超过 50%，证明不是低价值生成。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复盘率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发布后能回收至少一项数据的内容比例。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目标：超过 40%，逐步提升自动化。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返修率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客户要求重做或人工大改的比例。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目标：随模板和审核规则下降。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代理人效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一个代理团队每月可服务客户数和内容量。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目标：比纯人工代运营提升 2-3 倍。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美豆复购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付费用户主动充值生成额度的比例。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目标：验证高频刚需和消耗收入。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商业模式总述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彤见矩阵不是只挣终端客户的钱。它的商业结构应该是多环节收益，但每一环必须服务同一条主线：用内容操盘方法获客，用培训建立信任，用终端案例证明有效，用代理承接重交付，用授权渠道放大规模，用系统服务费和 AI 消耗形成持续收入。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商业主线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OPC 内容获客 -&gt; 低价训练营筛选需求 -&gt; 企业培训/终端试点建立案例 -&gt; 认证代理承接重交付 -&gt; 授权渠道复制 -&gt; 系统服务费与 AI 美豆持续消耗 -&gt; 企业版、白标、API、数据价值。</w:t>
            </w:r>
          </w:p>
        </w:tc>
      </w:tr>
    </w:tbl>
    <w:p>
      <w:pPr>
        <w:spacing w:before="0" w:after="40" w:line="288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收入层级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收入项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付费方</w:t>
            </w:r>
          </w:p>
        </w:tc>
        <w:tc>
          <w:tcPr>
            <w:tcW w:type="dxa" w:w="259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存在目的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前端转化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OPC 公开课、直播课、低价训练营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商家、创业者、服务商、小白用户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获客、筛选、建立认知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高客单信任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企业培训、内训、顾问项目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品牌方、企业、商协会、机构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现金流、背书、组织客户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案例验证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终端试点包、标杆操盘、内容测试包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商家、品牌、达人团队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产生真实案例和模板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渠道建设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认证代理营、服务商认证、城市/行业授权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代运营、MCN、本地服务商、培训机构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把重交付外移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持续收入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系统服务费、模板授权、AI 美豆、质检督导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代理、企业、商家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提升毛利和复购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远期价值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白标/API、数据报告、交易归因、分成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企业客户、平台、渠道方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平台化和数据化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分阶段目标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商业计划书需要明确主收入曲线。早期不把所有模式同时做重，而是用阶段推进：先验证真实需求和获客，再产品化方法，然后渠道化交付，最后系统化和平台化。</w:t>
      </w: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阶段一：0-3 个月，OPC 获客与终端场景验证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验证用户是否真的需要 AI 短视频操盘，并用低成本 OPC 获得商家、服务商和个人用户线索。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关键动作</w:t>
            </w:r>
          </w:p>
        </w:tc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收入结构</w:t>
            </w:r>
          </w:p>
        </w:tc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阶段指标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选择一个核心验证切口：本地生活团购内容测试或电商商品卖点素材测试。</w:t>
              <w:br/>
              <w:t>完成 20-50 个付费试点，形成 3-5 个可公开展示的案例。</w:t>
              <w:br/>
              <w:t>跑通公开课、训练营、试点包三个前端产品。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OPC 公开课：9.9-99 元。</w:t>
              <w:br/>
              <w:t>7-14 天实战营：399-999 元。</w:t>
              <w:br/>
              <w:t>终端内容测试包：999-2999 元。</w:t>
              <w:br/>
              <w:t>标杆操盘项目：1-3 万元。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OPC 线索 1000-3000 条。</w:t>
              <w:br/>
              <w:t>到课率 30%-50%。</w:t>
              <w:br/>
              <w:t>付费实战营 100-300 人。</w:t>
              <w:br/>
              <w:t>月收入目标 10-30 万元。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阶段二：3-6 个月，企业培训与方法产品化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把一线操盘案例沉淀成课程、SOP、模板和企业训练体系，提升客单价和信任背书。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关键动作</w:t>
            </w:r>
          </w:p>
        </w:tc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收入结构</w:t>
            </w:r>
          </w:p>
        </w:tc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阶段指标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形成 OPC 方法课、行业案例课、卖点训练课、内容测试 SOP。</w:t>
              <w:br/>
              <w:t>交付 3-10 家企业培训或行业内训。</w:t>
              <w:br/>
              <w:t>把培训学员导入系统试用和后续代理认证。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企业内训：2-20 万元/场或项目。</w:t>
              <w:br/>
              <w:t>21 天企业实战营：1999-5999 元/人。</w:t>
              <w:br/>
              <w:t>行业模板包：999-9999 元。</w:t>
              <w:br/>
              <w:t>年度顾问：5-30 万元/年。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企业客户 3-10 家。</w:t>
              <w:br/>
              <w:t>可复用课程模块 10 个以上。</w:t>
              <w:br/>
              <w:t>行业案例 10-30 个。</w:t>
              <w:br/>
              <w:t>月收入目标 30-80 万元。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阶段三：6-12 个月，认证代理与重交付外移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总部不再重度承接所有终端交付，而是输出系统、课程、模板、SOP、质检和品牌，由认证代理承接本地服务。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关键动作</w:t>
            </w:r>
          </w:p>
        </w:tc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收入结构</w:t>
            </w:r>
          </w:p>
        </w:tc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阶段指标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建立认证代理营和考试机制。</w:t>
              <w:br/>
              <w:t>上线代理工作台、客户台账、模板库、质检后台。</w:t>
              <w:br/>
              <w:t>明确禁止承诺清单、内容审核标准和分润规则。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认证代理营：1-5 万元/期。</w:t>
              <w:br/>
              <w:t>代理系统服务费：999-9999 元/月。</w:t>
              <w:br/>
              <w:t>AI 美豆：按量计费。</w:t>
              <w:br/>
              <w:t>模板授权和质检督导：按月或按项目。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认证代理 50-150 家。</w:t>
              <w:br/>
              <w:t>代理系统活跃率 70% 以上。</w:t>
              <w:br/>
              <w:t>代理贡献收入超过总收入 30%。</w:t>
              <w:br/>
              <w:t>平台月收入目标 80-200 万元。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阶段四：12-24 个月，授权渠道与系统消耗规模化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把代理模型升级为城市、行业和企业授权体系，让收入从项目型转向授权费、系统费、AI 消耗和分润。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关键动作</w:t>
            </w:r>
          </w:p>
        </w:tc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收入结构</w:t>
            </w:r>
          </w:p>
        </w:tc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阶段指标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推出城市合伙人、行业合伙人、企业内训授权。</w:t>
              <w:br/>
              <w:t>建立总部质检、渠道督导和结算系统。</w:t>
              <w:br/>
              <w:t>用数据看板追踪代理交付质量和系统消耗。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城市合伙人：10-50 万元/年。</w:t>
              <w:br/>
              <w:t>行业合伙人：10-100 万元/年。</w:t>
              <w:br/>
              <w:t>企业内训授权：2-20 万元/项目。</w:t>
              <w:br/>
              <w:t>白标系统：10-100 万元/年。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授权城市/行业合伙人 5-20 个。</w:t>
              <w:br/>
              <w:t>认证代理 150-500 家。</w:t>
              <w:br/>
              <w:t>代理贡献收入超过总收入 50%。</w:t>
              <w:br/>
              <w:t>平台月收入目标 200-500 万元。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阶段五：24 个月以后，企业版、白标、API 与数据价值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在渠道网络、系统使用和案例数据有规模后，升级为 AI 短视频商业内容基础设施。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关键动作</w:t>
            </w:r>
          </w:p>
        </w:tc>
        <w:tc>
          <w:tcPr>
            <w:tcW w:type="dxa" w:w="309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收入结构</w:t>
            </w:r>
          </w:p>
        </w:tc>
        <w:tc>
          <w:tcPr>
            <w:tcW w:type="dxa" w:w="31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6"/>
              </w:rPr>
              <w:t>阶段指标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推出企业版、白标版、API 接入和行业数据报告。</w:t>
              <w:br/>
              <w:t>探索交易归因、团购核销、线索分成和投放素材优化。</w:t>
              <w:br/>
              <w:t>将内容模板、行业卖点和效果数据形成持续更新的增长资产。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企业版系统订阅。</w:t>
              <w:br/>
              <w:t>白标/API 收入。</w:t>
              <w:br/>
              <w:t>行业数据会员。</w:t>
              <w:br/>
              <w:t>交易归因和线索分成。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企业客户续费率。</w:t>
              <w:br/>
              <w:t>API 调用量。</w:t>
              <w:br/>
              <w:t>数据报告复购率。</w:t>
              <w:br/>
              <w:t>系统消耗收入占比持续提升。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财务模型与融资用途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财务模型建议按“训练营/培训现金流 + 代理授权现金流 + 系统消耗持续收入”拆开，而不是把所有收入混成一条 SaaS 订阅曲线。当前版本应明确：下列数字是测算目标，需要用试点数据验证。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收入结构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月收入目标</w:t>
            </w:r>
          </w:p>
        </w:tc>
        <w:tc>
          <w:tcPr>
            <w:tcW w:type="dxa" w:w="309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核心目的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启动期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OPC、训练营、终端试点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10-30 万元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验证需求、沉淀案例、跑通漏斗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验证期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企业培训、标杆项目、代理认证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30-80 万元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提高客单价，筛选渠道和企业客户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放大期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授权渠道、系统费、AI 美豆、质检督导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100-300 万元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重交付外移，持续收入提升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平台期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企业版、白标、API、数据/分成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300 万元以上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平台化、数据化、行业基础设施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单位经济模型需要补齐的数据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OPC 线索成本、到课率、完课率、训练营转化率。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终端内容测试包的真实交付成本：脚本、素材整理、生成、人工审核、返修、客服、复盘。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企业培训获客成本、交付人力、复购率和转介绍率。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代理从认证到首单的周期、首月签约客户数、系统活跃率和投诉率。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AI 单条生成成本、高清导出成本、云存储成本和美豆复购率。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系统服务费、AI 消耗和授权费在总收入中的占比变化。</w:t>
      </w: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融资建议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建议天使轮融资目标：300-500 万元人民币。资金重点不应只投研发，也要投向 OPC 漏斗、培训产品化、代理渠道验证和合规体系。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115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比例</w:t>
            </w:r>
          </w:p>
        </w:tc>
        <w:tc>
          <w:tcPr>
            <w:tcW w:type="dxa" w:w="5903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OPC 与内容获客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20%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短视频、直播、公开课、投放测试、线索转化。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课程与企业培训体系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15%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课程开发、讲师体系、案例库、企业交付材料。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代理渠道建设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25%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认证体系、招商、督导、区域试点、渠道物料。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产品中台研发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25%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操盘台、代理工作台、生成系统、质检、结算和数据看板。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合规与运营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15%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合同、授权、AI 标识、审核规则、客服和财务。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风险与验证重点</w:t>
      </w:r>
    </w:p>
    <w:tbl>
      <w:tblPr>
        <w:tblW w:type="dxa" w:w="935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6983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应对方式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目标人群过宽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品牌叙事可以宽，但试点切口必须窄；60 天只验证一个高频场景。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培训收入降低科技估值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培训必须导向系统使用、代理认证和企业组织客户，而不是一次性卖课。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内容交付变成人力外包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总部只做标杆案例和 SOP，规模交付逐步交给认证代理和系统自动化。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代理乱承诺影响品牌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建立认证、合同、质检、督导、禁止承诺清单和投诉处理机制。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数据回流困难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早期手工复盘，中期表格导入和授权接入，后期 API/服务商系统打通。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AI 内容合规风险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做 AI 标识、肖像授权、价格有效期、夸大宣传、行业敏感表达审核。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17"/>
              </w:rPr>
              <w:t>数字人和模板容易复制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32323"/>
                <w:sz w:val="17"/>
              </w:rPr>
              <w:t>壁垒不能写成“有数字人/有模板”，而要写成真实投放验证后的行业利益点库和渠道使用数据。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200" w:after="10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9.1 90 天必须拿到的证据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至少 20 个真实付费试点，记录行业、客单价、交付内容、发布数据、复购意向。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至少 3 个可公开展示的案例，包含原本成本、生成效率、发布结果和客户反馈。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一套 OPC 漏斗数据：曝光、留资、到课、付费训练营、试点包、代理咨询。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一套代理验证数据：候选代理数量、付费认证率、首单周期、系统活跃率。</w:t>
      </w:r>
    </w:p>
    <w:p>
      <w:pPr>
        <w:pStyle w:val="ListBullet"/>
        <w:spacing w:before="0" w:after="60" w:line="283" w:lineRule="auto"/>
        <w:ind w:left="360" w:hanging="173"/>
      </w:pPr>
      <w:r>
        <w:rPr>
          <w:rFonts w:ascii="Microsoft YaHei" w:hAnsi="Microsoft YaHei" w:eastAsia="Microsoft YaHei"/>
          <w:sz w:val="20"/>
        </w:rPr>
        <w:t>一套生成成本数据：单条视频成本、人工审核时长、返修率、客服成本。</w:t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对外融资叙事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彤见矩阵的融资叙事应从“我有一个 AI 剪辑软件”升级为“我在做 AI 短视频增长服务行业的产品化和渠道化基础设施”。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EEF5FF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80" w:line="283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对外表达版本</w:t>
            </w:r>
          </w:p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中小商家、品牌方和内容服务商未来不会只买一个剪辑工具，他们需要一套能持续发现利益点、生成内容、测试结果、复盘优化并被服务商规模化交付的 AI 内容工厂。彤见矩阵先用终端场景和 OPC 跑出真实案例，再通过企业培训、认证代理和授权渠道，把重交付转化为系统化收入和数据资产。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这套叙事比单纯讲功能更适合融资：它承认早期需要服务和培训拿现金流，但把培训、代理和授权都纳入系统使用、AI 消耗和数据回流，而不是彼此割裂的赚钱方式。</w:t>
      </w:r>
    </w:p>
    <w:p>
      <w:pPr>
        <w:pStyle w:val="Heading1"/>
        <w:spacing w:before="28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数据来源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232323"/>
          <w:sz w:val="19"/>
        </w:rPr>
        <w:t>CNNIC 第57次《中国互联网络发展状况统计报告》：</w:t>
      </w:r>
      <w:hyperlink r:id="rId11">
        <w:r>
          <w:rPr>
            <w:color w:val="0563C1"/>
            <w:u w:val="single"/>
            <w:rFonts w:ascii="Microsoft YaHei" w:hAnsi="Microsoft YaHei" w:eastAsia="Microsoft YaHei"/>
          </w:rPr>
          <w:t>https://www.cnnic.net.cn/NMediaFile/2026/0304/MAIN1772588317069TUXN3827X8.pdf</w:t>
        </w:r>
      </w:hyperlink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232323"/>
          <w:sz w:val="19"/>
        </w:rPr>
        <w:t>国家统计局：2025年12月份社会消费品零售总额增长0.9%：</w:t>
      </w:r>
      <w:hyperlink r:id="rId12">
        <w:r>
          <w:rPr>
            <w:color w:val="0563C1"/>
            <w:u w:val="single"/>
            <w:rFonts w:ascii="Microsoft YaHei" w:hAnsi="Microsoft YaHei" w:eastAsia="Microsoft YaHei"/>
          </w:rPr>
          <w:t>https://www.stats.gov.cn/sj/zxfbhjd/202601/t20260119_1962323.html</w:t>
        </w:r>
      </w:hyperlink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232323"/>
          <w:sz w:val="19"/>
        </w:rPr>
        <w:t>CCFA：《2026中国餐饮连锁化发展白皮书》发布信息：</w:t>
      </w:r>
      <w:hyperlink r:id="rId13">
        <w:r>
          <w:rPr>
            <w:color w:val="0563C1"/>
            <w:u w:val="single"/>
            <w:rFonts w:ascii="Microsoft YaHei" w:hAnsi="Microsoft YaHei" w:eastAsia="Microsoft YaHei"/>
          </w:rPr>
          <w:t>https://www.ccfa.org.cn/portal/cn/xiangxi.jsp?id=447139&amp;type=10003</w:t>
        </w:r>
      </w:hyperlink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232323"/>
          <w:sz w:val="19"/>
        </w:rPr>
        <w:t>国家网信办：《人工智能生成合成内容标识办法》答记者问：</w:t>
      </w:r>
      <w:hyperlink r:id="rId14">
        <w:r>
          <w:rPr>
            <w:color w:val="0563C1"/>
            <w:u w:val="single"/>
            <w:rFonts w:ascii="Microsoft YaHei" w:hAnsi="Microsoft YaHei" w:eastAsia="Microsoft YaHei"/>
          </w:rPr>
          <w:t>https://www.cac.gov.cn/2025-03/14/c_1743654685896173.htm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555555"/>
        <w:sz w:val="18"/>
      </w:rPr>
      <w:t>让每个卖点都被看见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555555"/>
        <w:sz w:val="18"/>
      </w:rPr>
      <w:t>彤见矩阵 | 系统性商业计划书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Microsoft YaHei" w:hAnsi="Microsoft YaHei" w:eastAsia="Microsoft YaHei"/>
      <w:color w:val="23232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Microsoft YaHei" w:hAnsi="Microsoft YaHei" w:eastAsia="Microsoft YaHei"/>
      <w:color w:val="23232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nnic.net.cn/NMediaFile/2026/0304/MAIN1772588317069TUXN3827X8.pdf" TargetMode="External"/><Relationship Id="rId12" Type="http://schemas.openxmlformats.org/officeDocument/2006/relationships/hyperlink" Target="https://www.stats.gov.cn/sj/zxfbhjd/202601/t20260119_1962323.html" TargetMode="External"/><Relationship Id="rId13" Type="http://schemas.openxmlformats.org/officeDocument/2006/relationships/hyperlink" Target="https://www.ccfa.org.cn/portal/cn/xiangxi.jsp?id=447139&amp;type=10003" TargetMode="External"/><Relationship Id="rId14" Type="http://schemas.openxmlformats.org/officeDocument/2006/relationships/hyperlink" Target="https://www.cac.gov.cn/2025-03/14/c_174365468589617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