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B9" w:rsidRPr="004B5DB9" w:rsidRDefault="004B5DB9" w:rsidP="004B5DB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B5DB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图解AUTOSAR（五）——微控制器抽象层（MCAL）</w:t>
      </w:r>
    </w:p>
    <w:p w:rsidR="004B5DB9" w:rsidRPr="004B5DB9" w:rsidRDefault="004B5DB9" w:rsidP="004B5DB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微控制器抽象层位于AUTOSAR分层模型中BSW</w:t>
      </w:r>
      <w:proofErr w:type="gram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</w:t>
      </w:r>
      <w:proofErr w:type="gram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底层，包含内部驱动，可以直接访问微控制器和片内外设。更进一步地，MCAL又可以分为微控制器驱动、存储器驱动、通信驱动和I/O驱动四个部分，各部分又由具体的与微控制器硬件相对应的驱动模块组成。如下图所示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86425" cy="5292965"/>
            <wp:effectExtent l="0" t="0" r="0" b="3175"/>
            <wp:docPr id="2" name="图片 2" descr="https://img-blog.csdn.net/20180514155957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41559574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59" cy="53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1、微控制器驱动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微控制器驱动由通用定时器驱动（General Purpose </w:t>
      </w:r>
      <w:proofErr w:type="spell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Driver,GPT</w:t>
      </w:r>
      <w:proofErr w:type="spell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Driver）、看门狗驱动（Watchdog </w:t>
      </w:r>
      <w:proofErr w:type="spell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Driver,WDG</w:t>
      </w:r>
      <w:proofErr w:type="spell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Driver）、微控制器单元驱动</w:t>
      </w: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 xml:space="preserve">（Microcontroller Unit </w:t>
      </w:r>
      <w:proofErr w:type="spell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Driver,MCU</w:t>
      </w:r>
      <w:proofErr w:type="spell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Driver）和内核测试（Core Test）四个部分组成。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（1）GPT Driver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在AUTOSAR中有两类定时器，操作系统定时器和硬件定时器。该模块使用通用定时器单元的硬件定时器通道，为操作系统或者其他基础软件模块提供计时功能。</w:t>
      </w: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GPT驱动的作用是：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启动和停止硬件定时器；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得到定时器数值；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控制时间触发的中断；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控制时间触发的中断唤醒。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（2）WDG Driver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Cs w:val="21"/>
        </w:rPr>
        <w:t>WDG Driver的功能主要是初始化和触发看门狗。WDG Driver有内部WDG Driver和外部WDG Driver。内部WDG Driver控制MCU的内部看门狗定时器，提供触发功能和模式选择服务；外部WDG Driver控制外部硬件看门狗，与内部WDG Driver一样，提供触发功能和模式选择服务。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（3）MCU Driver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Cs w:val="21"/>
        </w:rPr>
        <w:t>MCU Driver位于MCAL层，可以直接访问微控制器硬件，它的主要功能是初始化、休眠、复位微控制器以及提供其他MCAL软件模块所需的与微控制器相关的特殊功能。MCU Driver还能够使能并设置MCU时钟，例如CPU时钟、外围器件时钟、预分频器等参数。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（4）Core Test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Core Test（内核测试）模块包含周期性测试和启动测试。内核测试模块可以对CPU所有寄存器进行测试，提供中断控制和异常检测。该模块还对算术逻辑单元、存储保护单元和缓存控制器等进行检测。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2、存储器驱动 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存储器驱动由内部EEPROM驱动、内部Flash驱动、RAM测试和Flash测试四部分组成。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（1）内部EEPROM驱动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内部EEPROM驱动提供初始化服务，以及对内部EEPROM的读写、写、擦除等操作。该驱动模块一次只能接受一个任务。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（2）内部Flash驱动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内部Flash驱动提供内部Flash初始化服务，以及对内部Flash的读、写、擦除等操作。该驱动还可以将Flash访问代码下载到RAM中，如果需要的话，也可以执行写、擦除操作。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（3）RAM测试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RAM测试模块通过软件对RAM存储进行测试。该模块包含后台测试和前台测试。其中，后台测试是异步服务，前台测试是同步服务。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（4）Flash测试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flash测试模块提供算法来测试诸如数据/程序闪存、程序SRAM等非易失性存储器，这些存储器可以是集成在微控制器内部的，也可以是外部映射到微控制器的存储器。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3、通信驱动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通信驱动由以太网（Ethernet）驱动、</w:t>
      </w:r>
      <w:proofErr w:type="spell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驱动、CAN驱动、LIN驱动和SPI驱动五部分组成。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（1）Ethernet驱动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Ethernet驱动模块为以太网提供统一的接口。该驱动模块对所使用的以太网控制器的硬件特性进行了抽象。以太网接口模块使用以太网驱动</w:t>
      </w:r>
      <w:proofErr w:type="gram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层访问</w:t>
      </w:r>
      <w:proofErr w:type="gram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某些控制器。以太网驱动层由若干个以太网驱动模块组成。如下图所示。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43549" cy="3600450"/>
            <wp:effectExtent l="0" t="0" r="635" b="0"/>
            <wp:docPr id="1" name="图片 1" descr="https://img-blog.csdn.net/2018051420094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142009454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60" cy="36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</w:t>
      </w:r>
      <w:proofErr w:type="spell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驱动用来抽象不同的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通信控制器及其硬件相关的特性。通信控制器的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协议强制特性经过封装后只能通过统一的API进行访问。API提供了映射到基于实际通信控制器的硬件访问序列的抽象功能操作。因此，使用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驱动可以保证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接口独立于硬件。对内部或外部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通信控制器的驱动来说，</w:t>
      </w: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需要进行下列处理：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FlexRay</w:t>
      </w:r>
      <w:proofErr w:type="spell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控制器的初始化；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配置数据处理单元；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控制指令向通信控制器的传递；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从协议引擎到控制器主接口状态数据的规定；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通信控制器和主处理机之间信息数据的传输。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（3）CAN驱动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CAN驱动针对的是微控制器内部的CAN控制器，它可以实现以下功能：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对CAN控制器进行初始化；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发送和接收报文；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对报文的数据和功能进行通知（对接收报文的指示、对发送报文的确认）；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溢出和错误处理；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唤醒检测。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此外，CAN驱动还具有以下特性：单个或多个CAN通道、CAN驱动的多重实例化、对接收报文的中断/轮询模式。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CAN驱动是MCAL的一部分，可以执行硬件访问、向上层提供独立于硬件的API，而仅有的能够访问CAN驱动的上层是CAN接口（CAN Interface）。CAN驱动也可以为数据传输的初始化和通知接收事件的回</w:t>
      </w:r>
      <w:proofErr w:type="gram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调函数提供</w:t>
      </w:r>
      <w:proofErr w:type="gram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服务，该服务也是独立于硬件的。除此之外，CAN驱动也可以控制从属于同一个CAN硬件单元的CAN控制器的行为和状态。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（4）LIN驱动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LIN驱动使用标准的通用异步收发器（Universal Asynchronous Receiver 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Transmitter,UART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）或者串行通信接口（Serial Communication </w:t>
      </w:r>
      <w:proofErr w:type="spell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Interface,SCI</w:t>
      </w:r>
      <w:proofErr w:type="spell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）进行通信。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该模块可以完成下列任务：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LIN硬件的初始化；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调度表的处理；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LIN报文的发送（通过标志位和函数接口确认）；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LIN报文的接收（通过标志位和函数接口指示）；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睡眠和唤醒；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协议差错的处理；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报文的超时监测。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LIN驱动也是MCAL的一部分，可以执行硬件访问、向上层提供独立于硬件的API。仅有的能够访问LIN驱动的上层是LIN接口（LIN Interface）。一个LIN驱动可以支持多个通道，但是这些通道要属于同一个LIN硬件单元。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（5）SPI驱动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SPI驱动模块是微控制器内部同步通信串行接口的驱动。SPI驱动为SPI总线上不同的设备（如EEPROM/Watchdog等）提供读写访问服务。一个SPI设备可以被所使用的SPI硬件和相关的片选信号识别。该模块可以在主、</w:t>
      </w:r>
      <w:proofErr w:type="gramStart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从或者</w:t>
      </w:r>
      <w:proofErr w:type="gramEnd"/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主-从模式下运行。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配置SPI驱动应遵循以下步骤：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选择SPI驱动的功能级别，配置可选择的功能特性；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根据数据用途来定义SPI通道，它们可以是SPI驱动的内部缓冲器，或者是由用户提供的外部缓冲器；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根据硬件属性来定义SPI任务，它们会包含一系列使用这些属性的通道；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定义任务序列，以优先级排序的方式来传递数据。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4、I/O驱动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I/O驱动由PORT驱动、DIO驱动、ADC驱动、PWM驱动、ICU驱动、OCU驱动六部分组成。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（1）PORT驱动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PORT驱动初始化就是对微控制器的整个PORT模块进行初始化配置。</w:t>
      </w:r>
    </w:p>
    <w:p w:rsidR="004B5DB9" w:rsidRPr="004B5DB9" w:rsidRDefault="004B5DB9" w:rsidP="004B5DB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很多端口和管脚被分配有多种不同的功能，即可以进行引脚功能复用，比如通用I/O、模数转换、脉宽调制等功能。因此，对PORT必须有一个整体的配置和初始化，对各管脚的具体配置和使用取决于微控制器和ECU的引脚功能分配。PORT初始化数据应当尽可能高效地写到每个端口。DIO驱动中所用到的端口的配置和初始化都是在PORT驱动模块中完成的。因此，在使用DIO功能之前，应先进行PORT的初始化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（2）DIO驱动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DIO驱动对微控制器硬件管脚的访问进行了抽象，除此之外，还可以对管脚进行分组。该模块通过DIO通道、DIO端口以及DIO通道组来读写数据，而且这类操作是同步的。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（3）ADC驱动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ADC驱动对微控制器内部模数转换单元进行初始化和控制。它可以提供启动和停止模数转换的服务，分别用来开启和禁用模数转换的触发源。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（4）PWM驱动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PWM驱动为微控制器PWM模块提供初始化和控制服务，可生成周期和占空比都可变的脉冲。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（5）ICU驱动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ICU驱动控制的是微控制器的输入捕获单元（Input Capture Unit），有两种模式：正常模式和休眠模式。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ICU驱动可以提供一下服务：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信号边沿检测及通知；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中断唤醒；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周期性信号时间的测量；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边沿时间戳捕获；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边沿/</w:t>
      </w:r>
      <w:proofErr w:type="gramEnd"/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脉冲计数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（6）OCU驱动</w:t>
      </w:r>
      <w:bookmarkStart w:id="0" w:name="_GoBack"/>
      <w:bookmarkEnd w:id="0"/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OCU驱动的作用是对微控制器内部的输出比较单元（Output Compare Unit）进行初始化和控制。当计数器的值到达某个阈值时，OCU模块会自动开始比较并执行相应的操作。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OCU驱动还可以为下列功能提供服务：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启动或停止输出通道；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设定某个阈值；</w:t>
      </w:r>
    </w:p>
    <w:p w:rsidR="004B5DB9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启用或禁用某个通道的通知函数；</w:t>
      </w:r>
    </w:p>
    <w:p w:rsidR="00AD29D5" w:rsidRPr="004B5DB9" w:rsidRDefault="004B5DB9" w:rsidP="004B5DB9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B5DB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获取计数器数值；</w:t>
      </w:r>
    </w:p>
    <w:sectPr w:rsidR="00AD29D5" w:rsidRPr="004B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E2"/>
    <w:rsid w:val="004B5DB9"/>
    <w:rsid w:val="00A25AE2"/>
    <w:rsid w:val="00AD29D5"/>
    <w:rsid w:val="00B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5D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5D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B5DB9"/>
  </w:style>
  <w:style w:type="character" w:customStyle="1" w:styleId="apple-converted-space">
    <w:name w:val="apple-converted-space"/>
    <w:basedOn w:val="a0"/>
    <w:rsid w:val="004B5DB9"/>
  </w:style>
  <w:style w:type="character" w:styleId="a3">
    <w:name w:val="Hyperlink"/>
    <w:basedOn w:val="a0"/>
    <w:uiPriority w:val="99"/>
    <w:semiHidden/>
    <w:unhideWhenUsed/>
    <w:rsid w:val="004B5DB9"/>
    <w:rPr>
      <w:color w:val="0000FF"/>
      <w:u w:val="single"/>
    </w:rPr>
  </w:style>
  <w:style w:type="character" w:customStyle="1" w:styleId="read-count">
    <w:name w:val="read-count"/>
    <w:basedOn w:val="a0"/>
    <w:rsid w:val="004B5DB9"/>
  </w:style>
  <w:style w:type="paragraph" w:styleId="a4">
    <w:name w:val="Normal (Web)"/>
    <w:basedOn w:val="a"/>
    <w:uiPriority w:val="99"/>
    <w:semiHidden/>
    <w:unhideWhenUsed/>
    <w:rsid w:val="004B5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5DB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B5D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5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5D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5D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B5DB9"/>
  </w:style>
  <w:style w:type="character" w:customStyle="1" w:styleId="apple-converted-space">
    <w:name w:val="apple-converted-space"/>
    <w:basedOn w:val="a0"/>
    <w:rsid w:val="004B5DB9"/>
  </w:style>
  <w:style w:type="character" w:styleId="a3">
    <w:name w:val="Hyperlink"/>
    <w:basedOn w:val="a0"/>
    <w:uiPriority w:val="99"/>
    <w:semiHidden/>
    <w:unhideWhenUsed/>
    <w:rsid w:val="004B5DB9"/>
    <w:rPr>
      <w:color w:val="0000FF"/>
      <w:u w:val="single"/>
    </w:rPr>
  </w:style>
  <w:style w:type="character" w:customStyle="1" w:styleId="read-count">
    <w:name w:val="read-count"/>
    <w:basedOn w:val="a0"/>
    <w:rsid w:val="004B5DB9"/>
  </w:style>
  <w:style w:type="paragraph" w:styleId="a4">
    <w:name w:val="Normal (Web)"/>
    <w:basedOn w:val="a"/>
    <w:uiPriority w:val="99"/>
    <w:semiHidden/>
    <w:unhideWhenUsed/>
    <w:rsid w:val="004B5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5DB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B5D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5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895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2019-04-27T10:18:00Z</dcterms:created>
  <dcterms:modified xsi:type="dcterms:W3CDTF">2019-04-27T10:23:00Z</dcterms:modified>
</cp:coreProperties>
</file>