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BB65B" w14:textId="1A6081DF" w:rsidR="00DD5F13" w:rsidRDefault="00411A28">
      <w:r>
        <w:t>4F13 Probabilistic Machine Learning: Coursework 1: Gaussian Process</w:t>
      </w:r>
    </w:p>
    <w:p w14:paraId="036309E1" w14:textId="5660B20D" w:rsidR="00BD5E94" w:rsidRDefault="00BD5E94">
      <m:oMath>
        <m:r>
          <m:rPr>
            <m:sty m:val="p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  <m:ctrlPr>
              <w:rPr>
                <w:rFonts w:ascii="Cambria Math" w:eastAsia="MS Mincho" w:hAnsi="Cambria Math" w:cs="MS Mincho"/>
              </w:rPr>
            </m:ctrlPr>
          </m:e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logdet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bar>
              </m:e>
            </m:ba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bar>
                  </m:e>
                </m:ba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bar>
                      <m:barPr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bar>
                  </m:e>
                </m:ba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bar>
                      <m:barPr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bar>
                      </m:e>
                    </m:ba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ba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d>
      </m:oMath>
      <w:bookmarkStart w:id="0" w:name="_GoBack"/>
      <w:bookmarkEnd w:id="0"/>
    </w:p>
    <w:p w14:paraId="1C1E0DB1" w14:textId="2349CE76" w:rsidR="00411A28" w:rsidRDefault="00D05E4F" w:rsidP="00C30383">
      <w:pPr>
        <w:pStyle w:val="ListParagraph"/>
        <w:keepNext/>
        <w:numPr>
          <w:ilvl w:val="0"/>
          <w:numId w:val="1"/>
        </w:num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m:rPr>
            <m:sty m:val="p"/>
          </m:rPr>
          <w:rPr>
            <w:rStyle w:val="FootnoteReference"/>
            <w:rFonts w:ascii="Cambria Math" w:hAnsi="Cambria Math"/>
          </w:rPr>
          <w:footnoteReference w:id="1"/>
        </m:r>
      </m:oMath>
    </w:p>
    <w:p w14:paraId="3550C5C5" w14:textId="77777777" w:rsidR="00C30383" w:rsidRDefault="0003058E" w:rsidP="00C30383">
      <w:pPr>
        <w:keepNext/>
      </w:pPr>
      <w:r>
        <w:t xml:space="preserve"> </w:t>
      </w:r>
      <w:r w:rsidR="00AA06A8">
        <w:rPr>
          <w:noProof/>
        </w:rPr>
        <w:drawing>
          <wp:inline distT="0" distB="0" distL="0" distR="0" wp14:anchorId="177CE538" wp14:editId="3AB23169">
            <wp:extent cx="6596743" cy="3303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5" t="5825" r="6518" b="4442"/>
                    <a:stretch/>
                  </pic:blipFill>
                  <pic:spPr bwMode="auto">
                    <a:xfrm>
                      <a:off x="0" y="0"/>
                      <a:ext cx="6625114" cy="3317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4A580" w14:textId="4A717C96" w:rsidR="00AA06A8" w:rsidRDefault="00C30383" w:rsidP="00C30383">
      <w:pPr>
        <w:pStyle w:val="Caption"/>
      </w:pPr>
      <w:bookmarkStart w:id="1" w:name="_Ref527923408"/>
      <w:r>
        <w:t xml:space="preserve">Figure </w:t>
      </w:r>
      <w:r w:rsidR="00E2423D">
        <w:rPr>
          <w:noProof/>
        </w:rPr>
        <w:fldChar w:fldCharType="begin"/>
      </w:r>
      <w:r w:rsidR="00E2423D">
        <w:rPr>
          <w:noProof/>
        </w:rPr>
        <w:instrText xml:space="preserve"> SEQ Figure \* ARABIC </w:instrText>
      </w:r>
      <w:r w:rsidR="00E2423D">
        <w:rPr>
          <w:noProof/>
        </w:rPr>
        <w:fldChar w:fldCharType="separate"/>
      </w:r>
      <w:r w:rsidR="009005F9">
        <w:rPr>
          <w:noProof/>
        </w:rPr>
        <w:t>1</w:t>
      </w:r>
      <w:r w:rsidR="00E2423D">
        <w:rPr>
          <w:noProof/>
        </w:rPr>
        <w:fldChar w:fldCharType="end"/>
      </w:r>
      <w:bookmarkEnd w:id="1"/>
      <w:r w:rsidR="00297E26">
        <w:t xml:space="preserve"> shows the predictive means and the predictive</w:t>
      </w:r>
      <w:r w:rsidR="009F20D8">
        <w:t xml:space="preserve"> error</w:t>
      </w:r>
      <w:r w:rsidR="00297E26">
        <w:t xml:space="preserve"> bars</w:t>
      </w:r>
      <w:r w:rsidR="00E43E00">
        <w:t xml:space="preserve"> of the squared exponential model</w:t>
      </w:r>
      <w:r w:rsidR="00297E26">
        <w:t xml:space="preserve"> before and after training.</w:t>
      </w:r>
    </w:p>
    <w:p w14:paraId="78B763AF" w14:textId="3E77B085" w:rsidR="00C30383" w:rsidRDefault="00C30383" w:rsidP="00C30383">
      <w:pPr>
        <w:pStyle w:val="Caption"/>
        <w:keepNext/>
      </w:pPr>
      <w:bookmarkStart w:id="2" w:name="_Ref527923635"/>
      <w:r>
        <w:t xml:space="preserve">Table </w:t>
      </w:r>
      <w:r w:rsidR="00E2423D">
        <w:rPr>
          <w:noProof/>
        </w:rPr>
        <w:fldChar w:fldCharType="begin"/>
      </w:r>
      <w:r w:rsidR="00E2423D">
        <w:rPr>
          <w:noProof/>
        </w:rPr>
        <w:instrText xml:space="preserve"> SEQ Table \* ARABIC </w:instrText>
      </w:r>
      <w:r w:rsidR="00E2423D">
        <w:rPr>
          <w:noProof/>
        </w:rPr>
        <w:fldChar w:fldCharType="separate"/>
      </w:r>
      <w:r w:rsidR="009005F9">
        <w:rPr>
          <w:noProof/>
        </w:rPr>
        <w:t>1</w:t>
      </w:r>
      <w:r w:rsidR="00E2423D">
        <w:rPr>
          <w:noProof/>
        </w:rPr>
        <w:fldChar w:fldCharType="end"/>
      </w:r>
      <w:bookmarkEnd w:id="2"/>
      <w:r w:rsidR="00C2006C">
        <w:t xml:space="preserve"> shows </w:t>
      </w:r>
      <w:r w:rsidR="00297E26">
        <w:t xml:space="preserve">the values of negative log marginal likelihood and hyperparameters before and after the minimization. 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29"/>
        <w:gridCol w:w="2268"/>
        <w:gridCol w:w="1701"/>
        <w:gridCol w:w="2127"/>
        <w:gridCol w:w="3260"/>
      </w:tblGrid>
      <w:tr w:rsidR="00C30383" w14:paraId="00826B3D" w14:textId="77777777" w:rsidTr="004D4BCD">
        <w:tc>
          <w:tcPr>
            <w:tcW w:w="1129" w:type="dxa"/>
          </w:tcPr>
          <w:p w14:paraId="404EC267" w14:textId="77777777" w:rsidR="00C30383" w:rsidRDefault="00C30383" w:rsidP="003F1876">
            <w:r>
              <w:t xml:space="preserve">    </w:t>
            </w:r>
          </w:p>
        </w:tc>
        <w:tc>
          <w:tcPr>
            <w:tcW w:w="2268" w:type="dxa"/>
          </w:tcPr>
          <w:p w14:paraId="2884C4C2" w14:textId="77777777" w:rsidR="00C30383" w:rsidRDefault="00C30383" w:rsidP="003F1876">
            <w:r>
              <w:t>Negative Log Marginal Likelihood (</w:t>
            </w:r>
            <m:oMath>
              <m:r>
                <w:rPr>
                  <w:rFonts w:ascii="Cambria Math" w:hAnsi="Cambria Math"/>
                </w:rPr>
                <m:t>nlml</m:t>
              </m:r>
            </m:oMath>
            <w:r>
              <w:t>)</w:t>
            </w:r>
          </w:p>
        </w:tc>
        <w:tc>
          <w:tcPr>
            <w:tcW w:w="1701" w:type="dxa"/>
          </w:tcPr>
          <w:p w14:paraId="087D0A11" w14:textId="77777777" w:rsidR="00C30383" w:rsidRDefault="00C30383" w:rsidP="003F1876">
            <w:r>
              <w:t>Length-scale (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t>)</w:t>
            </w:r>
          </w:p>
        </w:tc>
        <w:tc>
          <w:tcPr>
            <w:tcW w:w="2127" w:type="dxa"/>
          </w:tcPr>
          <w:p w14:paraId="3FF7DB82" w14:textId="77777777" w:rsidR="00C30383" w:rsidRDefault="00C30383" w:rsidP="003F1876">
            <w:r>
              <w:t>Signal Standard</w:t>
            </w:r>
          </w:p>
          <w:p w14:paraId="22ACDFF2" w14:textId="77777777" w:rsidR="00C30383" w:rsidRDefault="00C30383" w:rsidP="003F1876">
            <w:r>
              <w:t>Deviation (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)</w:t>
            </w:r>
          </w:p>
        </w:tc>
        <w:tc>
          <w:tcPr>
            <w:tcW w:w="3260" w:type="dxa"/>
          </w:tcPr>
          <w:p w14:paraId="5D1818F6" w14:textId="77777777" w:rsidR="00C30383" w:rsidRDefault="00C30383" w:rsidP="003F1876">
            <w:r>
              <w:t>Noise Standard Deviation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noise</m:t>
                  </m:r>
                </m:sub>
              </m:sSub>
            </m:oMath>
            <w:r>
              <w:t>)</w:t>
            </w:r>
          </w:p>
        </w:tc>
      </w:tr>
      <w:tr w:rsidR="00C30383" w14:paraId="7468D36C" w14:textId="77777777" w:rsidTr="004D4BCD">
        <w:tc>
          <w:tcPr>
            <w:tcW w:w="1129" w:type="dxa"/>
          </w:tcPr>
          <w:p w14:paraId="2658BCC8" w14:textId="77777777" w:rsidR="00C30383" w:rsidRDefault="00C30383" w:rsidP="003F1876">
            <w:pPr>
              <w:jc w:val="both"/>
            </w:pPr>
            <w:r>
              <w:t>Pre-train</w:t>
            </w:r>
          </w:p>
        </w:tc>
        <w:tc>
          <w:tcPr>
            <w:tcW w:w="2268" w:type="dxa"/>
          </w:tcPr>
          <w:p w14:paraId="354F1249" w14:textId="77777777" w:rsidR="00C30383" w:rsidRDefault="00C30383" w:rsidP="003F1876">
            <w:pPr>
              <w:jc w:val="both"/>
            </w:pPr>
            <w:r>
              <w:t>92.91</w:t>
            </w:r>
          </w:p>
        </w:tc>
        <w:tc>
          <w:tcPr>
            <w:tcW w:w="1701" w:type="dxa"/>
          </w:tcPr>
          <w:p w14:paraId="357D4064" w14:textId="77777777" w:rsidR="00C30383" w:rsidRDefault="00C30383" w:rsidP="003F1876">
            <w:pPr>
              <w:jc w:val="both"/>
            </w:pPr>
            <w:r>
              <w:t>0.37</w:t>
            </w:r>
          </w:p>
        </w:tc>
        <w:tc>
          <w:tcPr>
            <w:tcW w:w="2127" w:type="dxa"/>
          </w:tcPr>
          <w:p w14:paraId="211C1190" w14:textId="77777777" w:rsidR="00C30383" w:rsidRDefault="00C30383" w:rsidP="003F1876">
            <w:pPr>
              <w:jc w:val="both"/>
            </w:pPr>
            <w:r>
              <w:t>1.00</w:t>
            </w:r>
          </w:p>
        </w:tc>
        <w:tc>
          <w:tcPr>
            <w:tcW w:w="3260" w:type="dxa"/>
          </w:tcPr>
          <w:p w14:paraId="4CDA7935" w14:textId="77777777" w:rsidR="00C30383" w:rsidRDefault="00C30383" w:rsidP="003F1876">
            <w:pPr>
              <w:jc w:val="both"/>
            </w:pPr>
            <w:r>
              <w:t>1.00</w:t>
            </w:r>
          </w:p>
        </w:tc>
      </w:tr>
      <w:tr w:rsidR="00C30383" w14:paraId="0F15AC89" w14:textId="77777777" w:rsidTr="004D4BCD">
        <w:tc>
          <w:tcPr>
            <w:tcW w:w="1129" w:type="dxa"/>
          </w:tcPr>
          <w:p w14:paraId="7483C906" w14:textId="77777777" w:rsidR="00C30383" w:rsidRDefault="00C30383" w:rsidP="003F1876">
            <w:pPr>
              <w:jc w:val="both"/>
            </w:pPr>
            <w:r>
              <w:t>Post-train</w:t>
            </w:r>
          </w:p>
        </w:tc>
        <w:tc>
          <w:tcPr>
            <w:tcW w:w="2268" w:type="dxa"/>
          </w:tcPr>
          <w:p w14:paraId="7EC3CF81" w14:textId="77777777" w:rsidR="00C30383" w:rsidRDefault="00C30383" w:rsidP="003F1876">
            <w:pPr>
              <w:jc w:val="both"/>
            </w:pPr>
            <w:r>
              <w:t>11.90</w:t>
            </w:r>
          </w:p>
        </w:tc>
        <w:tc>
          <w:tcPr>
            <w:tcW w:w="1701" w:type="dxa"/>
          </w:tcPr>
          <w:p w14:paraId="38FC9075" w14:textId="77777777" w:rsidR="00C30383" w:rsidRDefault="00C30383" w:rsidP="003F1876">
            <w:pPr>
              <w:jc w:val="both"/>
            </w:pPr>
            <w:r>
              <w:t>0.13</w:t>
            </w:r>
          </w:p>
        </w:tc>
        <w:tc>
          <w:tcPr>
            <w:tcW w:w="2127" w:type="dxa"/>
          </w:tcPr>
          <w:p w14:paraId="4C3EB770" w14:textId="77777777" w:rsidR="00C30383" w:rsidRDefault="00C30383" w:rsidP="003F1876">
            <w:pPr>
              <w:jc w:val="both"/>
            </w:pPr>
            <w:r>
              <w:t>0.90</w:t>
            </w:r>
          </w:p>
        </w:tc>
        <w:tc>
          <w:tcPr>
            <w:tcW w:w="3260" w:type="dxa"/>
          </w:tcPr>
          <w:p w14:paraId="1D1022D9" w14:textId="77777777" w:rsidR="00C30383" w:rsidRDefault="00C30383" w:rsidP="003F1876">
            <w:pPr>
              <w:jc w:val="both"/>
            </w:pPr>
            <w:r>
              <w:t>0.12</w:t>
            </w:r>
          </w:p>
        </w:tc>
      </w:tr>
    </w:tbl>
    <w:p w14:paraId="2827F3E5" w14:textId="744F9A68" w:rsidR="003A77A5" w:rsidRPr="00401C97" w:rsidRDefault="00C30383" w:rsidP="00481AAB">
      <w:pPr>
        <w:rPr>
          <w:sz w:val="20"/>
          <w:szCs w:val="20"/>
        </w:rPr>
      </w:pPr>
      <w:r w:rsidRPr="00401C97">
        <w:rPr>
          <w:sz w:val="20"/>
          <w:szCs w:val="20"/>
        </w:rPr>
        <w:t xml:space="preserve">From </w:t>
      </w:r>
      <w:r w:rsidR="00DD65F6" w:rsidRPr="00401C97">
        <w:rPr>
          <w:sz w:val="20"/>
          <w:szCs w:val="20"/>
        </w:rPr>
        <w:fldChar w:fldCharType="begin"/>
      </w:r>
      <w:r w:rsidR="00DD65F6" w:rsidRPr="00401C97">
        <w:rPr>
          <w:sz w:val="20"/>
          <w:szCs w:val="20"/>
        </w:rPr>
        <w:instrText xml:space="preserve"> REF _Ref527923408 \h </w:instrText>
      </w:r>
      <w:r w:rsidR="00401C97">
        <w:rPr>
          <w:sz w:val="20"/>
          <w:szCs w:val="20"/>
        </w:rPr>
        <w:instrText xml:space="preserve"> \* MERGEFORMAT </w:instrText>
      </w:r>
      <w:r w:rsidR="00DD65F6" w:rsidRPr="00401C97">
        <w:rPr>
          <w:sz w:val="20"/>
          <w:szCs w:val="20"/>
        </w:rPr>
      </w:r>
      <w:r w:rsidR="00DD65F6" w:rsidRPr="00401C97">
        <w:rPr>
          <w:sz w:val="20"/>
          <w:szCs w:val="20"/>
        </w:rPr>
        <w:fldChar w:fldCharType="separate"/>
      </w:r>
      <w:r w:rsidR="00DD65F6" w:rsidRPr="00401C97">
        <w:rPr>
          <w:sz w:val="20"/>
          <w:szCs w:val="20"/>
        </w:rPr>
        <w:t xml:space="preserve">Figure </w:t>
      </w:r>
      <w:r w:rsidR="00DD65F6" w:rsidRPr="00401C97">
        <w:rPr>
          <w:noProof/>
          <w:sz w:val="20"/>
          <w:szCs w:val="20"/>
        </w:rPr>
        <w:t>1</w:t>
      </w:r>
      <w:r w:rsidR="00DD65F6" w:rsidRPr="00401C97">
        <w:rPr>
          <w:sz w:val="20"/>
          <w:szCs w:val="20"/>
        </w:rPr>
        <w:fldChar w:fldCharType="end"/>
      </w:r>
      <w:r w:rsidR="00DD65F6" w:rsidRPr="00401C97">
        <w:rPr>
          <w:sz w:val="20"/>
          <w:szCs w:val="20"/>
        </w:rPr>
        <w:t xml:space="preserve">, the area of the shaded region for the predictive error bar is reduced after the Negative Log Marginal Likelihood is minimized from 92.91 to 11.90. </w:t>
      </w:r>
      <w:r w:rsidR="00746D92" w:rsidRPr="00401C97">
        <w:rPr>
          <w:sz w:val="20"/>
          <w:szCs w:val="20"/>
        </w:rPr>
        <w:t>The region (i.e. [-2, 2]) with more training data has a</w:t>
      </w:r>
      <w:r w:rsidR="00C40014" w:rsidRPr="00401C97">
        <w:rPr>
          <w:sz w:val="20"/>
          <w:szCs w:val="20"/>
        </w:rPr>
        <w:t xml:space="preserve"> narrower</w:t>
      </w:r>
      <w:r w:rsidR="00746D92" w:rsidRPr="00401C97">
        <w:rPr>
          <w:sz w:val="20"/>
          <w:szCs w:val="20"/>
        </w:rPr>
        <w:t xml:space="preserve"> error bar, since the prediction is more certain.</w:t>
      </w:r>
      <w:r w:rsidR="00434A00">
        <w:rPr>
          <w:sz w:val="20"/>
          <w:szCs w:val="20"/>
        </w:rPr>
        <w:t xml:space="preserve"> </w:t>
      </w:r>
      <w:proofErr w:type="gramStart"/>
      <w:r w:rsidR="007B6DC6">
        <w:rPr>
          <w:sz w:val="20"/>
          <w:szCs w:val="20"/>
        </w:rPr>
        <w:t>The characteristic</w:t>
      </w:r>
      <w:r w:rsidR="007B6DC6" w:rsidRPr="00401C97">
        <w:rPr>
          <w:sz w:val="20"/>
          <w:szCs w:val="20"/>
        </w:rPr>
        <w:t xml:space="preserve"> </w:t>
      </w:r>
      <w:r w:rsidR="007B6DC6">
        <w:rPr>
          <w:sz w:val="20"/>
          <w:szCs w:val="20"/>
        </w:rPr>
        <w:t>l</w:t>
      </w:r>
      <w:r w:rsidR="007B6DC6" w:rsidRPr="00401C97">
        <w:rPr>
          <w:sz w:val="20"/>
          <w:szCs w:val="20"/>
        </w:rPr>
        <w:t>ength</w:t>
      </w:r>
      <w:r w:rsidR="007B6DC6">
        <w:rPr>
          <w:sz w:val="20"/>
          <w:szCs w:val="20"/>
        </w:rPr>
        <w:t>-</w:t>
      </w:r>
      <w:r w:rsidR="007B6DC6" w:rsidRPr="00401C97">
        <w:rPr>
          <w:sz w:val="20"/>
          <w:szCs w:val="20"/>
        </w:rPr>
        <w:t>scale</w:t>
      </w:r>
      <w:r w:rsidR="007B6DC6">
        <w:rPr>
          <w:sz w:val="20"/>
          <w:szCs w:val="20"/>
        </w:rPr>
        <w:t>,</w:t>
      </w:r>
      <w:proofErr w:type="gramEnd"/>
      <w:r w:rsidR="00DD65F6" w:rsidRPr="00401C97">
        <w:rPr>
          <w:sz w:val="20"/>
          <w:szCs w:val="20"/>
        </w:rPr>
        <w:t xml:space="preserve"> signal standard deviation and noise standard deviation are also optimized as shown in </w:t>
      </w:r>
      <w:r w:rsidR="00DD65F6" w:rsidRPr="00401C97">
        <w:rPr>
          <w:sz w:val="20"/>
          <w:szCs w:val="20"/>
        </w:rPr>
        <w:fldChar w:fldCharType="begin"/>
      </w:r>
      <w:r w:rsidR="00DD65F6" w:rsidRPr="00401C97">
        <w:rPr>
          <w:sz w:val="20"/>
          <w:szCs w:val="20"/>
        </w:rPr>
        <w:instrText xml:space="preserve"> REF _Ref527923635 \h </w:instrText>
      </w:r>
      <w:r w:rsidR="00401C97">
        <w:rPr>
          <w:sz w:val="20"/>
          <w:szCs w:val="20"/>
        </w:rPr>
        <w:instrText xml:space="preserve"> \* MERGEFORMAT </w:instrText>
      </w:r>
      <w:r w:rsidR="00DD65F6" w:rsidRPr="00401C97">
        <w:rPr>
          <w:sz w:val="20"/>
          <w:szCs w:val="20"/>
        </w:rPr>
      </w:r>
      <w:r w:rsidR="00DD65F6" w:rsidRPr="00401C97">
        <w:rPr>
          <w:sz w:val="20"/>
          <w:szCs w:val="20"/>
        </w:rPr>
        <w:fldChar w:fldCharType="separate"/>
      </w:r>
      <w:r w:rsidR="00DD65F6" w:rsidRPr="00401C97">
        <w:rPr>
          <w:sz w:val="20"/>
          <w:szCs w:val="20"/>
        </w:rPr>
        <w:t xml:space="preserve">Table </w:t>
      </w:r>
      <w:r w:rsidR="00DD65F6" w:rsidRPr="00401C97">
        <w:rPr>
          <w:noProof/>
          <w:sz w:val="20"/>
          <w:szCs w:val="20"/>
        </w:rPr>
        <w:t>1</w:t>
      </w:r>
      <w:r w:rsidR="00DD65F6" w:rsidRPr="00401C97">
        <w:rPr>
          <w:sz w:val="20"/>
          <w:szCs w:val="20"/>
        </w:rPr>
        <w:fldChar w:fldCharType="end"/>
      </w:r>
      <w:r w:rsidR="00DD65F6" w:rsidRPr="00401C97">
        <w:rPr>
          <w:sz w:val="20"/>
          <w:szCs w:val="20"/>
        </w:rPr>
        <w:t>.</w:t>
      </w:r>
    </w:p>
    <w:p w14:paraId="5B879D59" w14:textId="7871A531" w:rsidR="00C30383" w:rsidRDefault="00282FCB" w:rsidP="00282FCB">
      <w:pPr>
        <w:pStyle w:val="ListParagraph"/>
        <w:numPr>
          <w:ilvl w:val="0"/>
          <w:numId w:val="1"/>
        </w:numPr>
      </w:pPr>
      <w:r>
        <w:t xml:space="preserve">  </w:t>
      </w:r>
      <w:r w:rsidR="002D7CC9">
        <w:t xml:space="preserve"> </w:t>
      </w:r>
    </w:p>
    <w:p w14:paraId="1E4E2A70" w14:textId="3CC699FE" w:rsidR="00947604" w:rsidRDefault="00947604" w:rsidP="00947604">
      <w:pPr>
        <w:pStyle w:val="Caption"/>
        <w:keepNext/>
      </w:pPr>
      <w:r>
        <w:t xml:space="preserve">Table </w:t>
      </w:r>
      <w:r w:rsidR="00E2423D">
        <w:rPr>
          <w:noProof/>
        </w:rPr>
        <w:fldChar w:fldCharType="begin"/>
      </w:r>
      <w:r w:rsidR="00E2423D">
        <w:rPr>
          <w:noProof/>
        </w:rPr>
        <w:instrText xml:space="preserve"> SEQ Table \* ARABIC </w:instrText>
      </w:r>
      <w:r w:rsidR="00E2423D">
        <w:rPr>
          <w:noProof/>
        </w:rPr>
        <w:fldChar w:fldCharType="separate"/>
      </w:r>
      <w:r w:rsidR="009005F9">
        <w:rPr>
          <w:noProof/>
        </w:rPr>
        <w:t>2</w:t>
      </w:r>
      <w:r w:rsidR="00E2423D">
        <w:rPr>
          <w:noProof/>
        </w:rPr>
        <w:fldChar w:fldCharType="end"/>
      </w:r>
      <w:r w:rsidR="00914155">
        <w:rPr>
          <w:noProof/>
        </w:rPr>
        <w:t xml:space="preserve"> compares how different hyperparameters can lead to different trained models.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2389"/>
        <w:gridCol w:w="1274"/>
        <w:gridCol w:w="1698"/>
        <w:gridCol w:w="1839"/>
      </w:tblGrid>
      <w:tr w:rsidR="003E2FCF" w14:paraId="02B8E85D" w14:textId="77777777" w:rsidTr="003E2FCF">
        <w:tc>
          <w:tcPr>
            <w:tcW w:w="3256" w:type="dxa"/>
            <w:gridSpan w:val="2"/>
          </w:tcPr>
          <w:p w14:paraId="53C8CD43" w14:textId="13EE480F" w:rsidR="003E2FCF" w:rsidRDefault="003E2FCF" w:rsidP="003F1876">
            <w:r>
              <w:t xml:space="preserve">    Initialisation Hyperparameters</w:t>
            </w:r>
          </w:p>
        </w:tc>
        <w:tc>
          <w:tcPr>
            <w:tcW w:w="2389" w:type="dxa"/>
            <w:vMerge w:val="restart"/>
          </w:tcPr>
          <w:p w14:paraId="2D84E4CD" w14:textId="329330ED" w:rsidR="003E2FCF" w:rsidRDefault="003E2FCF" w:rsidP="003F1876">
            <w:r>
              <w:t>Negative Log Marginal Likelihood (</w:t>
            </w:r>
            <m:oMath>
              <m:r>
                <w:rPr>
                  <w:rFonts w:ascii="Cambria Math" w:hAnsi="Cambria Math"/>
                </w:rPr>
                <m:t>nlml</m:t>
              </m:r>
            </m:oMath>
            <w:r>
              <w:t>)</w:t>
            </w:r>
          </w:p>
        </w:tc>
        <w:tc>
          <w:tcPr>
            <w:tcW w:w="1274" w:type="dxa"/>
            <w:vMerge w:val="restart"/>
          </w:tcPr>
          <w:p w14:paraId="5E4A4F3B" w14:textId="77777777" w:rsidR="003E2FCF" w:rsidRDefault="003E2FCF" w:rsidP="003F1876">
            <w:r>
              <w:t>Length-scale (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t>)</w:t>
            </w:r>
          </w:p>
        </w:tc>
        <w:tc>
          <w:tcPr>
            <w:tcW w:w="1698" w:type="dxa"/>
            <w:vMerge w:val="restart"/>
          </w:tcPr>
          <w:p w14:paraId="63CE8491" w14:textId="77777777" w:rsidR="003E2FCF" w:rsidRDefault="003E2FCF" w:rsidP="003F1876">
            <w:r>
              <w:t>Signal Standard</w:t>
            </w:r>
          </w:p>
          <w:p w14:paraId="04C08B5E" w14:textId="77777777" w:rsidR="003E2FCF" w:rsidRDefault="003E2FCF" w:rsidP="003F1876">
            <w:r>
              <w:t>Deviation (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)</w:t>
            </w:r>
          </w:p>
        </w:tc>
        <w:tc>
          <w:tcPr>
            <w:tcW w:w="1839" w:type="dxa"/>
            <w:vMerge w:val="restart"/>
          </w:tcPr>
          <w:p w14:paraId="69AF3CB5" w14:textId="77777777" w:rsidR="003E2FCF" w:rsidRDefault="003E2FCF" w:rsidP="003F1876">
            <w:r>
              <w:t>Noise Standard Deviation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noise</m:t>
                  </m:r>
                </m:sub>
              </m:sSub>
            </m:oMath>
            <w:r>
              <w:t>)</w:t>
            </w:r>
          </w:p>
        </w:tc>
      </w:tr>
      <w:tr w:rsidR="003E2FCF" w14:paraId="302D806E" w14:textId="77777777" w:rsidTr="003E2FCF">
        <w:tc>
          <w:tcPr>
            <w:tcW w:w="1838" w:type="dxa"/>
          </w:tcPr>
          <w:p w14:paraId="16411435" w14:textId="1F4FE5F2" w:rsidR="003E2FCF" w:rsidRDefault="003E2FCF" w:rsidP="003F1876">
            <w:proofErr w:type="spellStart"/>
            <w:r>
              <w:t>hyp.cov</w:t>
            </w:r>
            <w:proofErr w:type="spellEnd"/>
          </w:p>
        </w:tc>
        <w:tc>
          <w:tcPr>
            <w:tcW w:w="1418" w:type="dxa"/>
          </w:tcPr>
          <w:p w14:paraId="541EB54B" w14:textId="33CACA1D" w:rsidR="003E2FCF" w:rsidRDefault="003E2FCF" w:rsidP="003F1876">
            <w:proofErr w:type="spellStart"/>
            <w:r>
              <w:t>hyp.lik</w:t>
            </w:r>
            <w:proofErr w:type="spellEnd"/>
          </w:p>
        </w:tc>
        <w:tc>
          <w:tcPr>
            <w:tcW w:w="2389" w:type="dxa"/>
            <w:vMerge/>
          </w:tcPr>
          <w:p w14:paraId="59B0E655" w14:textId="59776306" w:rsidR="003E2FCF" w:rsidRDefault="003E2FCF" w:rsidP="003F1876"/>
        </w:tc>
        <w:tc>
          <w:tcPr>
            <w:tcW w:w="1274" w:type="dxa"/>
            <w:vMerge/>
          </w:tcPr>
          <w:p w14:paraId="728123BE" w14:textId="77777777" w:rsidR="003E2FCF" w:rsidRDefault="003E2FCF" w:rsidP="003F1876"/>
        </w:tc>
        <w:tc>
          <w:tcPr>
            <w:tcW w:w="1698" w:type="dxa"/>
            <w:vMerge/>
          </w:tcPr>
          <w:p w14:paraId="5F451A32" w14:textId="77777777" w:rsidR="003E2FCF" w:rsidRDefault="003E2FCF" w:rsidP="003F1876"/>
        </w:tc>
        <w:tc>
          <w:tcPr>
            <w:tcW w:w="1839" w:type="dxa"/>
            <w:vMerge/>
          </w:tcPr>
          <w:p w14:paraId="790AD8D6" w14:textId="77777777" w:rsidR="003E2FCF" w:rsidRDefault="003E2FCF" w:rsidP="003F1876"/>
        </w:tc>
      </w:tr>
      <w:tr w:rsidR="00AD645B" w14:paraId="1FE18D42" w14:textId="77777777" w:rsidTr="003E2FCF">
        <w:tc>
          <w:tcPr>
            <w:tcW w:w="1838" w:type="dxa"/>
          </w:tcPr>
          <w:p w14:paraId="0AB6EDE3" w14:textId="392D914C" w:rsidR="00AD645B" w:rsidRDefault="003E2FCF" w:rsidP="003F1876">
            <w:pPr>
              <w:jc w:val="both"/>
            </w:pPr>
            <w:r>
              <w:t>[-1</w:t>
            </w:r>
            <w:r w:rsidR="00947604">
              <w:t xml:space="preserve">   </w:t>
            </w:r>
            <w:proofErr w:type="gramStart"/>
            <w:r w:rsidR="00947604">
              <w:t xml:space="preserve">  </w:t>
            </w:r>
            <w:r>
              <w:t>,</w:t>
            </w:r>
            <w:proofErr w:type="gramEnd"/>
            <w:r w:rsidR="00947604">
              <w:t xml:space="preserve"> </w:t>
            </w:r>
            <w:r>
              <w:t>0]</w:t>
            </w:r>
          </w:p>
        </w:tc>
        <w:tc>
          <w:tcPr>
            <w:tcW w:w="1418" w:type="dxa"/>
          </w:tcPr>
          <w:p w14:paraId="4C786D50" w14:textId="23F8CC95" w:rsidR="00AD645B" w:rsidRDefault="003E2FCF" w:rsidP="003F1876">
            <w:pPr>
              <w:jc w:val="both"/>
            </w:pPr>
            <w:r>
              <w:t>0</w:t>
            </w:r>
          </w:p>
        </w:tc>
        <w:tc>
          <w:tcPr>
            <w:tcW w:w="2389" w:type="dxa"/>
          </w:tcPr>
          <w:p w14:paraId="26D0D67D" w14:textId="7328C552" w:rsidR="00AD645B" w:rsidRDefault="00C5142B" w:rsidP="003F1876">
            <w:pPr>
              <w:jc w:val="both"/>
            </w:pPr>
            <w:r>
              <w:t>11.90</w:t>
            </w:r>
          </w:p>
        </w:tc>
        <w:tc>
          <w:tcPr>
            <w:tcW w:w="1274" w:type="dxa"/>
          </w:tcPr>
          <w:p w14:paraId="34C14CA6" w14:textId="68789693" w:rsidR="00AD645B" w:rsidRDefault="00C5142B" w:rsidP="003F1876">
            <w:pPr>
              <w:jc w:val="both"/>
            </w:pPr>
            <w:r>
              <w:t>0.13</w:t>
            </w:r>
          </w:p>
        </w:tc>
        <w:tc>
          <w:tcPr>
            <w:tcW w:w="1698" w:type="dxa"/>
          </w:tcPr>
          <w:p w14:paraId="76A63F53" w14:textId="16F9DB76" w:rsidR="00AD645B" w:rsidRDefault="00C5142B" w:rsidP="003F1876">
            <w:pPr>
              <w:jc w:val="both"/>
            </w:pPr>
            <w:r>
              <w:t>0.9</w:t>
            </w:r>
            <w:r w:rsidR="00AD645B">
              <w:t>0</w:t>
            </w:r>
          </w:p>
        </w:tc>
        <w:tc>
          <w:tcPr>
            <w:tcW w:w="1839" w:type="dxa"/>
          </w:tcPr>
          <w:p w14:paraId="62D8527E" w14:textId="0D533C7D" w:rsidR="00AD645B" w:rsidRDefault="00C5142B" w:rsidP="003F1876">
            <w:pPr>
              <w:jc w:val="both"/>
            </w:pPr>
            <w:r>
              <w:t>0.12</w:t>
            </w:r>
          </w:p>
        </w:tc>
      </w:tr>
      <w:tr w:rsidR="003E2FCF" w14:paraId="72E6E4B7" w14:textId="77777777" w:rsidTr="003E2FCF">
        <w:tc>
          <w:tcPr>
            <w:tcW w:w="1838" w:type="dxa"/>
          </w:tcPr>
          <w:p w14:paraId="53D0845C" w14:textId="728E5E2C" w:rsidR="003E2FCF" w:rsidRDefault="00947604" w:rsidP="003F1876">
            <w:pPr>
              <w:jc w:val="both"/>
            </w:pPr>
            <w:r>
              <w:t>[-0.25, 0]</w:t>
            </w:r>
          </w:p>
        </w:tc>
        <w:tc>
          <w:tcPr>
            <w:tcW w:w="1418" w:type="dxa"/>
          </w:tcPr>
          <w:p w14:paraId="01729551" w14:textId="242BD013" w:rsidR="003E2FCF" w:rsidRDefault="00947604" w:rsidP="003F1876">
            <w:pPr>
              <w:jc w:val="both"/>
            </w:pPr>
            <w:r>
              <w:t>0</w:t>
            </w:r>
          </w:p>
        </w:tc>
        <w:tc>
          <w:tcPr>
            <w:tcW w:w="2389" w:type="dxa"/>
          </w:tcPr>
          <w:p w14:paraId="23D6FA60" w14:textId="5DF5FF72" w:rsidR="003E2FCF" w:rsidRDefault="00947604" w:rsidP="003F1876">
            <w:pPr>
              <w:jc w:val="both"/>
            </w:pPr>
            <w:r>
              <w:t>78.2</w:t>
            </w:r>
            <w:r w:rsidR="005C2D45">
              <w:t>2</w:t>
            </w:r>
          </w:p>
        </w:tc>
        <w:tc>
          <w:tcPr>
            <w:tcW w:w="1274" w:type="dxa"/>
          </w:tcPr>
          <w:p w14:paraId="09500654" w14:textId="498B6042" w:rsidR="003E2FCF" w:rsidRDefault="005C2D45" w:rsidP="003F1876">
            <w:pPr>
              <w:jc w:val="both"/>
            </w:pPr>
            <w:r>
              <w:t>8.04</w:t>
            </w:r>
          </w:p>
        </w:tc>
        <w:tc>
          <w:tcPr>
            <w:tcW w:w="1698" w:type="dxa"/>
          </w:tcPr>
          <w:p w14:paraId="5E0F6E23" w14:textId="45A4B484" w:rsidR="003E2FCF" w:rsidRDefault="005C2D45" w:rsidP="003F1876">
            <w:pPr>
              <w:jc w:val="both"/>
            </w:pPr>
            <w:r>
              <w:t>0.70</w:t>
            </w:r>
          </w:p>
        </w:tc>
        <w:tc>
          <w:tcPr>
            <w:tcW w:w="1839" w:type="dxa"/>
          </w:tcPr>
          <w:p w14:paraId="11011DF4" w14:textId="5B366123" w:rsidR="003E2FCF" w:rsidRDefault="005C2D45" w:rsidP="003F1876">
            <w:pPr>
              <w:jc w:val="both"/>
            </w:pPr>
            <w:r>
              <w:t>0.66</w:t>
            </w:r>
          </w:p>
        </w:tc>
      </w:tr>
      <w:tr w:rsidR="003E2FCF" w14:paraId="73FF68FD" w14:textId="77777777" w:rsidTr="003E2FCF">
        <w:tc>
          <w:tcPr>
            <w:tcW w:w="1838" w:type="dxa"/>
          </w:tcPr>
          <w:p w14:paraId="7021B670" w14:textId="7A3586C4" w:rsidR="003E2FCF" w:rsidRDefault="0039279C" w:rsidP="003F1876">
            <w:pPr>
              <w:jc w:val="both"/>
            </w:pPr>
            <w:r>
              <w:t>[-</w:t>
            </w:r>
            <w:proofErr w:type="gramStart"/>
            <w:r>
              <w:t>10 ,</w:t>
            </w:r>
            <w:proofErr w:type="gramEnd"/>
            <w:r>
              <w:t xml:space="preserve"> 0]</w:t>
            </w:r>
          </w:p>
        </w:tc>
        <w:tc>
          <w:tcPr>
            <w:tcW w:w="1418" w:type="dxa"/>
          </w:tcPr>
          <w:p w14:paraId="5860E6F7" w14:textId="72801798" w:rsidR="003E2FCF" w:rsidRDefault="0039279C" w:rsidP="003F1876">
            <w:pPr>
              <w:jc w:val="both"/>
            </w:pPr>
            <w:r>
              <w:t>0</w:t>
            </w:r>
          </w:p>
        </w:tc>
        <w:tc>
          <w:tcPr>
            <w:tcW w:w="2389" w:type="dxa"/>
          </w:tcPr>
          <w:p w14:paraId="18896A60" w14:textId="35B1C056" w:rsidR="003E2FCF" w:rsidRDefault="00F453B1" w:rsidP="003F1876">
            <w:pPr>
              <w:jc w:val="both"/>
            </w:pPr>
            <w:r>
              <w:t>1</w:t>
            </w:r>
            <w:r w:rsidR="0039279C">
              <w:t>06.35</w:t>
            </w:r>
          </w:p>
        </w:tc>
        <w:tc>
          <w:tcPr>
            <w:tcW w:w="1274" w:type="dxa"/>
          </w:tcPr>
          <w:p w14:paraId="6AC293C7" w14:textId="64314A58" w:rsidR="003E2FCF" w:rsidRDefault="0039279C" w:rsidP="003F1876">
            <w:pPr>
              <w:jc w:val="both"/>
            </w:pPr>
            <w:r>
              <w:t>0.00</w:t>
            </w:r>
          </w:p>
        </w:tc>
        <w:tc>
          <w:tcPr>
            <w:tcW w:w="1698" w:type="dxa"/>
          </w:tcPr>
          <w:p w14:paraId="45AC2E42" w14:textId="6BFB2ECC" w:rsidR="003E2FCF" w:rsidRDefault="0039279C" w:rsidP="003F1876">
            <w:pPr>
              <w:jc w:val="both"/>
            </w:pPr>
            <w:r>
              <w:t>0.71</w:t>
            </w:r>
          </w:p>
        </w:tc>
        <w:tc>
          <w:tcPr>
            <w:tcW w:w="1839" w:type="dxa"/>
          </w:tcPr>
          <w:p w14:paraId="79776234" w14:textId="065F7246" w:rsidR="003E2FCF" w:rsidRDefault="0039279C" w:rsidP="003F1876">
            <w:pPr>
              <w:jc w:val="both"/>
            </w:pPr>
            <w:r>
              <w:t>0.71</w:t>
            </w:r>
          </w:p>
        </w:tc>
      </w:tr>
      <w:tr w:rsidR="000509AC" w14:paraId="10C3D7B0" w14:textId="77777777" w:rsidTr="003E2FCF">
        <w:tc>
          <w:tcPr>
            <w:tcW w:w="1838" w:type="dxa"/>
          </w:tcPr>
          <w:p w14:paraId="565751AC" w14:textId="5641CA04" w:rsidR="000509AC" w:rsidRDefault="000509AC" w:rsidP="003F1876">
            <w:pPr>
              <w:jc w:val="both"/>
            </w:pPr>
            <w:r>
              <w:t xml:space="preserve">[ </w:t>
            </w:r>
            <w:proofErr w:type="gramStart"/>
            <w:r>
              <w:t>10 ,</w:t>
            </w:r>
            <w:proofErr w:type="gramEnd"/>
            <w:r>
              <w:t xml:space="preserve"> 0]</w:t>
            </w:r>
          </w:p>
        </w:tc>
        <w:tc>
          <w:tcPr>
            <w:tcW w:w="1418" w:type="dxa"/>
          </w:tcPr>
          <w:p w14:paraId="6EE5089A" w14:textId="7B13DF5A" w:rsidR="000509AC" w:rsidRDefault="002E45CD" w:rsidP="003F1876">
            <w:pPr>
              <w:jc w:val="both"/>
            </w:pPr>
            <w:r>
              <w:t>0</w:t>
            </w:r>
          </w:p>
        </w:tc>
        <w:tc>
          <w:tcPr>
            <w:tcW w:w="2389" w:type="dxa"/>
          </w:tcPr>
          <w:p w14:paraId="6387E2F8" w14:textId="5477D609" w:rsidR="000509AC" w:rsidRDefault="006066A1" w:rsidP="003F1876">
            <w:pPr>
              <w:jc w:val="both"/>
            </w:pPr>
            <w:r>
              <w:t>106.35</w:t>
            </w:r>
          </w:p>
        </w:tc>
        <w:tc>
          <w:tcPr>
            <w:tcW w:w="1274" w:type="dxa"/>
          </w:tcPr>
          <w:p w14:paraId="6F1B3B01" w14:textId="78C3E309" w:rsidR="000509AC" w:rsidRDefault="006066A1" w:rsidP="003F1876">
            <w:pPr>
              <w:jc w:val="both"/>
            </w:pPr>
            <w:r>
              <w:t>0</w:t>
            </w:r>
            <w:r w:rsidR="003A1ADA">
              <w:t>.00</w:t>
            </w:r>
          </w:p>
        </w:tc>
        <w:tc>
          <w:tcPr>
            <w:tcW w:w="1698" w:type="dxa"/>
          </w:tcPr>
          <w:p w14:paraId="02B37952" w14:textId="2E2718CB" w:rsidR="000509AC" w:rsidRDefault="006066A1" w:rsidP="003F1876">
            <w:pPr>
              <w:jc w:val="both"/>
            </w:pPr>
            <w:r>
              <w:t>0.71</w:t>
            </w:r>
          </w:p>
        </w:tc>
        <w:tc>
          <w:tcPr>
            <w:tcW w:w="1839" w:type="dxa"/>
          </w:tcPr>
          <w:p w14:paraId="3A41FE41" w14:textId="40F1B490" w:rsidR="000509AC" w:rsidRDefault="006066A1" w:rsidP="003F1876">
            <w:pPr>
              <w:jc w:val="both"/>
            </w:pPr>
            <w:r>
              <w:t>0.71</w:t>
            </w:r>
          </w:p>
        </w:tc>
      </w:tr>
      <w:tr w:rsidR="00F24A89" w14:paraId="40D01CD1" w14:textId="77777777" w:rsidTr="003E2FCF">
        <w:tc>
          <w:tcPr>
            <w:tcW w:w="1838" w:type="dxa"/>
          </w:tcPr>
          <w:p w14:paraId="2ED4C270" w14:textId="05F35604" w:rsidR="00F24A89" w:rsidRDefault="00F24A89" w:rsidP="00F24A89">
            <w:pPr>
              <w:jc w:val="both"/>
            </w:pPr>
            <w:r>
              <w:t>[-0.25, -5]</w:t>
            </w:r>
          </w:p>
        </w:tc>
        <w:tc>
          <w:tcPr>
            <w:tcW w:w="1418" w:type="dxa"/>
          </w:tcPr>
          <w:p w14:paraId="33340E5E" w14:textId="0013781B" w:rsidR="00F24A89" w:rsidRDefault="00F24A89" w:rsidP="00F24A89">
            <w:pPr>
              <w:jc w:val="both"/>
            </w:pPr>
            <w:r>
              <w:t>0</w:t>
            </w:r>
          </w:p>
        </w:tc>
        <w:tc>
          <w:tcPr>
            <w:tcW w:w="2389" w:type="dxa"/>
          </w:tcPr>
          <w:p w14:paraId="6F17F128" w14:textId="4A00014B" w:rsidR="00F24A89" w:rsidRDefault="00F24A89" w:rsidP="00F24A89">
            <w:pPr>
              <w:jc w:val="both"/>
            </w:pPr>
            <w:r>
              <w:t>78.22</w:t>
            </w:r>
          </w:p>
        </w:tc>
        <w:tc>
          <w:tcPr>
            <w:tcW w:w="1274" w:type="dxa"/>
          </w:tcPr>
          <w:p w14:paraId="048B708A" w14:textId="212AEB1F" w:rsidR="00F24A89" w:rsidRDefault="00F24A89" w:rsidP="00F24A89">
            <w:pPr>
              <w:jc w:val="both"/>
            </w:pPr>
            <w:r>
              <w:t>8.04</w:t>
            </w:r>
          </w:p>
        </w:tc>
        <w:tc>
          <w:tcPr>
            <w:tcW w:w="1698" w:type="dxa"/>
          </w:tcPr>
          <w:p w14:paraId="74690BE9" w14:textId="510AD320" w:rsidR="00F24A89" w:rsidRDefault="00F24A89" w:rsidP="00F24A89">
            <w:pPr>
              <w:jc w:val="both"/>
            </w:pPr>
            <w:r>
              <w:t>0.70</w:t>
            </w:r>
          </w:p>
        </w:tc>
        <w:tc>
          <w:tcPr>
            <w:tcW w:w="1839" w:type="dxa"/>
          </w:tcPr>
          <w:p w14:paraId="7CFAE92B" w14:textId="7775DA47" w:rsidR="00F24A89" w:rsidRDefault="00F24A89" w:rsidP="00F24A89">
            <w:pPr>
              <w:jc w:val="both"/>
            </w:pPr>
            <w:r>
              <w:t>0.66</w:t>
            </w:r>
          </w:p>
        </w:tc>
      </w:tr>
      <w:tr w:rsidR="00F24A89" w14:paraId="49E93963" w14:textId="77777777" w:rsidTr="003E2FCF">
        <w:tc>
          <w:tcPr>
            <w:tcW w:w="1838" w:type="dxa"/>
          </w:tcPr>
          <w:p w14:paraId="09D44400" w14:textId="5C5F1A10" w:rsidR="00F24A89" w:rsidRDefault="00F24A89" w:rsidP="00F24A89">
            <w:pPr>
              <w:jc w:val="both"/>
            </w:pPr>
            <w:r>
              <w:t>[-10, 5]</w:t>
            </w:r>
          </w:p>
        </w:tc>
        <w:tc>
          <w:tcPr>
            <w:tcW w:w="1418" w:type="dxa"/>
          </w:tcPr>
          <w:p w14:paraId="2F415B1D" w14:textId="4777CC53" w:rsidR="00F24A89" w:rsidRDefault="00F24A89" w:rsidP="00F24A89">
            <w:pPr>
              <w:jc w:val="both"/>
            </w:pPr>
            <w:r>
              <w:t>0</w:t>
            </w:r>
          </w:p>
        </w:tc>
        <w:tc>
          <w:tcPr>
            <w:tcW w:w="2389" w:type="dxa"/>
          </w:tcPr>
          <w:p w14:paraId="79513A54" w14:textId="1CD4CCBC" w:rsidR="00F24A89" w:rsidRDefault="00F24A89" w:rsidP="00F24A89">
            <w:pPr>
              <w:jc w:val="both"/>
            </w:pPr>
            <w:r>
              <w:t>106.35</w:t>
            </w:r>
          </w:p>
        </w:tc>
        <w:tc>
          <w:tcPr>
            <w:tcW w:w="1274" w:type="dxa"/>
          </w:tcPr>
          <w:p w14:paraId="3C379DB4" w14:textId="068ADACF" w:rsidR="00F24A89" w:rsidRDefault="00F24A89" w:rsidP="00F24A89">
            <w:pPr>
              <w:jc w:val="both"/>
            </w:pPr>
            <w:r>
              <w:t>0.00</w:t>
            </w:r>
          </w:p>
        </w:tc>
        <w:tc>
          <w:tcPr>
            <w:tcW w:w="1698" w:type="dxa"/>
          </w:tcPr>
          <w:p w14:paraId="3CA9DF87" w14:textId="2752524F" w:rsidR="00F24A89" w:rsidRDefault="00F24A89" w:rsidP="00F24A89">
            <w:pPr>
              <w:jc w:val="both"/>
            </w:pPr>
            <w:r>
              <w:t>0.71</w:t>
            </w:r>
          </w:p>
        </w:tc>
        <w:tc>
          <w:tcPr>
            <w:tcW w:w="1839" w:type="dxa"/>
          </w:tcPr>
          <w:p w14:paraId="5BF10F6A" w14:textId="7F43DE62" w:rsidR="00F24A89" w:rsidRDefault="00F24A89" w:rsidP="00F24A89">
            <w:pPr>
              <w:jc w:val="both"/>
            </w:pPr>
            <w:r>
              <w:t>0.71</w:t>
            </w:r>
          </w:p>
        </w:tc>
      </w:tr>
      <w:tr w:rsidR="00F24A89" w14:paraId="617EE1CB" w14:textId="77777777" w:rsidTr="003E2FCF">
        <w:tc>
          <w:tcPr>
            <w:tcW w:w="1838" w:type="dxa"/>
          </w:tcPr>
          <w:p w14:paraId="17620A68" w14:textId="4D898BD2" w:rsidR="00F24A89" w:rsidRDefault="00F24A89" w:rsidP="00F24A89">
            <w:pPr>
              <w:jc w:val="both"/>
            </w:pPr>
            <w:r>
              <w:t>[10, -5]</w:t>
            </w:r>
          </w:p>
        </w:tc>
        <w:tc>
          <w:tcPr>
            <w:tcW w:w="1418" w:type="dxa"/>
          </w:tcPr>
          <w:p w14:paraId="2735EC4F" w14:textId="30C5D194" w:rsidR="00F24A89" w:rsidRDefault="00F24A89" w:rsidP="00F24A89">
            <w:pPr>
              <w:jc w:val="both"/>
            </w:pPr>
            <w:r>
              <w:t>0</w:t>
            </w:r>
          </w:p>
        </w:tc>
        <w:tc>
          <w:tcPr>
            <w:tcW w:w="2389" w:type="dxa"/>
          </w:tcPr>
          <w:p w14:paraId="5AB752D6" w14:textId="6C9D15BD" w:rsidR="00F24A89" w:rsidRDefault="00F24A89" w:rsidP="00F24A89">
            <w:pPr>
              <w:jc w:val="both"/>
            </w:pPr>
            <w:r>
              <w:t>106.35</w:t>
            </w:r>
          </w:p>
        </w:tc>
        <w:tc>
          <w:tcPr>
            <w:tcW w:w="1274" w:type="dxa"/>
          </w:tcPr>
          <w:p w14:paraId="45F1C82A" w14:textId="17F8E2CF" w:rsidR="00F24A89" w:rsidRDefault="00F24A89" w:rsidP="00F24A89">
            <w:pPr>
              <w:jc w:val="both"/>
            </w:pPr>
            <w:r>
              <w:t>0.00</w:t>
            </w:r>
          </w:p>
        </w:tc>
        <w:tc>
          <w:tcPr>
            <w:tcW w:w="1698" w:type="dxa"/>
          </w:tcPr>
          <w:p w14:paraId="6798C6BA" w14:textId="1C2C78D1" w:rsidR="00F24A89" w:rsidRDefault="00F24A89" w:rsidP="00F24A89">
            <w:pPr>
              <w:jc w:val="both"/>
            </w:pPr>
            <w:r>
              <w:t>0.71</w:t>
            </w:r>
          </w:p>
        </w:tc>
        <w:tc>
          <w:tcPr>
            <w:tcW w:w="1839" w:type="dxa"/>
          </w:tcPr>
          <w:p w14:paraId="6B0CB4BF" w14:textId="69B75AE6" w:rsidR="00F24A89" w:rsidRDefault="00F24A89" w:rsidP="00F24A89">
            <w:pPr>
              <w:jc w:val="both"/>
            </w:pPr>
            <w:r>
              <w:t>0.71</w:t>
            </w:r>
          </w:p>
        </w:tc>
      </w:tr>
      <w:tr w:rsidR="00F24A89" w14:paraId="40F6CFA2" w14:textId="77777777" w:rsidTr="003E2FCF">
        <w:tc>
          <w:tcPr>
            <w:tcW w:w="1838" w:type="dxa"/>
          </w:tcPr>
          <w:p w14:paraId="07CA69E9" w14:textId="12F0A5E4" w:rsidR="00F24A89" w:rsidRDefault="00F24A89" w:rsidP="00F24A89">
            <w:pPr>
              <w:jc w:val="both"/>
            </w:pPr>
            <w:r>
              <w:t>[-0.25, 0]</w:t>
            </w:r>
          </w:p>
        </w:tc>
        <w:tc>
          <w:tcPr>
            <w:tcW w:w="1418" w:type="dxa"/>
          </w:tcPr>
          <w:p w14:paraId="7B4DC5D0" w14:textId="3518E5EF" w:rsidR="00F24A89" w:rsidRDefault="00F24A89" w:rsidP="00F24A89">
            <w:pPr>
              <w:jc w:val="both"/>
            </w:pPr>
            <w:r>
              <w:t>5</w:t>
            </w:r>
          </w:p>
        </w:tc>
        <w:tc>
          <w:tcPr>
            <w:tcW w:w="2389" w:type="dxa"/>
          </w:tcPr>
          <w:p w14:paraId="71AAC946" w14:textId="52D262A8" w:rsidR="00F24A89" w:rsidRDefault="00F24A89" w:rsidP="00F24A89">
            <w:pPr>
              <w:jc w:val="both"/>
            </w:pPr>
            <w:r>
              <w:t>78.22</w:t>
            </w:r>
          </w:p>
        </w:tc>
        <w:tc>
          <w:tcPr>
            <w:tcW w:w="1274" w:type="dxa"/>
          </w:tcPr>
          <w:p w14:paraId="3FF8876E" w14:textId="17C8D224" w:rsidR="00F24A89" w:rsidRDefault="00F24A89" w:rsidP="00F24A89">
            <w:pPr>
              <w:jc w:val="both"/>
            </w:pPr>
            <w:r>
              <w:t>8.04</w:t>
            </w:r>
          </w:p>
        </w:tc>
        <w:tc>
          <w:tcPr>
            <w:tcW w:w="1698" w:type="dxa"/>
          </w:tcPr>
          <w:p w14:paraId="3C704A52" w14:textId="4BAFA6B3" w:rsidR="00F24A89" w:rsidRDefault="00F24A89" w:rsidP="00F24A89">
            <w:pPr>
              <w:jc w:val="both"/>
            </w:pPr>
            <w:r>
              <w:t>0.70</w:t>
            </w:r>
          </w:p>
        </w:tc>
        <w:tc>
          <w:tcPr>
            <w:tcW w:w="1839" w:type="dxa"/>
          </w:tcPr>
          <w:p w14:paraId="3AE010F1" w14:textId="40E849B9" w:rsidR="00F24A89" w:rsidRDefault="00F24A89" w:rsidP="00F24A89">
            <w:pPr>
              <w:jc w:val="both"/>
            </w:pPr>
            <w:r>
              <w:t>0.66</w:t>
            </w:r>
          </w:p>
        </w:tc>
      </w:tr>
      <w:tr w:rsidR="00F24A89" w14:paraId="31476FF5" w14:textId="77777777" w:rsidTr="003E2FCF">
        <w:tc>
          <w:tcPr>
            <w:tcW w:w="1838" w:type="dxa"/>
          </w:tcPr>
          <w:p w14:paraId="0E703F96" w14:textId="02F23BE2" w:rsidR="00F24A89" w:rsidRDefault="00F24A89" w:rsidP="00F24A89">
            <w:pPr>
              <w:jc w:val="both"/>
            </w:pPr>
            <w:r>
              <w:t>[-10, 0]</w:t>
            </w:r>
          </w:p>
        </w:tc>
        <w:tc>
          <w:tcPr>
            <w:tcW w:w="1418" w:type="dxa"/>
          </w:tcPr>
          <w:p w14:paraId="03440B6D" w14:textId="05F73DE0" w:rsidR="00F24A89" w:rsidRDefault="00F24A89" w:rsidP="00F24A89">
            <w:pPr>
              <w:jc w:val="both"/>
            </w:pPr>
            <w:r>
              <w:t>-5</w:t>
            </w:r>
          </w:p>
        </w:tc>
        <w:tc>
          <w:tcPr>
            <w:tcW w:w="2389" w:type="dxa"/>
          </w:tcPr>
          <w:p w14:paraId="64771555" w14:textId="309605E6" w:rsidR="00F24A89" w:rsidRDefault="00F24A89" w:rsidP="00F24A89">
            <w:pPr>
              <w:jc w:val="both"/>
            </w:pPr>
            <w:r>
              <w:t>106.35</w:t>
            </w:r>
          </w:p>
        </w:tc>
        <w:tc>
          <w:tcPr>
            <w:tcW w:w="1274" w:type="dxa"/>
          </w:tcPr>
          <w:p w14:paraId="477A5BB0" w14:textId="0E3272AB" w:rsidR="00F24A89" w:rsidRDefault="00F24A89" w:rsidP="00F24A89">
            <w:pPr>
              <w:jc w:val="both"/>
            </w:pPr>
            <w:r>
              <w:t>0.00</w:t>
            </w:r>
          </w:p>
        </w:tc>
        <w:tc>
          <w:tcPr>
            <w:tcW w:w="1698" w:type="dxa"/>
          </w:tcPr>
          <w:p w14:paraId="3C1C3871" w14:textId="2C9AF4E0" w:rsidR="00F24A89" w:rsidRDefault="00F24A89" w:rsidP="00F24A89">
            <w:pPr>
              <w:jc w:val="both"/>
            </w:pPr>
            <w:r>
              <w:t>0.71</w:t>
            </w:r>
          </w:p>
        </w:tc>
        <w:tc>
          <w:tcPr>
            <w:tcW w:w="1839" w:type="dxa"/>
          </w:tcPr>
          <w:p w14:paraId="21AE2829" w14:textId="2A6116C6" w:rsidR="00F24A89" w:rsidRDefault="00F24A89" w:rsidP="00F24A89">
            <w:pPr>
              <w:jc w:val="both"/>
            </w:pPr>
            <w:r>
              <w:t>0.71</w:t>
            </w:r>
          </w:p>
        </w:tc>
      </w:tr>
      <w:tr w:rsidR="00F24A89" w14:paraId="37F69A50" w14:textId="77777777" w:rsidTr="003E2FCF">
        <w:tc>
          <w:tcPr>
            <w:tcW w:w="1838" w:type="dxa"/>
          </w:tcPr>
          <w:p w14:paraId="4EC4E634" w14:textId="71DC14E7" w:rsidR="00F24A89" w:rsidRDefault="00F24A89" w:rsidP="00F24A89">
            <w:pPr>
              <w:jc w:val="both"/>
            </w:pPr>
            <w:r>
              <w:t>[10, 0]</w:t>
            </w:r>
          </w:p>
        </w:tc>
        <w:tc>
          <w:tcPr>
            <w:tcW w:w="1418" w:type="dxa"/>
          </w:tcPr>
          <w:p w14:paraId="72C03E1E" w14:textId="11FFE419" w:rsidR="00F24A89" w:rsidRDefault="00F24A89" w:rsidP="00F24A89">
            <w:pPr>
              <w:jc w:val="both"/>
            </w:pPr>
            <w:r>
              <w:t>-5</w:t>
            </w:r>
          </w:p>
        </w:tc>
        <w:tc>
          <w:tcPr>
            <w:tcW w:w="2389" w:type="dxa"/>
          </w:tcPr>
          <w:p w14:paraId="541BEDF2" w14:textId="08F13213" w:rsidR="00F24A89" w:rsidRDefault="00F24A89" w:rsidP="00F24A89">
            <w:pPr>
              <w:jc w:val="both"/>
            </w:pPr>
            <w:r>
              <w:t>106.35</w:t>
            </w:r>
          </w:p>
        </w:tc>
        <w:tc>
          <w:tcPr>
            <w:tcW w:w="1274" w:type="dxa"/>
          </w:tcPr>
          <w:p w14:paraId="4E84503A" w14:textId="4065B774" w:rsidR="00F24A89" w:rsidRDefault="00F24A89" w:rsidP="00F24A89">
            <w:pPr>
              <w:jc w:val="both"/>
            </w:pPr>
            <w:r>
              <w:t>0.00</w:t>
            </w:r>
          </w:p>
        </w:tc>
        <w:tc>
          <w:tcPr>
            <w:tcW w:w="1698" w:type="dxa"/>
          </w:tcPr>
          <w:p w14:paraId="4506AFD0" w14:textId="4FB0F2AA" w:rsidR="00F24A89" w:rsidRDefault="00F24A89" w:rsidP="00F24A89">
            <w:pPr>
              <w:jc w:val="both"/>
            </w:pPr>
            <w:r>
              <w:t>0.71</w:t>
            </w:r>
          </w:p>
        </w:tc>
        <w:tc>
          <w:tcPr>
            <w:tcW w:w="1839" w:type="dxa"/>
          </w:tcPr>
          <w:p w14:paraId="2C93AA3C" w14:textId="69B3783A" w:rsidR="00F24A89" w:rsidRDefault="00F24A89" w:rsidP="00F24A89">
            <w:pPr>
              <w:jc w:val="both"/>
            </w:pPr>
            <w:r>
              <w:t>0.71</w:t>
            </w:r>
          </w:p>
        </w:tc>
      </w:tr>
    </w:tbl>
    <w:p w14:paraId="2EC82AE0" w14:textId="77777777" w:rsidR="002D7CC9" w:rsidRDefault="002D7CC9" w:rsidP="002D7CC9"/>
    <w:p w14:paraId="39B51737" w14:textId="77777777" w:rsidR="00912394" w:rsidRDefault="00024A7E" w:rsidP="00912394">
      <w:pPr>
        <w:keepNext/>
      </w:pPr>
      <w:r>
        <w:rPr>
          <w:noProof/>
        </w:rPr>
        <w:drawing>
          <wp:inline distT="0" distB="0" distL="0" distR="0" wp14:anchorId="09BA7B0B" wp14:editId="2C773351">
            <wp:extent cx="6678386" cy="3902075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8" t="4663" r="8102" b="4153"/>
                    <a:stretch/>
                  </pic:blipFill>
                  <pic:spPr bwMode="auto">
                    <a:xfrm>
                      <a:off x="0" y="0"/>
                      <a:ext cx="6703535" cy="391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59E1C" w14:textId="1B1133E2" w:rsidR="00C30383" w:rsidRDefault="00912394" w:rsidP="00912394">
      <w:pPr>
        <w:pStyle w:val="Caption"/>
      </w:pPr>
      <w:r>
        <w:t xml:space="preserve">Figure </w:t>
      </w:r>
      <w:r w:rsidR="00E2423D">
        <w:rPr>
          <w:noProof/>
        </w:rPr>
        <w:fldChar w:fldCharType="begin"/>
      </w:r>
      <w:r w:rsidR="00E2423D">
        <w:rPr>
          <w:noProof/>
        </w:rPr>
        <w:instrText xml:space="preserve"> SEQ Figure \* ARABIC </w:instrText>
      </w:r>
      <w:r w:rsidR="00E2423D">
        <w:rPr>
          <w:noProof/>
        </w:rPr>
        <w:fldChar w:fldCharType="separate"/>
      </w:r>
      <w:r w:rsidR="009005F9">
        <w:rPr>
          <w:noProof/>
        </w:rPr>
        <w:t>2</w:t>
      </w:r>
      <w:r w:rsidR="00E2423D">
        <w:rPr>
          <w:noProof/>
        </w:rPr>
        <w:fldChar w:fldCharType="end"/>
      </w:r>
      <w:r w:rsidR="00564CA0">
        <w:rPr>
          <w:noProof/>
        </w:rPr>
        <w:t xml:space="preserve"> </w:t>
      </w:r>
      <w:r w:rsidR="00564CA0">
        <w:t>shows the predictive means and the predictive</w:t>
      </w:r>
      <w:r w:rsidR="001B28B8">
        <w:t xml:space="preserve"> error</w:t>
      </w:r>
      <w:r w:rsidR="00564CA0">
        <w:t xml:space="preserve"> bars of the squared exponential model </w:t>
      </w:r>
      <w:r w:rsidR="001A6142">
        <w:t xml:space="preserve">with different covariance settings </w:t>
      </w:r>
      <w:r w:rsidR="00564CA0">
        <w:t>before and after training. Different covariance settings are shown in the subtitle</w:t>
      </w:r>
      <w:r w:rsidR="00390ABA">
        <w:t>s</w:t>
      </w:r>
      <w:r w:rsidR="00564CA0">
        <w:t xml:space="preserve">. </w:t>
      </w:r>
    </w:p>
    <w:p w14:paraId="36379EAC" w14:textId="0ECF0667" w:rsidR="004130B9" w:rsidRDefault="00912394" w:rsidP="00481AAB">
      <w:r>
        <w:t xml:space="preserve">By initialising the hyperparameters differently, we can see how they affect the minimization. </w:t>
      </w:r>
      <w:r w:rsidR="00D64155">
        <w:t xml:space="preserve">In </w:t>
      </w:r>
      <w:r>
        <w:t xml:space="preserve">short, standard deviations of both noise and signal do not affect </w:t>
      </w:r>
      <w:r w:rsidR="004130B9">
        <w:t>the result</w:t>
      </w:r>
      <w:r>
        <w:t xml:space="preserve"> a lot, in comparison of length-scale.</w:t>
      </w:r>
      <w:r w:rsidR="00DA7A5C">
        <w:t xml:space="preserve"> The </w:t>
      </w:r>
      <w:r w:rsidR="001200B9">
        <w:t xml:space="preserve">ones initialized </w:t>
      </w:r>
      <w:r w:rsidR="004130B9">
        <w:t xml:space="preserve">with </w:t>
      </w:r>
      <w:r w:rsidR="001200B9">
        <w:t xml:space="preserve">the same length-scale value will always be minimized to the same </w:t>
      </w:r>
      <w:proofErr w:type="spellStart"/>
      <w:r w:rsidR="001200B9">
        <w:t>nlml</w:t>
      </w:r>
      <w:proofErr w:type="spellEnd"/>
      <w:r w:rsidR="004037D0">
        <w:t xml:space="preserve"> value.</w:t>
      </w:r>
      <w:r w:rsidR="004D4293">
        <w:t xml:space="preserve"> </w:t>
      </w:r>
      <w:r w:rsidR="004130B9">
        <w:t xml:space="preserve">Therefore, it is sensible to only plot a graph of length-scale against negative log marginal likelihood, and to compare which initial setting of length scale gives the lowest </w:t>
      </w:r>
      <w:proofErr w:type="spellStart"/>
      <w:r w:rsidR="004130B9">
        <w:t>nlml</w:t>
      </w:r>
      <w:proofErr w:type="spellEnd"/>
      <w:r w:rsidR="004130B9">
        <w:t xml:space="preserve">. </w:t>
      </w:r>
    </w:p>
    <w:p w14:paraId="5F9A7DF1" w14:textId="77777777" w:rsidR="009005F9" w:rsidRDefault="004D4293" w:rsidP="009005F9">
      <w:pPr>
        <w:keepNext/>
      </w:pPr>
      <w:r>
        <w:rPr>
          <w:noProof/>
        </w:rPr>
        <w:drawing>
          <wp:inline distT="0" distB="0" distL="0" distR="0" wp14:anchorId="113B83FA" wp14:editId="7C61649C">
            <wp:extent cx="6574790" cy="2607129"/>
            <wp:effectExtent l="0" t="0" r="0" b="3175"/>
            <wp:docPr id="4" name="Picture 4" descr="A close up of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3" t="3983" r="8333"/>
                    <a:stretch/>
                  </pic:blipFill>
                  <pic:spPr bwMode="auto">
                    <a:xfrm>
                      <a:off x="0" y="0"/>
                      <a:ext cx="6588943" cy="2612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0194D" w14:textId="169E424B" w:rsidR="004D4293" w:rsidRDefault="009005F9" w:rsidP="009005F9">
      <w:pPr>
        <w:pStyle w:val="Caption"/>
      </w:pPr>
      <w:r>
        <w:t xml:space="preserve">Figure </w:t>
      </w:r>
      <w:r w:rsidR="00767BB8">
        <w:rPr>
          <w:noProof/>
        </w:rPr>
        <w:fldChar w:fldCharType="begin"/>
      </w:r>
      <w:r w:rsidR="00767BB8">
        <w:rPr>
          <w:noProof/>
        </w:rPr>
        <w:instrText xml:space="preserve"> SEQ Figure \* ARABIC </w:instrText>
      </w:r>
      <w:r w:rsidR="00767BB8">
        <w:rPr>
          <w:noProof/>
        </w:rPr>
        <w:fldChar w:fldCharType="separate"/>
      </w:r>
      <w:r>
        <w:rPr>
          <w:noProof/>
        </w:rPr>
        <w:t>3</w:t>
      </w:r>
      <w:r w:rsidR="00767BB8">
        <w:rPr>
          <w:noProof/>
        </w:rPr>
        <w:fldChar w:fldCharType="end"/>
      </w:r>
      <w:r w:rsidR="00664DDA">
        <w:t xml:space="preserve"> illustrates how </w:t>
      </w:r>
      <w:proofErr w:type="spellStart"/>
      <w:r w:rsidR="00664DDA">
        <w:t>nlml</w:t>
      </w:r>
      <w:proofErr w:type="spellEnd"/>
      <w:r w:rsidR="00664DDA">
        <w:t xml:space="preserve"> </w:t>
      </w:r>
      <w:r w:rsidR="00404CF8">
        <w:t xml:space="preserve">value </w:t>
      </w:r>
      <w:r w:rsidR="00664DDA">
        <w:t>changes as a function of ell (i.e. the log of the characteristic length-scale.)</w:t>
      </w:r>
    </w:p>
    <w:p w14:paraId="3C9D3F55" w14:textId="3EB3B8DE" w:rsidR="008E1325" w:rsidRDefault="00F2456A" w:rsidP="00481AAB">
      <w:r>
        <w:t xml:space="preserve">The </w:t>
      </w:r>
      <w:r w:rsidR="00D85410">
        <w:t>different local optimum of</w:t>
      </w:r>
      <w:r>
        <w:t xml:space="preserve"> </w:t>
      </w:r>
      <w:proofErr w:type="spellStart"/>
      <w:r>
        <w:t>nlml</w:t>
      </w:r>
      <w:proofErr w:type="spellEnd"/>
      <w:r>
        <w:t xml:space="preserve"> is 78.22 at ell = -0.25. The first fit with </w:t>
      </w:r>
      <w:r w:rsidR="00D4787B">
        <w:t>length-scale of</w:t>
      </w:r>
      <w:r>
        <w:t xml:space="preserve"> -1 is better since it has the least </w:t>
      </w:r>
      <w:proofErr w:type="spellStart"/>
      <w:r>
        <w:t>nlml</w:t>
      </w:r>
      <w:proofErr w:type="spellEnd"/>
      <w:r>
        <w:t xml:space="preserve"> and highest marginal likelihood. </w:t>
      </w:r>
    </w:p>
    <w:p w14:paraId="490D8E0D" w14:textId="2C4C579B" w:rsidR="008E1325" w:rsidRDefault="008E1325" w:rsidP="008E1325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m:oMath>
        <m:r>
          <m:rPr>
            <m:sty m:val="p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si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Style w:val="FootnoteReference"/>
            <w:rFonts w:ascii="Cambria Math" w:hAnsi="Cambria Math"/>
          </w:rPr>
          <w:footnoteReference w:id="2"/>
        </m:r>
      </m:oMath>
    </w:p>
    <w:p w14:paraId="41D47B36" w14:textId="0779C297" w:rsidR="009005F9" w:rsidRDefault="009005F9" w:rsidP="009005F9">
      <w:pPr>
        <w:pStyle w:val="Caption"/>
        <w:keepNext/>
      </w:pPr>
      <w:r>
        <w:t xml:space="preserve">Table </w:t>
      </w:r>
      <w:r w:rsidR="00767BB8">
        <w:rPr>
          <w:noProof/>
        </w:rPr>
        <w:fldChar w:fldCharType="begin"/>
      </w:r>
      <w:r w:rsidR="00767BB8">
        <w:rPr>
          <w:noProof/>
        </w:rPr>
        <w:instrText xml:space="preserve"> SEQ Table \* ARABIC </w:instrText>
      </w:r>
      <w:r w:rsidR="00767BB8">
        <w:rPr>
          <w:noProof/>
        </w:rPr>
        <w:fldChar w:fldCharType="separate"/>
      </w:r>
      <w:r>
        <w:rPr>
          <w:noProof/>
        </w:rPr>
        <w:t>3</w:t>
      </w:r>
      <w:r w:rsidR="00767BB8">
        <w:rPr>
          <w:noProof/>
        </w:rPr>
        <w:fldChar w:fldCharType="end"/>
      </w:r>
      <w:r w:rsidR="003C5AC8">
        <w:t xml:space="preserve"> shows the values of negative log marginal likelihood and hyperparameters before and after the minimization. 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80"/>
        <w:gridCol w:w="2268"/>
        <w:gridCol w:w="1134"/>
        <w:gridCol w:w="1701"/>
        <w:gridCol w:w="1843"/>
        <w:gridCol w:w="1559"/>
      </w:tblGrid>
      <w:tr w:rsidR="00894C3C" w14:paraId="5FC629DF" w14:textId="4F29738E" w:rsidTr="004D4BCD">
        <w:tc>
          <w:tcPr>
            <w:tcW w:w="1980" w:type="dxa"/>
          </w:tcPr>
          <w:p w14:paraId="1293AAA9" w14:textId="77777777" w:rsidR="00894C3C" w:rsidRDefault="00894C3C" w:rsidP="003F1876">
            <w:r>
              <w:t xml:space="preserve">    </w:t>
            </w:r>
          </w:p>
        </w:tc>
        <w:tc>
          <w:tcPr>
            <w:tcW w:w="2268" w:type="dxa"/>
          </w:tcPr>
          <w:p w14:paraId="4606C220" w14:textId="77777777" w:rsidR="00894C3C" w:rsidRDefault="00894C3C" w:rsidP="003F1876">
            <w:r>
              <w:t>Negative Log Marginal Likelihood (</w:t>
            </w:r>
            <m:oMath>
              <m:r>
                <w:rPr>
                  <w:rFonts w:ascii="Cambria Math" w:hAnsi="Cambria Math"/>
                </w:rPr>
                <m:t>nlml</m:t>
              </m:r>
            </m:oMath>
            <w:r>
              <w:t>)</w:t>
            </w:r>
          </w:p>
        </w:tc>
        <w:tc>
          <w:tcPr>
            <w:tcW w:w="1134" w:type="dxa"/>
          </w:tcPr>
          <w:p w14:paraId="0C523054" w14:textId="77777777" w:rsidR="00894C3C" w:rsidRDefault="00894C3C" w:rsidP="003F1876">
            <w:r>
              <w:t>Length-scale (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t>)</w:t>
            </w:r>
          </w:p>
        </w:tc>
        <w:tc>
          <w:tcPr>
            <w:tcW w:w="1701" w:type="dxa"/>
          </w:tcPr>
          <w:p w14:paraId="4814ACCE" w14:textId="77777777" w:rsidR="00894C3C" w:rsidRDefault="00894C3C" w:rsidP="003F1876">
            <w:r>
              <w:t>Signal Standard</w:t>
            </w:r>
          </w:p>
          <w:p w14:paraId="5C362DB5" w14:textId="77777777" w:rsidR="00894C3C" w:rsidRDefault="00894C3C" w:rsidP="003F1876">
            <w:r>
              <w:t>Deviation (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)</w:t>
            </w:r>
          </w:p>
        </w:tc>
        <w:tc>
          <w:tcPr>
            <w:tcW w:w="1843" w:type="dxa"/>
          </w:tcPr>
          <w:p w14:paraId="25844E8C" w14:textId="77777777" w:rsidR="00894C3C" w:rsidRDefault="00894C3C" w:rsidP="003F1876">
            <w:r>
              <w:t>Noise Standard Deviation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noise</m:t>
                  </m:r>
                </m:sub>
              </m:sSub>
            </m:oMath>
            <w:r>
              <w:t>)</w:t>
            </w:r>
          </w:p>
        </w:tc>
        <w:tc>
          <w:tcPr>
            <w:tcW w:w="1559" w:type="dxa"/>
          </w:tcPr>
          <w:p w14:paraId="0442E548" w14:textId="306479E2" w:rsidR="00894C3C" w:rsidRDefault="00894C3C" w:rsidP="003F1876">
            <w:r>
              <w:t>Period (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)</w:t>
            </w:r>
          </w:p>
        </w:tc>
      </w:tr>
      <w:tr w:rsidR="00894C3C" w14:paraId="0042ABCB" w14:textId="1562B4B4" w:rsidTr="004D4BCD">
        <w:tc>
          <w:tcPr>
            <w:tcW w:w="1980" w:type="dxa"/>
          </w:tcPr>
          <w:p w14:paraId="5041481F" w14:textId="77777777" w:rsidR="00894C3C" w:rsidRDefault="00894C3C" w:rsidP="003F1876">
            <w:pPr>
              <w:jc w:val="both"/>
            </w:pPr>
            <w:r>
              <w:t>Pre-train</w:t>
            </w:r>
          </w:p>
        </w:tc>
        <w:tc>
          <w:tcPr>
            <w:tcW w:w="2268" w:type="dxa"/>
          </w:tcPr>
          <w:p w14:paraId="7378AD9E" w14:textId="251D3D9A" w:rsidR="00894C3C" w:rsidRDefault="00894C3C" w:rsidP="003F1876">
            <w:pPr>
              <w:jc w:val="both"/>
            </w:pPr>
            <w:r>
              <w:t>92.</w:t>
            </w:r>
            <w:r w:rsidR="00A64445">
              <w:t>73</w:t>
            </w:r>
          </w:p>
        </w:tc>
        <w:tc>
          <w:tcPr>
            <w:tcW w:w="1134" w:type="dxa"/>
          </w:tcPr>
          <w:p w14:paraId="77A976DD" w14:textId="77777777" w:rsidR="00894C3C" w:rsidRDefault="00894C3C" w:rsidP="003F1876">
            <w:pPr>
              <w:jc w:val="both"/>
            </w:pPr>
            <w:r>
              <w:t>0.37</w:t>
            </w:r>
          </w:p>
        </w:tc>
        <w:tc>
          <w:tcPr>
            <w:tcW w:w="1701" w:type="dxa"/>
          </w:tcPr>
          <w:p w14:paraId="3B41EEDA" w14:textId="65287EEF" w:rsidR="00894C3C" w:rsidRDefault="009C0962" w:rsidP="003F1876">
            <w:pPr>
              <w:jc w:val="both"/>
            </w:pPr>
            <w:r>
              <w:t>1.00</w:t>
            </w:r>
          </w:p>
        </w:tc>
        <w:tc>
          <w:tcPr>
            <w:tcW w:w="1843" w:type="dxa"/>
          </w:tcPr>
          <w:p w14:paraId="6B74F0B1" w14:textId="77777777" w:rsidR="00894C3C" w:rsidRDefault="00894C3C" w:rsidP="003F1876">
            <w:pPr>
              <w:jc w:val="both"/>
            </w:pPr>
            <w:r>
              <w:t>1.00</w:t>
            </w:r>
          </w:p>
        </w:tc>
        <w:tc>
          <w:tcPr>
            <w:tcW w:w="1559" w:type="dxa"/>
          </w:tcPr>
          <w:p w14:paraId="06BB240D" w14:textId="7B03D2F4" w:rsidR="00894C3C" w:rsidRDefault="000A20C3" w:rsidP="003F1876">
            <w:pPr>
              <w:jc w:val="both"/>
            </w:pPr>
            <w:r>
              <w:t>7.39</w:t>
            </w:r>
          </w:p>
        </w:tc>
      </w:tr>
      <w:tr w:rsidR="00894C3C" w14:paraId="3708021C" w14:textId="5462C536" w:rsidTr="004D4BCD">
        <w:tc>
          <w:tcPr>
            <w:tcW w:w="1980" w:type="dxa"/>
          </w:tcPr>
          <w:p w14:paraId="18C53708" w14:textId="77777777" w:rsidR="00894C3C" w:rsidRDefault="00894C3C" w:rsidP="003F1876">
            <w:pPr>
              <w:jc w:val="both"/>
            </w:pPr>
            <w:r>
              <w:t>Post-train</w:t>
            </w:r>
          </w:p>
        </w:tc>
        <w:tc>
          <w:tcPr>
            <w:tcW w:w="2268" w:type="dxa"/>
          </w:tcPr>
          <w:p w14:paraId="60DCEECB" w14:textId="2CEBFEF1" w:rsidR="00894C3C" w:rsidRDefault="0002446E" w:rsidP="003F1876">
            <w:pPr>
              <w:jc w:val="both"/>
            </w:pPr>
            <w:r>
              <w:t>-1.60</w:t>
            </w:r>
          </w:p>
        </w:tc>
        <w:tc>
          <w:tcPr>
            <w:tcW w:w="1134" w:type="dxa"/>
          </w:tcPr>
          <w:p w14:paraId="16C1D57F" w14:textId="29597128" w:rsidR="00894C3C" w:rsidRDefault="00090BC5" w:rsidP="003F1876">
            <w:pPr>
              <w:jc w:val="both"/>
            </w:pPr>
            <w:r>
              <w:t>0.27</w:t>
            </w:r>
          </w:p>
        </w:tc>
        <w:tc>
          <w:tcPr>
            <w:tcW w:w="1701" w:type="dxa"/>
          </w:tcPr>
          <w:p w14:paraId="25281678" w14:textId="103B4526" w:rsidR="00894C3C" w:rsidRDefault="00090BC5" w:rsidP="003F1876">
            <w:pPr>
              <w:jc w:val="both"/>
            </w:pPr>
            <w:r>
              <w:t>0.85</w:t>
            </w:r>
          </w:p>
        </w:tc>
        <w:tc>
          <w:tcPr>
            <w:tcW w:w="1843" w:type="dxa"/>
          </w:tcPr>
          <w:p w14:paraId="0DF2CF51" w14:textId="77777777" w:rsidR="00894C3C" w:rsidRDefault="00894C3C" w:rsidP="003F1876">
            <w:pPr>
              <w:jc w:val="both"/>
            </w:pPr>
            <w:r>
              <w:t>0.12</w:t>
            </w:r>
          </w:p>
        </w:tc>
        <w:tc>
          <w:tcPr>
            <w:tcW w:w="1559" w:type="dxa"/>
          </w:tcPr>
          <w:p w14:paraId="6C349530" w14:textId="1113E420" w:rsidR="00894C3C" w:rsidRDefault="00090BC5" w:rsidP="003F1876">
            <w:pPr>
              <w:jc w:val="both"/>
            </w:pPr>
            <w:r>
              <w:t>3.00</w:t>
            </w:r>
          </w:p>
        </w:tc>
      </w:tr>
    </w:tbl>
    <w:p w14:paraId="275C40FE" w14:textId="04117430" w:rsidR="008E1325" w:rsidRDefault="008E1325" w:rsidP="008E1325"/>
    <w:p w14:paraId="0E127E3F" w14:textId="77777777" w:rsidR="009005F9" w:rsidRDefault="00021507" w:rsidP="009005F9">
      <w:pPr>
        <w:keepNext/>
      </w:pPr>
      <w:r>
        <w:rPr>
          <w:noProof/>
        </w:rPr>
        <w:drawing>
          <wp:inline distT="0" distB="0" distL="0" distR="0" wp14:anchorId="47F7ED80" wp14:editId="7FC13A3E">
            <wp:extent cx="6459220" cy="263978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5" t="6646" r="7587" b="4858"/>
                    <a:stretch/>
                  </pic:blipFill>
                  <pic:spPr bwMode="auto">
                    <a:xfrm>
                      <a:off x="0" y="0"/>
                      <a:ext cx="6470094" cy="2644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31833" w14:textId="7EA9AE81" w:rsidR="00B34047" w:rsidRDefault="009005F9" w:rsidP="009005F9">
      <w:pPr>
        <w:pStyle w:val="Caption"/>
      </w:pPr>
      <w:r>
        <w:t xml:space="preserve">Figure </w:t>
      </w:r>
      <w:r w:rsidR="00767BB8">
        <w:rPr>
          <w:noProof/>
        </w:rPr>
        <w:fldChar w:fldCharType="begin"/>
      </w:r>
      <w:r w:rsidR="00767BB8">
        <w:rPr>
          <w:noProof/>
        </w:rPr>
        <w:instrText xml:space="preserve"> SEQ Figure \* ARABIC </w:instrText>
      </w:r>
      <w:r w:rsidR="00767BB8">
        <w:rPr>
          <w:noProof/>
        </w:rPr>
        <w:fldChar w:fldCharType="separate"/>
      </w:r>
      <w:r>
        <w:rPr>
          <w:noProof/>
        </w:rPr>
        <w:t>4</w:t>
      </w:r>
      <w:r w:rsidR="00767BB8">
        <w:rPr>
          <w:noProof/>
        </w:rPr>
        <w:fldChar w:fldCharType="end"/>
      </w:r>
      <w:r w:rsidR="003A6967" w:rsidRPr="003A6967">
        <w:t xml:space="preserve"> </w:t>
      </w:r>
      <w:r w:rsidR="003A6967">
        <w:t>shows the predictive means and the predictive</w:t>
      </w:r>
      <w:r w:rsidR="003C3239">
        <w:t xml:space="preserve"> error</w:t>
      </w:r>
      <w:r w:rsidR="003A6967">
        <w:t xml:space="preserve"> bars of the periodic model before and after training.</w:t>
      </w:r>
    </w:p>
    <w:p w14:paraId="02C58EEF" w14:textId="2E6CFE2C" w:rsidR="001D68D0" w:rsidRDefault="005E2F1B" w:rsidP="008E1325">
      <w:r>
        <w:t xml:space="preserve">In comparison to the fit from </w:t>
      </w:r>
      <w:r w:rsidR="00662DCD">
        <w:t>part a</w:t>
      </w:r>
      <w:r>
        <w:t xml:space="preserve">, the error bar has a narrower width even for the region with less training data. </w:t>
      </w:r>
      <w:r w:rsidR="001D68D0">
        <w:t xml:space="preserve">When comparing the marginal likelihood, this periodic model has better fit to the data since it has a higher marginal likelihood </w:t>
      </w:r>
      <w:r w:rsidR="00476A05">
        <w:t>and</w:t>
      </w:r>
      <w:r w:rsidR="001D68D0">
        <w:t xml:space="preserve"> has an extra hyperparameter which increases the capacity to fit the data. </w:t>
      </w:r>
    </w:p>
    <w:p w14:paraId="581DB04B" w14:textId="47E16978" w:rsidR="00B34047" w:rsidRDefault="005E2F1B" w:rsidP="008E1325">
      <w:r>
        <w:t xml:space="preserve">I do think the data generating mechanism was </w:t>
      </w:r>
      <w:r w:rsidR="000F31C8">
        <w:t xml:space="preserve">not </w:t>
      </w:r>
      <w:r>
        <w:t xml:space="preserve">strictly periodic </w:t>
      </w:r>
      <w:r w:rsidR="000F31C8">
        <w:t>even though</w:t>
      </w:r>
      <w:r>
        <w:t xml:space="preserve"> both plots showed periodic structures</w:t>
      </w:r>
      <w:r w:rsidR="000F31C8">
        <w:t xml:space="preserve">, especially for the interval [-1.5, 2]. It is possible that the data was generated with a covariance function that has several changepoints. </w:t>
      </w:r>
      <w:r w:rsidR="00FA1CA4">
        <w:t xml:space="preserve">Also, there is not much data </w:t>
      </w:r>
      <w:r w:rsidR="0034497B">
        <w:t xml:space="preserve">existing outside the interval [-1.5, 2] so it does not have enough evidence to prove ‘the mechanism was strictly periodic’ outside the region mentioned. </w:t>
      </w:r>
    </w:p>
    <w:p w14:paraId="2D1826C2" w14:textId="4CCC798B" w:rsidR="00B34047" w:rsidRDefault="009040E4" w:rsidP="00021507">
      <w:pPr>
        <w:pStyle w:val="ListParagraph"/>
        <w:numPr>
          <w:ilvl w:val="0"/>
          <w:numId w:val="1"/>
        </w:numPr>
      </w:pPr>
      <w:r>
        <w:t xml:space="preserve"> </w:t>
      </w:r>
    </w:p>
    <w:p w14:paraId="63337433" w14:textId="77777777" w:rsidR="009005F9" w:rsidRDefault="009040E4" w:rsidP="009005F9">
      <w:pPr>
        <w:keepNext/>
      </w:pPr>
      <w:r>
        <w:rPr>
          <w:noProof/>
        </w:rPr>
        <w:drawing>
          <wp:inline distT="0" distB="0" distL="0" distR="0" wp14:anchorId="27677F24" wp14:editId="3844244A">
            <wp:extent cx="6667500" cy="2071688"/>
            <wp:effectExtent l="0" t="0" r="0" b="5080"/>
            <wp:docPr id="5" name="Picture 5" descr="A picture containing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4" t="6412" r="7643" b="4858"/>
                    <a:stretch/>
                  </pic:blipFill>
                  <pic:spPr bwMode="auto">
                    <a:xfrm>
                      <a:off x="0" y="0"/>
                      <a:ext cx="6718824" cy="208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FA2BC" w14:textId="75EDD7D2" w:rsidR="009040E4" w:rsidRDefault="009005F9" w:rsidP="009005F9">
      <w:pPr>
        <w:pStyle w:val="Caption"/>
      </w:pPr>
      <w:r>
        <w:t xml:space="preserve">Figure </w:t>
      </w:r>
      <w:r w:rsidR="00767BB8">
        <w:rPr>
          <w:noProof/>
        </w:rPr>
        <w:fldChar w:fldCharType="begin"/>
      </w:r>
      <w:r w:rsidR="00767BB8">
        <w:rPr>
          <w:noProof/>
        </w:rPr>
        <w:instrText xml:space="preserve"> SEQ Figure \* ARABIC </w:instrText>
      </w:r>
      <w:r w:rsidR="00767BB8">
        <w:rPr>
          <w:noProof/>
        </w:rPr>
        <w:fldChar w:fldCharType="separate"/>
      </w:r>
      <w:r>
        <w:rPr>
          <w:noProof/>
        </w:rPr>
        <w:t>5</w:t>
      </w:r>
      <w:r w:rsidR="00767BB8">
        <w:rPr>
          <w:noProof/>
        </w:rPr>
        <w:fldChar w:fldCharType="end"/>
      </w:r>
      <w:r w:rsidR="004A7BB1">
        <w:t xml:space="preserve"> shows the predictive means and the predictive </w:t>
      </w:r>
      <w:r w:rsidR="00476A05">
        <w:t xml:space="preserve">error </w:t>
      </w:r>
      <w:r w:rsidR="004A7BB1">
        <w:t xml:space="preserve">bars of the </w:t>
      </w:r>
      <w:r w:rsidR="008247D1">
        <w:t>product of periodic and squared exponential kernels</w:t>
      </w:r>
      <w:r w:rsidR="004A7BB1">
        <w:t xml:space="preserve"> model before and after training.</w:t>
      </w:r>
    </w:p>
    <w:p w14:paraId="57D55A1B" w14:textId="48204E6D" w:rsidR="00C34C67" w:rsidRDefault="003E7363" w:rsidP="004A7BB1">
      <w:r>
        <w:lastRenderedPageBreak/>
        <w:t xml:space="preserve">To apply the Cholesky decomposition, the covariance matrix </w:t>
      </w:r>
      <w:r w:rsidR="00764D06">
        <w:t>must</w:t>
      </w:r>
      <w:r>
        <w:t xml:space="preserve"> be symmetric and positive definite. </w:t>
      </w:r>
      <w:r w:rsidR="00764D06">
        <w:t>Therefore, adding the diagonal matrix helps to retain the symmetry and change it to be positive definite.</w:t>
      </w:r>
    </w:p>
    <w:p w14:paraId="1C348206" w14:textId="42E321A3" w:rsidR="009040E4" w:rsidRDefault="00E20494" w:rsidP="004A7BB1">
      <w:r>
        <w:t xml:space="preserve">Since the covariance function is a product of periodic and squared-exponential kernels, both the predictive mean and bars oscillate in a periodic exponential pattern. </w:t>
      </w:r>
      <w:bookmarkStart w:id="3" w:name="_Hlk528082779"/>
      <w:r w:rsidR="000331FB">
        <w:t xml:space="preserve">I can also see there are many datapoints positioning within the predictive error bars but further away from the predictive mean, which is sensible since the data is generated with noise. </w:t>
      </w:r>
      <w:bookmarkEnd w:id="3"/>
    </w:p>
    <w:p w14:paraId="3D6575FC" w14:textId="20D005ED" w:rsidR="009E2607" w:rsidRDefault="009E2607" w:rsidP="009E2607">
      <w:pPr>
        <w:pStyle w:val="ListParagraph"/>
        <w:numPr>
          <w:ilvl w:val="0"/>
          <w:numId w:val="1"/>
        </w:numPr>
      </w:pPr>
      <w:r>
        <w:t xml:space="preserve"> </w:t>
      </w:r>
    </w:p>
    <w:p w14:paraId="6780292A" w14:textId="117B4B27" w:rsidR="00836347" w:rsidRDefault="006D2B1E" w:rsidP="00836347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</m:oMath>
      </m:oMathPara>
    </w:p>
    <w:p w14:paraId="6A83162F" w14:textId="64DF2039" w:rsidR="009005F9" w:rsidRDefault="001B6A3A" w:rsidP="009005F9">
      <w:pPr>
        <w:keepNext/>
        <w:ind w:left="360"/>
      </w:pPr>
      <w:r>
        <w:rPr>
          <w:noProof/>
        </w:rPr>
        <w:drawing>
          <wp:inline distT="0" distB="0" distL="0" distR="0" wp14:anchorId="20C07C39" wp14:editId="136A55E0">
            <wp:extent cx="2605088" cy="1912961"/>
            <wp:effectExtent l="0" t="0" r="5080" b="0"/>
            <wp:docPr id="6" name="Picture 6" descr="A picture containing map,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2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6" t="6306" r="4978" b="4968"/>
                    <a:stretch/>
                  </pic:blipFill>
                  <pic:spPr bwMode="auto">
                    <a:xfrm>
                      <a:off x="0" y="0"/>
                      <a:ext cx="2624559" cy="1927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 w:rsidR="00BC0B24">
        <w:rPr>
          <w:noProof/>
        </w:rPr>
        <w:t xml:space="preserve">    </w:t>
      </w:r>
      <w:r w:rsidR="00FF62C7">
        <w:rPr>
          <w:noProof/>
        </w:rPr>
        <w:t xml:space="preserve">  </w:t>
      </w:r>
      <w:r w:rsidR="00E2423D">
        <w:rPr>
          <w:noProof/>
        </w:rPr>
        <w:drawing>
          <wp:inline distT="0" distB="0" distL="0" distR="0" wp14:anchorId="2C8DBD93" wp14:editId="176674D4">
            <wp:extent cx="2621714" cy="2809875"/>
            <wp:effectExtent l="0" t="0" r="7620" b="0"/>
            <wp:docPr id="7" name="Picture 7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8" t="5363" r="8389" b="8123"/>
                    <a:stretch/>
                  </pic:blipFill>
                  <pic:spPr bwMode="auto">
                    <a:xfrm>
                      <a:off x="0" y="0"/>
                      <a:ext cx="2627747" cy="2816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01A0">
        <w:rPr>
          <w:noProof/>
        </w:rPr>
        <w:t xml:space="preserve">      </w:t>
      </w:r>
    </w:p>
    <w:p w14:paraId="0D51231D" w14:textId="2A5551EB" w:rsidR="009005F9" w:rsidRDefault="009005F9" w:rsidP="009005F9">
      <w:pPr>
        <w:pStyle w:val="Caption"/>
      </w:pPr>
      <w:r>
        <w:t xml:space="preserve">Figure </w:t>
      </w:r>
      <w:r w:rsidR="00767BB8">
        <w:rPr>
          <w:noProof/>
        </w:rPr>
        <w:fldChar w:fldCharType="begin"/>
      </w:r>
      <w:r w:rsidR="00767BB8">
        <w:rPr>
          <w:noProof/>
        </w:rPr>
        <w:instrText xml:space="preserve"> SEQ Figure \* ARABIC </w:instrText>
      </w:r>
      <w:r w:rsidR="00767BB8">
        <w:rPr>
          <w:noProof/>
        </w:rPr>
        <w:fldChar w:fldCharType="separate"/>
      </w:r>
      <w:r>
        <w:rPr>
          <w:noProof/>
        </w:rPr>
        <w:t>6</w:t>
      </w:r>
      <w:r w:rsidR="00767BB8">
        <w:rPr>
          <w:noProof/>
        </w:rPr>
        <w:fldChar w:fldCharType="end"/>
      </w:r>
      <w:r w:rsidR="006226DE">
        <w:rPr>
          <w:noProof/>
        </w:rPr>
        <w:t xml:space="preserve">   </w:t>
      </w:r>
      <w:r>
        <w:rPr>
          <w:noProof/>
        </w:rPr>
        <w:t>(Left)</w:t>
      </w:r>
      <w:r w:rsidR="002B221D">
        <w:rPr>
          <w:noProof/>
        </w:rPr>
        <w:t xml:space="preserve"> </w:t>
      </w:r>
      <w:r w:rsidR="002B221D">
        <w:t xml:space="preserve">shows the predictive means and the predictive </w:t>
      </w:r>
      <w:r w:rsidR="00476A05">
        <w:t xml:space="preserve">error </w:t>
      </w:r>
      <w:r w:rsidR="002B221D">
        <w:t>bars of model 1 after training.</w:t>
      </w:r>
    </w:p>
    <w:p w14:paraId="51240196" w14:textId="45943E24" w:rsidR="009E2607" w:rsidRDefault="009005F9" w:rsidP="001D68D0">
      <w:pPr>
        <w:pStyle w:val="Caption"/>
      </w:pPr>
      <w:r>
        <w:t xml:space="preserve">Figure </w:t>
      </w:r>
      <w:r w:rsidR="00767BB8">
        <w:rPr>
          <w:noProof/>
        </w:rPr>
        <w:fldChar w:fldCharType="begin"/>
      </w:r>
      <w:r w:rsidR="00767BB8">
        <w:rPr>
          <w:noProof/>
        </w:rPr>
        <w:instrText xml:space="preserve"> SEQ Figure \* ARABIC </w:instrText>
      </w:r>
      <w:r w:rsidR="00767BB8">
        <w:rPr>
          <w:noProof/>
        </w:rPr>
        <w:fldChar w:fldCharType="separate"/>
      </w:r>
      <w:r>
        <w:rPr>
          <w:noProof/>
        </w:rPr>
        <w:t>7</w:t>
      </w:r>
      <w:r w:rsidR="00767BB8">
        <w:rPr>
          <w:noProof/>
        </w:rPr>
        <w:fldChar w:fldCharType="end"/>
      </w:r>
      <w:r>
        <w:t xml:space="preserve"> (Right)</w:t>
      </w:r>
      <w:r w:rsidR="002B221D">
        <w:t xml:space="preserve"> shows the predictive means and the predictive </w:t>
      </w:r>
      <w:r w:rsidR="00476A05">
        <w:t xml:space="preserve">error </w:t>
      </w:r>
      <w:r w:rsidR="002B221D">
        <w:t>bars of model 2 after training.</w:t>
      </w:r>
    </w:p>
    <w:p w14:paraId="4578EF25" w14:textId="5FAB70A4" w:rsidR="009005F9" w:rsidRDefault="009005F9" w:rsidP="009005F9">
      <w:pPr>
        <w:pStyle w:val="Caption"/>
        <w:keepNext/>
      </w:pPr>
      <w:r>
        <w:t xml:space="preserve">Table </w:t>
      </w:r>
      <w:r w:rsidR="00767BB8">
        <w:rPr>
          <w:noProof/>
        </w:rPr>
        <w:fldChar w:fldCharType="begin"/>
      </w:r>
      <w:r w:rsidR="00767BB8">
        <w:rPr>
          <w:noProof/>
        </w:rPr>
        <w:instrText xml:space="preserve"> SEQ Table \* ARABIC </w:instrText>
      </w:r>
      <w:r w:rsidR="00767BB8">
        <w:rPr>
          <w:noProof/>
        </w:rPr>
        <w:fldChar w:fldCharType="separate"/>
      </w:r>
      <w:r>
        <w:rPr>
          <w:noProof/>
        </w:rPr>
        <w:t>4</w:t>
      </w:r>
      <w:r w:rsidR="00767BB8">
        <w:rPr>
          <w:noProof/>
        </w:rPr>
        <w:fldChar w:fldCharType="end"/>
      </w:r>
      <w:r w:rsidR="00E138A8">
        <w:t xml:space="preserve"> shows the </w:t>
      </w:r>
      <w:proofErr w:type="spellStart"/>
      <w:r w:rsidR="003311D1">
        <w:t>nlml</w:t>
      </w:r>
      <w:proofErr w:type="spellEnd"/>
      <w:r w:rsidR="003311D1">
        <w:t xml:space="preserve"> of both model and the </w:t>
      </w:r>
      <w:proofErr w:type="spellStart"/>
      <w:r w:rsidR="003311D1">
        <w:t>nlml</w:t>
      </w:r>
      <w:proofErr w:type="spellEnd"/>
      <w:r w:rsidR="003311D1">
        <w:t xml:space="preserve"> ratio between them.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5747"/>
        <w:gridCol w:w="3685"/>
      </w:tblGrid>
      <w:tr w:rsidR="00FE4205" w14:paraId="227075EB" w14:textId="77777777" w:rsidTr="00D9359F">
        <w:tc>
          <w:tcPr>
            <w:tcW w:w="911" w:type="dxa"/>
          </w:tcPr>
          <w:p w14:paraId="4DA2F9C7" w14:textId="531D6447" w:rsidR="00FE4205" w:rsidRDefault="00FE4205" w:rsidP="009E2607">
            <w:r>
              <w:t>Model</w:t>
            </w:r>
          </w:p>
        </w:tc>
        <w:tc>
          <w:tcPr>
            <w:tcW w:w="5747" w:type="dxa"/>
          </w:tcPr>
          <w:p w14:paraId="00551D8A" w14:textId="41C31980" w:rsidR="00FE4205" w:rsidRDefault="00FE4205" w:rsidP="009E2607">
            <w:r>
              <w:t>Negative Log Marginal Likelihood</w:t>
            </w:r>
          </w:p>
        </w:tc>
        <w:tc>
          <w:tcPr>
            <w:tcW w:w="3685" w:type="dxa"/>
          </w:tcPr>
          <w:p w14:paraId="5C5AED3B" w14:textId="425079DA" w:rsidR="00FE4205" w:rsidRDefault="00FE4205" w:rsidP="009E2607">
            <w:r>
              <w:t>Marginal Likelihood Ratio (1:2)</w:t>
            </w:r>
          </w:p>
        </w:tc>
      </w:tr>
      <w:tr w:rsidR="00FE4205" w14:paraId="55A5426B" w14:textId="77777777" w:rsidTr="00D9359F">
        <w:tc>
          <w:tcPr>
            <w:tcW w:w="911" w:type="dxa"/>
          </w:tcPr>
          <w:p w14:paraId="4F688EEA" w14:textId="1EC4F44B" w:rsidR="00FE4205" w:rsidRDefault="00FE4205" w:rsidP="009E2607">
            <w:r>
              <w:t>1</w:t>
            </w:r>
          </w:p>
        </w:tc>
        <w:tc>
          <w:tcPr>
            <w:tcW w:w="5747" w:type="dxa"/>
          </w:tcPr>
          <w:p w14:paraId="793F78FA" w14:textId="6A40CAD8" w:rsidR="00FE4205" w:rsidRDefault="00FE4205" w:rsidP="009E2607">
            <w:r>
              <w:t>-19.22</w:t>
            </w:r>
          </w:p>
        </w:tc>
        <w:tc>
          <w:tcPr>
            <w:tcW w:w="3685" w:type="dxa"/>
            <w:vMerge w:val="restart"/>
          </w:tcPr>
          <w:p w14:paraId="13110416" w14:textId="7E23A613" w:rsidR="00FE4205" w:rsidRDefault="00FE4205" w:rsidP="009E2607">
            <w:r>
              <w:t>3.27x10</w:t>
            </w:r>
            <w:r w:rsidRPr="00FE4205">
              <w:rPr>
                <w:vertAlign w:val="superscript"/>
              </w:rPr>
              <w:t>-10</w:t>
            </w:r>
          </w:p>
        </w:tc>
      </w:tr>
      <w:tr w:rsidR="00FE4205" w14:paraId="48EF8DD0" w14:textId="77777777" w:rsidTr="00D9359F">
        <w:tc>
          <w:tcPr>
            <w:tcW w:w="911" w:type="dxa"/>
          </w:tcPr>
          <w:p w14:paraId="50B4587B" w14:textId="04DCA450" w:rsidR="00FE4205" w:rsidRDefault="00FE4205" w:rsidP="009E2607">
            <w:r>
              <w:t>2</w:t>
            </w:r>
          </w:p>
        </w:tc>
        <w:tc>
          <w:tcPr>
            <w:tcW w:w="5747" w:type="dxa"/>
          </w:tcPr>
          <w:p w14:paraId="31B34060" w14:textId="1F1C6B2E" w:rsidR="00FE4205" w:rsidRDefault="00FE4205" w:rsidP="009E2607">
            <w:r>
              <w:t>-66.39</w:t>
            </w:r>
          </w:p>
        </w:tc>
        <w:tc>
          <w:tcPr>
            <w:tcW w:w="3685" w:type="dxa"/>
            <w:vMerge/>
          </w:tcPr>
          <w:p w14:paraId="44B9669C" w14:textId="77777777" w:rsidR="00FE4205" w:rsidRDefault="00FE4205" w:rsidP="009E2607"/>
        </w:tc>
      </w:tr>
    </w:tbl>
    <w:p w14:paraId="2CFD2991" w14:textId="22813057" w:rsidR="001115D8" w:rsidRDefault="001115D8" w:rsidP="001115D8"/>
    <w:p w14:paraId="512845E2" w14:textId="23652AFB" w:rsidR="004433B7" w:rsidRDefault="004433B7" w:rsidP="001115D8">
      <w:bookmarkStart w:id="4" w:name="_Hlk528082789"/>
      <w:r>
        <w:t xml:space="preserve">In the 3d plot of both models, they look similarly. The predictive means of both models show the same peaks as also shown in the pure data. But their </w:t>
      </w:r>
      <w:proofErr w:type="spellStart"/>
      <w:r>
        <w:t>nlmls</w:t>
      </w:r>
      <w:proofErr w:type="spellEnd"/>
      <w:r>
        <w:t xml:space="preserve"> are different. </w:t>
      </w:r>
    </w:p>
    <w:bookmarkEnd w:id="4"/>
    <w:p w14:paraId="2BE11097" w14:textId="2CEE0023" w:rsidR="009E2607" w:rsidRDefault="00A91302" w:rsidP="0004493B">
      <w:r>
        <w:t>The ml ratio between model 1 and model 2 is 3.27x10</w:t>
      </w:r>
      <w:r w:rsidRPr="00A91302">
        <w:rPr>
          <w:vertAlign w:val="superscript"/>
        </w:rPr>
        <w:t>-10</w:t>
      </w:r>
      <w:r>
        <w:t xml:space="preserve">. It shows the model is a better fit to the data since model 2 is built upon a sum of 2 squared-exponential kernels which give </w:t>
      </w:r>
      <w:proofErr w:type="gramStart"/>
      <w:r>
        <w:t>a higher degree of</w:t>
      </w:r>
      <w:proofErr w:type="gramEnd"/>
      <w:r>
        <w:t xml:space="preserve"> freedom to fit the data. </w:t>
      </w:r>
    </w:p>
    <w:p w14:paraId="4187FC62" w14:textId="18EA01E3" w:rsidR="004D0809" w:rsidRDefault="004D0809" w:rsidP="0004493B"/>
    <w:p w14:paraId="6457237A" w14:textId="584CEFC1" w:rsidR="004D0809" w:rsidRDefault="000C663B" w:rsidP="0004493B">
      <w:r>
        <w:t>Notes:</w:t>
      </w:r>
    </w:p>
    <w:p w14:paraId="5433C64C" w14:textId="49A80CC2" w:rsidR="000C663B" w:rsidRDefault="00575526" w:rsidP="0004493B">
      <w:r>
        <w:t xml:space="preserve">B </w:t>
      </w:r>
      <w:r w:rsidR="000C663B">
        <w:t xml:space="preserve">Length long, amplitude </w:t>
      </w:r>
      <w:r w:rsidR="003D320B">
        <w:t>big, amplitude</w:t>
      </w:r>
      <w:r w:rsidR="000C663B">
        <w:t xml:space="preserve"> small, noise big</w:t>
      </w:r>
      <w:r w:rsidR="002C394D">
        <w:t>, plot of noise and signal</w:t>
      </w:r>
    </w:p>
    <w:p w14:paraId="54614342" w14:textId="0858A09C" w:rsidR="00575526" w:rsidRDefault="00575526" w:rsidP="0004493B">
      <w:r>
        <w:t>Maybe caught by the local minima, no guarantee, convex if few parameters, concave if more parameters</w:t>
      </w:r>
      <w:r w:rsidR="00FE55B0">
        <w:t>. Signal to noise ratio</w:t>
      </w:r>
    </w:p>
    <w:p w14:paraId="58024812" w14:textId="6A93B0C7" w:rsidR="00EA2A7B" w:rsidRDefault="00EA2A7B" w:rsidP="0004493B"/>
    <w:p w14:paraId="3EF1C51E" w14:textId="55D73382" w:rsidR="00EA2A7B" w:rsidRDefault="00EA2A7B" w:rsidP="0004493B">
      <w:r>
        <w:t xml:space="preserve">Additive kernel, flexibility </w:t>
      </w:r>
    </w:p>
    <w:p w14:paraId="3BDFE8BB" w14:textId="17F013FF" w:rsidR="00EA2A7B" w:rsidRDefault="00EA2A7B" w:rsidP="0004493B"/>
    <w:p w14:paraId="148B4C02" w14:textId="77777777" w:rsidR="00170408" w:rsidRDefault="00EA2A7B" w:rsidP="0004493B">
      <w:proofErr w:type="spellStart"/>
      <w:r>
        <w:lastRenderedPageBreak/>
        <w:t>C</w:t>
      </w:r>
      <w:r w:rsidR="005035B3">
        <w:t>heskley</w:t>
      </w:r>
      <w:proofErr w:type="spellEnd"/>
      <w:r>
        <w:t xml:space="preserve"> decomposition positive definite </w:t>
      </w:r>
      <w:r>
        <w:sym w:font="Wingdings" w:char="F0E0"/>
      </w:r>
      <w:r>
        <w:t xml:space="preserve"> positive eigenvalue. </w:t>
      </w:r>
      <w:r w:rsidR="0062093C">
        <w:t xml:space="preserve">If not positive definite, the variance cannot correspond to. The eigenvalue corresponds to the uncertainty. </w:t>
      </w:r>
      <w:r w:rsidR="005035B3">
        <w:t xml:space="preserve">More data, the eigenvalue tends to be smaller. Zero eigenvalue at the two same datapoints, it is not the real degree of freedom. </w:t>
      </w:r>
      <w:r w:rsidR="00446478">
        <w:t>All eigenvalue goes up a bit by adding the identity. ~ adding the noise</w:t>
      </w:r>
      <w:r w:rsidR="001149FF">
        <w:t xml:space="preserve"> to the covariance matrix</w:t>
      </w:r>
      <w:r w:rsidR="00446478">
        <w:t>.</w:t>
      </w:r>
    </w:p>
    <w:p w14:paraId="0A0E9FA5" w14:textId="77777777" w:rsidR="00170408" w:rsidRDefault="00170408" w:rsidP="0004493B"/>
    <w:p w14:paraId="703BCABE" w14:textId="63867E59" w:rsidR="00EA2A7B" w:rsidRDefault="00170408" w:rsidP="0004493B">
      <w:r>
        <w:t xml:space="preserve">Marginal likelihood is hard to compute, but still a valid comparison. </w:t>
      </w:r>
      <w:r w:rsidR="00446478">
        <w:t xml:space="preserve"> </w:t>
      </w:r>
    </w:p>
    <w:p w14:paraId="39AA11E5" w14:textId="4C7D57CE" w:rsidR="00296729" w:rsidRDefault="00296729" w:rsidP="0004493B"/>
    <w:p w14:paraId="7F9E5CF6" w14:textId="39634F8A" w:rsidR="00296729" w:rsidRDefault="00296729" w:rsidP="0004493B">
      <w:r>
        <w:t xml:space="preserve">Noise is often heavy tailed. </w:t>
      </w:r>
    </w:p>
    <w:p w14:paraId="31EF32CE" w14:textId="407CE23A" w:rsidR="001527AC" w:rsidRDefault="001527AC" w:rsidP="0004493B"/>
    <w:p w14:paraId="11FF994C" w14:textId="4DA05284" w:rsidR="001527AC" w:rsidRDefault="001527AC" w:rsidP="0004493B">
      <w:r>
        <w:t xml:space="preserve">Kernel ~ radial </w:t>
      </w:r>
      <w:r w:rsidR="00E35A79">
        <w:t>exp ~ SER</w:t>
      </w:r>
      <w:r w:rsidR="00BF4126">
        <w:t xml:space="preserve"> squared exponential, </w:t>
      </w:r>
      <w:proofErr w:type="spellStart"/>
      <w:r w:rsidR="00BF4126">
        <w:t>istropic</w:t>
      </w:r>
      <w:proofErr w:type="spellEnd"/>
    </w:p>
    <w:p w14:paraId="1A8A7769" w14:textId="4D13A85F" w:rsidR="00B8209D" w:rsidRDefault="00B8209D" w:rsidP="0004493B"/>
    <w:p w14:paraId="062F2B51" w14:textId="17117139" w:rsidR="00B8209D" w:rsidRDefault="00B8209D" w:rsidP="0004493B">
      <w:r>
        <w:t xml:space="preserve">Uncertainty about the hyperparameters … marginal likelihood of hyperparameters difficult to compute, but by Monte Carle method it is possible, </w:t>
      </w:r>
    </w:p>
    <w:p w14:paraId="1331657C" w14:textId="477D05E6" w:rsidR="00FE55B0" w:rsidRDefault="005B4BAE" w:rsidP="0004493B">
      <w:r>
        <w:t>Sparse Gaussian process</w:t>
      </w:r>
    </w:p>
    <w:p w14:paraId="225833C7" w14:textId="2CC7305C" w:rsidR="004C4A6F" w:rsidRDefault="004C4A6F" w:rsidP="0004493B"/>
    <w:p w14:paraId="709715CE" w14:textId="071D9A77" w:rsidR="004C4A6F" w:rsidRDefault="004C4A6F" w:rsidP="0004493B">
      <w:r>
        <w:t>E compares the difference of the predictive means and error bars.</w:t>
      </w:r>
      <w:r w:rsidR="003E6BD8">
        <w:t xml:space="preserve"> </w:t>
      </w:r>
      <w:r w:rsidR="00D60837">
        <w:t>0 in independent</w:t>
      </w:r>
      <w:r w:rsidR="00681DEB">
        <w:t xml:space="preserve">, how close they are. </w:t>
      </w:r>
      <w:r w:rsidR="00E35A66">
        <w:t xml:space="preserve">1 in dependent, close to each other. </w:t>
      </w:r>
    </w:p>
    <w:p w14:paraId="01A67767" w14:textId="45B89DA4" w:rsidR="00FE55B0" w:rsidRPr="00A91302" w:rsidRDefault="00FE55B0" w:rsidP="0004493B"/>
    <w:sectPr w:rsidR="00FE55B0" w:rsidRPr="00A91302" w:rsidSect="00481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D7E7F" w14:textId="77777777" w:rsidR="00253BA4" w:rsidRDefault="00253BA4" w:rsidP="006E4008">
      <w:pPr>
        <w:spacing w:after="0" w:line="240" w:lineRule="auto"/>
      </w:pPr>
      <w:r>
        <w:separator/>
      </w:r>
    </w:p>
  </w:endnote>
  <w:endnote w:type="continuationSeparator" w:id="0">
    <w:p w14:paraId="1593AE10" w14:textId="77777777" w:rsidR="00253BA4" w:rsidRDefault="00253BA4" w:rsidP="006E4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8AA8B" w14:textId="77777777" w:rsidR="00253BA4" w:rsidRDefault="00253BA4" w:rsidP="006E4008">
      <w:pPr>
        <w:spacing w:after="0" w:line="240" w:lineRule="auto"/>
      </w:pPr>
      <w:r>
        <w:separator/>
      </w:r>
    </w:p>
  </w:footnote>
  <w:footnote w:type="continuationSeparator" w:id="0">
    <w:p w14:paraId="4BBAA423" w14:textId="77777777" w:rsidR="00253BA4" w:rsidRDefault="00253BA4" w:rsidP="006E4008">
      <w:pPr>
        <w:spacing w:after="0" w:line="240" w:lineRule="auto"/>
      </w:pPr>
      <w:r>
        <w:continuationSeparator/>
      </w:r>
    </w:p>
  </w:footnote>
  <w:footnote w:id="1">
    <w:p w14:paraId="47140A58" w14:textId="3EE756D9" w:rsidR="006E4008" w:rsidRDefault="006E40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66D7C">
        <w:t xml:space="preserve"> Squared-exponential </w:t>
      </w:r>
      <w:r w:rsidR="006B7D5F">
        <w:t xml:space="preserve">covariance </w:t>
      </w:r>
      <w:r w:rsidR="00966D7C">
        <w:t>kernel equation</w:t>
      </w:r>
      <w:r w:rsidR="006B7D5F">
        <w:t xml:space="preserve">, where </w:t>
      </w:r>
      <m:oMath>
        <m:r>
          <w:rPr>
            <w:rFonts w:ascii="Cambria Math" w:hAnsi="Cambria Math"/>
          </w:rPr>
          <m:t>v</m:t>
        </m:r>
      </m:oMath>
      <w:r w:rsidR="006B7D5F">
        <w:t xml:space="preserve"> the standard deviation of the signal,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noise</m:t>
            </m:r>
          </m:sub>
          <m:sup/>
        </m:sSubSup>
      </m:oMath>
      <w:r w:rsidR="006B7D5F">
        <w:t xml:space="preserve"> the standard deviation of the noise and </w:t>
      </w:r>
      <m:oMath>
        <m:r>
          <w:rPr>
            <w:rFonts w:ascii="Cambria Math" w:hAnsi="Cambria Math"/>
          </w:rPr>
          <m:t>l</m:t>
        </m:r>
      </m:oMath>
      <w:r w:rsidR="006B7D5F">
        <w:t xml:space="preserve"> the characteristic length scale.</w:t>
      </w:r>
    </w:p>
  </w:footnote>
  <w:footnote w:id="2">
    <w:p w14:paraId="49270DD5" w14:textId="32F0EF22" w:rsidR="006E4008" w:rsidRDefault="006E40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055FE">
        <w:t xml:space="preserve">Periodic covariance kernel equation, where </w:t>
      </w:r>
      <m:oMath>
        <m:r>
          <w:rPr>
            <w:rFonts w:ascii="Cambria Math" w:hAnsi="Cambria Math"/>
          </w:rPr>
          <m:t>v</m:t>
        </m:r>
      </m:oMath>
      <w:r w:rsidR="00E055FE">
        <w:t xml:space="preserve"> </w:t>
      </w:r>
      <w:r w:rsidR="00EF7197">
        <w:t xml:space="preserve">is </w:t>
      </w:r>
      <w:r w:rsidR="00E055FE">
        <w:t xml:space="preserve">the standard deviation of the signal,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noise</m:t>
            </m:r>
          </m:sub>
          <m:sup/>
        </m:sSubSup>
      </m:oMath>
      <w:r w:rsidR="00E055FE">
        <w:t xml:space="preserve"> the standard deviation of the noise, </w:t>
      </w:r>
      <m:oMath>
        <m:r>
          <w:rPr>
            <w:rFonts w:ascii="Cambria Math" w:hAnsi="Cambria Math"/>
          </w:rPr>
          <m:t>p</m:t>
        </m:r>
      </m:oMath>
      <w:r w:rsidR="00E055FE">
        <w:t xml:space="preserve"> the period and </w:t>
      </w:r>
      <m:oMath>
        <m:r>
          <w:rPr>
            <w:rFonts w:ascii="Cambria Math" w:hAnsi="Cambria Math"/>
          </w:rPr>
          <m:t>l</m:t>
        </m:r>
      </m:oMath>
      <w:r w:rsidR="00E055FE">
        <w:t xml:space="preserve"> the characteristic length scale.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5C38"/>
    <w:multiLevelType w:val="hybridMultilevel"/>
    <w:tmpl w:val="1F4C0F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28"/>
    <w:rsid w:val="00021507"/>
    <w:rsid w:val="0002446E"/>
    <w:rsid w:val="00024A7E"/>
    <w:rsid w:val="0003058E"/>
    <w:rsid w:val="000331FB"/>
    <w:rsid w:val="00033337"/>
    <w:rsid w:val="0004493B"/>
    <w:rsid w:val="000509AC"/>
    <w:rsid w:val="00071A75"/>
    <w:rsid w:val="00090BC5"/>
    <w:rsid w:val="00093975"/>
    <w:rsid w:val="000A20C3"/>
    <w:rsid w:val="000C663B"/>
    <w:rsid w:val="000F31C8"/>
    <w:rsid w:val="001115D8"/>
    <w:rsid w:val="001149FF"/>
    <w:rsid w:val="001200B9"/>
    <w:rsid w:val="001527AC"/>
    <w:rsid w:val="00166A20"/>
    <w:rsid w:val="00170408"/>
    <w:rsid w:val="001A6142"/>
    <w:rsid w:val="001B28B8"/>
    <w:rsid w:val="001B6A3A"/>
    <w:rsid w:val="001D68D0"/>
    <w:rsid w:val="001E7F77"/>
    <w:rsid w:val="0020559E"/>
    <w:rsid w:val="00253BA4"/>
    <w:rsid w:val="00282FCB"/>
    <w:rsid w:val="00296729"/>
    <w:rsid w:val="00297E26"/>
    <w:rsid w:val="002B221D"/>
    <w:rsid w:val="002C394D"/>
    <w:rsid w:val="002D7CC9"/>
    <w:rsid w:val="002E45CD"/>
    <w:rsid w:val="00316021"/>
    <w:rsid w:val="003311D1"/>
    <w:rsid w:val="0034497B"/>
    <w:rsid w:val="00390ABA"/>
    <w:rsid w:val="0039279C"/>
    <w:rsid w:val="003A1ADA"/>
    <w:rsid w:val="003A6967"/>
    <w:rsid w:val="003A77A5"/>
    <w:rsid w:val="003C3239"/>
    <w:rsid w:val="003C5AC8"/>
    <w:rsid w:val="003D26A5"/>
    <w:rsid w:val="003D320B"/>
    <w:rsid w:val="003E2FCF"/>
    <w:rsid w:val="003E6BD8"/>
    <w:rsid w:val="003E7363"/>
    <w:rsid w:val="003F1876"/>
    <w:rsid w:val="00401C97"/>
    <w:rsid w:val="004037D0"/>
    <w:rsid w:val="00404CF8"/>
    <w:rsid w:val="00411A28"/>
    <w:rsid w:val="004130B9"/>
    <w:rsid w:val="00424C47"/>
    <w:rsid w:val="00434A00"/>
    <w:rsid w:val="00437E64"/>
    <w:rsid w:val="004433B7"/>
    <w:rsid w:val="00446478"/>
    <w:rsid w:val="00446ED8"/>
    <w:rsid w:val="00476A05"/>
    <w:rsid w:val="00481AAB"/>
    <w:rsid w:val="00482672"/>
    <w:rsid w:val="004A7BB1"/>
    <w:rsid w:val="004C4A6F"/>
    <w:rsid w:val="004D0809"/>
    <w:rsid w:val="004D4293"/>
    <w:rsid w:val="004D4BCD"/>
    <w:rsid w:val="005035B3"/>
    <w:rsid w:val="00564CA0"/>
    <w:rsid w:val="00575526"/>
    <w:rsid w:val="005B1628"/>
    <w:rsid w:val="005B4BAE"/>
    <w:rsid w:val="005B662F"/>
    <w:rsid w:val="005C2D45"/>
    <w:rsid w:val="005E2F1B"/>
    <w:rsid w:val="006066A1"/>
    <w:rsid w:val="0062093C"/>
    <w:rsid w:val="006226DE"/>
    <w:rsid w:val="00662DCD"/>
    <w:rsid w:val="00664DDA"/>
    <w:rsid w:val="00681DEB"/>
    <w:rsid w:val="006B03A4"/>
    <w:rsid w:val="006B7C79"/>
    <w:rsid w:val="006B7D5F"/>
    <w:rsid w:val="006D2B1E"/>
    <w:rsid w:val="006E4008"/>
    <w:rsid w:val="007005CE"/>
    <w:rsid w:val="00701F75"/>
    <w:rsid w:val="00707232"/>
    <w:rsid w:val="00746D92"/>
    <w:rsid w:val="0074721E"/>
    <w:rsid w:val="00764D06"/>
    <w:rsid w:val="00767BB8"/>
    <w:rsid w:val="00782C7C"/>
    <w:rsid w:val="0079429A"/>
    <w:rsid w:val="007A00C9"/>
    <w:rsid w:val="007B367D"/>
    <w:rsid w:val="007B6DC6"/>
    <w:rsid w:val="00804415"/>
    <w:rsid w:val="008247D1"/>
    <w:rsid w:val="00836347"/>
    <w:rsid w:val="00845DA7"/>
    <w:rsid w:val="008556CD"/>
    <w:rsid w:val="008808C1"/>
    <w:rsid w:val="00894C3C"/>
    <w:rsid w:val="008A0589"/>
    <w:rsid w:val="008E1325"/>
    <w:rsid w:val="009005F9"/>
    <w:rsid w:val="009040E4"/>
    <w:rsid w:val="00912394"/>
    <w:rsid w:val="00914155"/>
    <w:rsid w:val="0092022C"/>
    <w:rsid w:val="009333FD"/>
    <w:rsid w:val="00947604"/>
    <w:rsid w:val="009601AB"/>
    <w:rsid w:val="00966D7C"/>
    <w:rsid w:val="00990D91"/>
    <w:rsid w:val="009A11AC"/>
    <w:rsid w:val="009B5F1D"/>
    <w:rsid w:val="009C0962"/>
    <w:rsid w:val="009E0831"/>
    <w:rsid w:val="009E2607"/>
    <w:rsid w:val="009F20D8"/>
    <w:rsid w:val="00A17140"/>
    <w:rsid w:val="00A24DE7"/>
    <w:rsid w:val="00A37439"/>
    <w:rsid w:val="00A57EA3"/>
    <w:rsid w:val="00A64445"/>
    <w:rsid w:val="00A91302"/>
    <w:rsid w:val="00AA06A8"/>
    <w:rsid w:val="00AD645B"/>
    <w:rsid w:val="00B34047"/>
    <w:rsid w:val="00B35D6B"/>
    <w:rsid w:val="00B41F00"/>
    <w:rsid w:val="00B509DB"/>
    <w:rsid w:val="00B8209D"/>
    <w:rsid w:val="00B87289"/>
    <w:rsid w:val="00BC0B24"/>
    <w:rsid w:val="00BD5E94"/>
    <w:rsid w:val="00BF4126"/>
    <w:rsid w:val="00C11B7D"/>
    <w:rsid w:val="00C2006C"/>
    <w:rsid w:val="00C30383"/>
    <w:rsid w:val="00C303E7"/>
    <w:rsid w:val="00C34C67"/>
    <w:rsid w:val="00C40014"/>
    <w:rsid w:val="00C5142B"/>
    <w:rsid w:val="00CC5E1B"/>
    <w:rsid w:val="00CD11E3"/>
    <w:rsid w:val="00CE01A0"/>
    <w:rsid w:val="00D0028A"/>
    <w:rsid w:val="00D05E4F"/>
    <w:rsid w:val="00D417FF"/>
    <w:rsid w:val="00D446BB"/>
    <w:rsid w:val="00D4787B"/>
    <w:rsid w:val="00D60837"/>
    <w:rsid w:val="00D64155"/>
    <w:rsid w:val="00D85410"/>
    <w:rsid w:val="00D9359F"/>
    <w:rsid w:val="00DA7A5C"/>
    <w:rsid w:val="00DD5F13"/>
    <w:rsid w:val="00DD65F6"/>
    <w:rsid w:val="00DF0A94"/>
    <w:rsid w:val="00E055FE"/>
    <w:rsid w:val="00E138A8"/>
    <w:rsid w:val="00E20494"/>
    <w:rsid w:val="00E2423D"/>
    <w:rsid w:val="00E35A66"/>
    <w:rsid w:val="00E35A79"/>
    <w:rsid w:val="00E43E00"/>
    <w:rsid w:val="00EA2A7B"/>
    <w:rsid w:val="00EF7197"/>
    <w:rsid w:val="00F2456A"/>
    <w:rsid w:val="00F24A89"/>
    <w:rsid w:val="00F453B1"/>
    <w:rsid w:val="00F57E07"/>
    <w:rsid w:val="00F63619"/>
    <w:rsid w:val="00F80926"/>
    <w:rsid w:val="00FA1CA4"/>
    <w:rsid w:val="00FE4205"/>
    <w:rsid w:val="00FE55B0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3938"/>
  <w15:chartTrackingRefBased/>
  <w15:docId w15:val="{ECDCA7A0-A036-4C46-9B41-91ECAE0D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A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7E64"/>
    <w:rPr>
      <w:color w:val="808080"/>
    </w:rPr>
  </w:style>
  <w:style w:type="table" w:styleId="TableGrid">
    <w:name w:val="Table Grid"/>
    <w:basedOn w:val="TableNormal"/>
    <w:uiPriority w:val="39"/>
    <w:rsid w:val="003A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303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130B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4130B9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400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400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400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40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40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400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B2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2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2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2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2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79087-AC4D-4542-A5BB-7E58E7EE9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5</Pages>
  <Words>1158</Words>
  <Characters>5969</Characters>
  <Application>Microsoft Office Word</Application>
  <DocSecurity>0</DocSecurity>
  <Lines>248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Leo</dc:creator>
  <cp:keywords/>
  <dc:description/>
  <cp:lastModifiedBy>Leung Leo</cp:lastModifiedBy>
  <cp:revision>168</cp:revision>
  <dcterms:created xsi:type="dcterms:W3CDTF">2018-10-21T16:41:00Z</dcterms:created>
  <dcterms:modified xsi:type="dcterms:W3CDTF">2018-10-27T00:27:00Z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c7f5378d-ca91-3d91-83a0-541a58b6304c</vt:lpwstr>
  </property>
</Properties>
</file>