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44"/>
        </w:rPr>
        <w:t>2026年五一假期航班收益分析报告</w:t>
      </w:r>
    </w:p>
    <w:p>
      <w:pPr>
        <w:jc w:val="center"/>
      </w:pPr>
      <w:r>
        <w:rPr>
          <w:color w:val="7F8C8D"/>
          <w:sz w:val="24"/>
        </w:rPr>
        <w:t>2026 May Day Holiday Flight Revenue Analysis</w:t>
      </w: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b/>
          <w:color w:val="2C3E50"/>
          <w:sz w:val="20"/>
        </w:rPr>
        <w:t>作者：</w:t>
      </w:r>
      <w:r>
        <w:rPr>
          <w:color w:val="000000"/>
          <w:sz w:val="20"/>
        </w:rPr>
        <w:t>数字化办公室-AI</w:t>
      </w:r>
    </w:p>
    <w:p>
      <w:pPr>
        <w:jc w:val="center"/>
      </w:pPr>
      <w:r>
        <w:rPr>
          <w:b/>
          <w:color w:val="2C3E50"/>
          <w:sz w:val="20"/>
        </w:rPr>
        <w:t>日期：</w:t>
      </w:r>
      <w:r>
        <w:rPr>
          <w:color w:val="000000"/>
          <w:sz w:val="20"/>
        </w:rPr>
        <w:t>2026-05-08</w:t>
      </w:r>
    </w:p>
    <w:p>
      <w:pPr>
        <w:jc w:val="center"/>
      </w:pPr>
      <w:r>
        <w:rPr>
          <w:b/>
          <w:color w:val="2C3E50"/>
          <w:sz w:val="20"/>
        </w:rPr>
        <w:t>数据来源：</w:t>
      </w:r>
      <w:r>
        <w:rPr>
          <w:color w:val="000000"/>
          <w:sz w:val="20"/>
        </w:rPr>
        <w:t>航班收益快报明细.xlsx</w:t>
      </w:r>
    </w:p>
    <w:p>
      <w:pPr>
        <w:jc w:val="center"/>
      </w:pPr>
      <w:r>
        <w:rPr>
          <w:b/>
          <w:color w:val="2C3E50"/>
          <w:sz w:val="20"/>
        </w:rPr>
        <w:t>分析模型：</w:t>
      </w:r>
      <w:r>
        <w:rPr>
          <w:color w:val="000000"/>
          <w:sz w:val="20"/>
        </w:rPr>
        <w:t>Qwen3-VL-235B-A22B-Instruct-AWQ（本地私有化大模型）</w:t>
      </w:r>
    </w:p>
    <w:p>
      <w:pPr>
        <w:jc w:val="center"/>
      </w:pPr>
      <w:r>
        <w:rPr>
          <w:b/>
          <w:color w:val="2C3E50"/>
          <w:sz w:val="20"/>
        </w:rPr>
        <w:t>输出目录：</w:t>
      </w:r>
      <w:r>
        <w:rPr>
          <w:color w:val="000000"/>
          <w:sz w:val="20"/>
        </w:rPr>
        <w:t>data-analysis-local/航班收益五一分析-20260508/</w:t>
      </w:r>
    </w:p>
    <w:p>
      <w:r>
        <w:br w:type="page"/>
      </w:r>
    </w:p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一、执行摘要</w:t>
      </w:r>
    </w:p>
    <w:p>
      <w:pPr>
        <w:spacing w:after="120"/>
      </w:pPr>
      <w:r>
        <w:rPr>
          <w:sz w:val="20"/>
        </w:rPr>
        <w:t>2026年五一假期春秋航空实现营收6.49亿元，同比增长19.3%，客座率94.5%创同期新高。但航班收益同比下滑26.6%，反映票价承压与成本高企。国际航线贡献显著，大阪、曼谷线收益突出，但部分航线出现亏损，需优化定价与成本结构。</w:t>
      </w:r>
    </w:p>
    <w:p>
      <w:pPr>
        <w:spacing w:before="200" w:after="80"/>
      </w:pPr>
      <w:r>
        <w:rPr>
          <w:b/>
          <w:color w:val="2980B9"/>
          <w:sz w:val="24"/>
        </w:rPr>
        <w:t>核心指标总览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同比变化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营业收入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6.49亿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+19.3%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强劲增长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航班架次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4,164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+8.7%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稳步增长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旅客人数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726,731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+11.2%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两位数增长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平均客座率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94.5%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+1.2pct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高位稳定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航班收益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9354万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-26.6%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收益承压</w:t>
            </w:r>
          </w:p>
        </w:tc>
      </w:tr>
    </w:tbl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二、关键发现</w:t>
      </w:r>
    </w:p>
    <w:p>
      <w:pPr>
        <w:spacing w:after="120"/>
      </w:pPr>
      <w:r>
        <w:rPr>
          <w:b/>
          <w:color w:val="2C3E50"/>
          <w:sz w:val="20"/>
        </w:rPr>
        <w:t>• 以量补价策略边际效益递减：</w:t>
      </w:r>
      <w:r>
        <w:rPr>
          <w:sz w:val="20"/>
        </w:rPr>
        <w:t>客座率提升但收益下滑，收入增速（+19.3%）显著高于运力增速（+8.7%），却未能转化为相应收益增长，反映高客座率下的票价压力与成本刚性。</w:t>
      </w:r>
    </w:p>
    <w:p>
      <w:pPr>
        <w:spacing w:after="120"/>
      </w:pPr>
      <w:r>
        <w:rPr>
          <w:b/>
          <w:color w:val="2C3E50"/>
          <w:sz w:val="20"/>
        </w:rPr>
        <w:t>• 国际航线成为盈利支柱但分化明显：</w:t>
      </w:r>
      <w:r>
        <w:rPr>
          <w:sz w:val="20"/>
        </w:rPr>
        <w:t>大阪线单航收益超600万，为盈利支柱；曼谷航线收入高但出现亏损，显示国际航线需精细化收益管理。</w:t>
      </w:r>
    </w:p>
    <w:p>
      <w:pPr>
        <w:spacing w:after="120"/>
      </w:pPr>
      <w:r>
        <w:rPr>
          <w:b/>
          <w:color w:val="2C3E50"/>
          <w:sz w:val="20"/>
        </w:rPr>
        <w:t>• 假期低谷期出现收益亏损：</w:t>
      </w:r>
      <w:r>
        <w:rPr>
          <w:sz w:val="20"/>
        </w:rPr>
        <w:t>5月2-3日客座率维持高位但收益为负，定价策略与成本结构在低谷期协同失效。</w:t>
      </w:r>
    </w:p>
    <w:p>
      <w:pPr>
        <w:spacing w:after="120"/>
      </w:pPr>
      <w:r>
        <w:rPr>
          <w:b/>
          <w:color w:val="2C3E50"/>
          <w:sz w:val="20"/>
        </w:rPr>
        <w:t>• 航油成本高企压缩利润空间：</w:t>
      </w:r>
      <w:r>
        <w:rPr>
          <w:sz w:val="20"/>
        </w:rPr>
        <w:t>航油成本占总成本46.1%，油价波动对利润挤压显著，需探索成本对冲机制。</w:t>
      </w:r>
    </w:p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三、每日运营明细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架次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旅客人数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客座率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航班收益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04-30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1.08亿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105,067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94.9%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2673万</w:t>
            </w:r>
          </w:p>
        </w:tc>
      </w:tr>
      <w:tr>
        <w:tc>
          <w:tcPr>
            <w:tcW w:type="dxa" w:w="124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598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1.05亿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105,332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95.4%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2503万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7712万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103,224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94.5%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-62万</w:t>
            </w:r>
          </w:p>
        </w:tc>
      </w:tr>
      <w:tr>
        <w:tc>
          <w:tcPr>
            <w:tcW w:type="dxa" w:w="124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05-03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591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7359万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101,868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93.6%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-423万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9063万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103,267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93.9%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1185万</w:t>
            </w:r>
          </w:p>
        </w:tc>
      </w:tr>
      <w:tr>
        <w:tc>
          <w:tcPr>
            <w:tcW w:type="dxa" w:w="124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05-05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604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1.11亿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104,958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93.8%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2968万</w:t>
            </w:r>
          </w:p>
        </w:tc>
      </w:tr>
      <w:tr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05-06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587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8381万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103,015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95.4%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510万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980B9"/>
          <w:sz w:val="24"/>
        </w:rPr>
        <w:t>出行节奏分析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架次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旅客人数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平均客座率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出发高峰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4.30-5.1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1196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2.13亿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210,399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95.1%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假期低谷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5.2-5.3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1182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1.51亿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205,092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94.1%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返程高峰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5.5-5.6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1191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1.95亿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207,973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94.6%</w:t>
            </w:r>
          </w:p>
        </w:tc>
      </w:tr>
    </w:tbl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四、航线与基地分析</w:t>
      </w:r>
    </w:p>
    <w:p>
      <w:pPr>
        <w:spacing w:before="200" w:after="80"/>
      </w:pPr>
      <w:r>
        <w:rPr>
          <w:b/>
          <w:color w:val="2980B9"/>
          <w:sz w:val="24"/>
        </w:rPr>
        <w:t>4.1 航线性质分类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航线性质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航班架次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旅客人数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平均客座率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收入占比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国内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3423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4.84亿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596,642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94.7%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74.6%</w:t>
            </w:r>
          </w:p>
        </w:tc>
      </w:tr>
      <w:tr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区域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551万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6,182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92.5%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0.8%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国际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705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1.60亿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123,907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93.9%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24.6%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980B9"/>
          <w:sz w:val="24"/>
        </w:rPr>
        <w:t>4.2 基地排名TOP5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80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基地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架次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旅客人数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平均客座率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浦东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923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1.81亿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163,043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94.9%</w:t>
            </w:r>
          </w:p>
        </w:tc>
      </w:tr>
      <w:tr>
        <w:tc>
          <w:tcPr>
            <w:tcW w:type="dxa" w:w="680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虹桥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557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9864万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112,859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96.2%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宁波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322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4655万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53,330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93.9%</w:t>
            </w:r>
          </w:p>
        </w:tc>
      </w:tr>
      <w:tr>
        <w:tc>
          <w:tcPr>
            <w:tcW w:type="dxa" w:w="680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兰州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352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4531万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60,228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94.4%</w:t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石家庄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331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4070万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57,388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94.9%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980B9"/>
          <w:sz w:val="24"/>
        </w:rPr>
        <w:t>4.3 航线排名TOP10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航线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架次</w:t>
            </w:r>
          </w:p>
        </w:tc>
        <w:tc>
          <w:tcPr>
            <w:tcW w:type="dxa" w:w="158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旅客人数</w:t>
            </w:r>
          </w:p>
        </w:tc>
        <w:tc>
          <w:tcPr>
            <w:tcW w:type="dxa" w:w="113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客座率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航班收益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大阪---浦东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908万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4,960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98.9%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601万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曼谷-浦东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58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861万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6,351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98.4%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117万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广州---虹桥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821万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9,329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96.7%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324万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浦东-曼谷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58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819万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6,321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98.5%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-48万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深圳---虹桥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794万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8,894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309万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浦东---大阪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58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750万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4,934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98.4%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454万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虹桥---广州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716万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9,296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96.4%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162万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虹桥---深圳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58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713万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8,836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97.4%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171万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浦东---济州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621万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5,194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94.0%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349万</w:t>
            </w:r>
          </w:p>
        </w:tc>
      </w:tr>
      <w:tr>
        <w:tc>
          <w:tcPr>
            <w:tcW w:type="dxa" w:w="56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济州---浦东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58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612万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5,048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91.4%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371万</w:t>
            </w:r>
          </w:p>
        </w:tc>
      </w:tr>
    </w:tbl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五、成本结构分析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成本项目</w:t>
            </w:r>
          </w:p>
        </w:tc>
        <w:tc>
          <w:tcPr>
            <w:tcW w:type="dxa" w:w="1984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1417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占总成本比</w:t>
            </w:r>
          </w:p>
        </w:tc>
        <w:tc>
          <w:tcPr>
            <w:tcW w:type="dxa" w:w="340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变动成本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3.91亿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75.8%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燃油、起降、维修等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固定成本费用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1.25亿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24.2%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固定小时成本×轮档小时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航油费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2.38亿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46.1%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主要成本驱动因素</w:t>
            </w:r>
          </w:p>
        </w:tc>
      </w:tr>
      <w:tr>
        <w:tc>
          <w:tcPr>
            <w:tcW w:type="dxa" w:w="1701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起降费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7214万</w:t>
            </w:r>
          </w:p>
        </w:tc>
        <w:tc>
          <w:tcPr>
            <w:tcW w:type="dxa" w:w="1417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14.0%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含航路费+机场费+旅客服务费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成本合计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5.15亿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变动+固定成本合计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7F8C8D"/>
          <w:sz w:val="16"/>
        </w:rPr>
        <w:t>▶ 成本关注：变动成本占总成本75.8%，航油费占成本总额46.1%，油价波动对收益影响显著，需持续关注国际油价走势。</w:t>
      </w:r>
    </w:p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六、风险提示</w:t>
      </w:r>
    </w:p>
    <w:p>
      <w:pPr>
        <w:spacing w:after="120"/>
      </w:pPr>
      <w:r>
        <w:rPr>
          <w:b/>
          <w:color w:val="C0392B"/>
          <w:sz w:val="20"/>
        </w:rPr>
        <w:t>• 票价下行压力持续：</w:t>
      </w:r>
      <w:r>
        <w:rPr>
          <w:sz w:val="20"/>
        </w:rPr>
        <w:t>高客座率未能有效转化为收益增长，票价承压；若客座率无法维持高位，收益将持续下滑。</w:t>
      </w:r>
    </w:p>
    <w:p>
      <w:pPr>
        <w:spacing w:after="120"/>
      </w:pPr>
      <w:r>
        <w:rPr>
          <w:b/>
          <w:color w:val="C0392B"/>
          <w:sz w:val="20"/>
        </w:rPr>
        <w:t>• 国际航线依赖度高：</w:t>
      </w:r>
      <w:r>
        <w:rPr>
          <w:sz w:val="20"/>
        </w:rPr>
        <w:t>大阪、曼谷等国际航线贡献显著，但地缘或政策变动易引发收益波动，需分散风险。</w:t>
      </w:r>
    </w:p>
    <w:p>
      <w:pPr>
        <w:spacing w:after="120"/>
      </w:pPr>
      <w:r>
        <w:rPr>
          <w:b/>
          <w:color w:val="C0392B"/>
          <w:sz w:val="20"/>
        </w:rPr>
        <w:t>• 航油成本刚性：</w:t>
      </w:r>
      <w:r>
        <w:rPr>
          <w:sz w:val="20"/>
        </w:rPr>
        <w:t>航油成本占比46.1%，若油价上行将大幅压缩利润空间，需探索对冲机制。</w:t>
      </w:r>
    </w:p>
    <w:p>
      <w:pPr>
        <w:spacing w:before="280" w:after="120"/>
        <w:jc w:val="left"/>
        <w:pBdr>
          <w:bottom w:val="single" w:sz="6" w:space="1" w:color="1A5276"/>
        </w:pBdr>
      </w:pPr>
      <w:r>
        <w:rPr>
          <w:b/>
          <w:color w:val="1A5276"/>
          <w:sz w:val="28"/>
        </w:rPr>
        <w:t>七、下一步建议</w:t>
      </w:r>
    </w:p>
    <w:p>
      <w:pPr>
        <w:spacing w:after="120"/>
      </w:pPr>
      <w:r>
        <w:rPr>
          <w:b/>
          <w:color w:val="1A5276"/>
          <w:sz w:val="20"/>
        </w:rPr>
        <w:t>1. 优化动态定价与会员分层：</w:t>
      </w:r>
      <w:r>
        <w:rPr>
          <w:sz w:val="20"/>
        </w:rPr>
        <w:t>推出动态定价+会员分层产品，提升高价值旅客贡献，改善客座率与收益的转化效率。</w:t>
      </w:r>
    </w:p>
    <w:p>
      <w:pPr>
        <w:spacing w:after="120"/>
      </w:pPr>
      <w:r>
        <w:rPr>
          <w:b/>
          <w:color w:val="1A5276"/>
          <w:sz w:val="20"/>
        </w:rPr>
        <w:t>2. 强化低谷期成本控制：</w:t>
      </w:r>
      <w:r>
        <w:rPr>
          <w:sz w:val="20"/>
        </w:rPr>
        <w:t>优化5月2-3日低谷期航线排班，减少亏损航班，通过早鸟折扣提升利用率。</w:t>
      </w:r>
    </w:p>
    <w:p>
      <w:pPr>
        <w:spacing w:after="120"/>
      </w:pPr>
      <w:r>
        <w:rPr>
          <w:b/>
          <w:color w:val="1A5276"/>
          <w:sz w:val="20"/>
        </w:rPr>
        <w:t>3. 推进航油成本对冲：</w:t>
      </w:r>
      <w:r>
        <w:rPr>
          <w:sz w:val="20"/>
        </w:rPr>
        <w:t>与航油供应商签订套期保值协议，对冲油价波动风险，锁定部分成本。</w:t>
      </w:r>
    </w:p>
    <w:p>
      <w:pPr>
        <w:spacing w:after="120"/>
      </w:pPr>
      <w:r>
        <w:rPr>
          <w:b/>
          <w:color w:val="1A5276"/>
          <w:sz w:val="20"/>
        </w:rPr>
        <w:t>4. 深化国际航线收益管理：</w:t>
      </w:r>
      <w:r>
        <w:rPr>
          <w:sz w:val="20"/>
        </w:rPr>
        <w:t>复制大阪线成功模式，提升曼谷等高收益航线占比，同时优化亏损航线定价。</w:t>
      </w:r>
    </w:p>
    <w:p>
      <w:pPr>
        <w:spacing w:after="40"/>
      </w:pPr>
    </w:p>
    <w:p>
      <w:pPr>
        <w:spacing w:before="160"/>
        <w:jc w:val="center"/>
      </w:pPr>
      <w:r>
        <w:rPr>
          <w:b/>
          <w:color w:val="2C3E50"/>
          <w:sz w:val="20"/>
        </w:rPr>
        <w:t>五一假期整体运营表现稳健，收入增长强劲，但利润端受成本制约。建议公司聚焦收益精细化管理与成本弹性优化，实现高上座率向高收益的转化。</w:t>
      </w:r>
    </w:p>
    <w:p>
      <w:pPr>
        <w:spacing w:after="40"/>
      </w:pPr>
    </w:p>
    <w:p>
      <w:pPr>
        <w:jc w:val="center"/>
      </w:pPr>
      <w:r>
        <w:rPr>
          <w:i/>
          <w:color w:val="7F8C8D"/>
          <w:sz w:val="16"/>
        </w:rPr>
        <w:t>本报告由本地大模型分析系统自动生成  |  数据来源：航班收益快报明细.xlsx  |  分析日期：2026-05-08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