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Dash</w:t>
      </w:r>
    </w:p>
    <w:p>
      <w:pPr>
        <w:bidi w:val="0"/>
        <w:rPr>
          <w:lang w:eastAsia="zh-CN"/>
        </w:rPr>
      </w:pPr>
      <w:r>
        <w:rPr>
          <w:lang w:val="en-US" w:eastAsia="zh-CN"/>
        </w:rPr>
        <w:t>DASH（Dynamic Adaptive Streaming over HTTP）即自适应流媒体传输</w:t>
      </w:r>
      <w:r>
        <w:rPr>
          <w:lang w:eastAsia="zh-CN"/>
        </w:rPr>
        <w:t>.</w:t>
      </w:r>
    </w:p>
    <w:p>
      <w:pPr>
        <w:bidi w:val="0"/>
        <w:rPr>
          <w:lang w:eastAsia="zh-CN"/>
        </w:rPr>
      </w:pPr>
    </w:p>
    <w:p>
      <w:pPr>
        <w:bidi w:val="0"/>
        <w:rPr>
          <w:lang w:val="en-US" w:eastAsia="zh-CN"/>
        </w:rPr>
      </w:pPr>
      <w:r>
        <w:rPr>
          <w:lang w:val="en-US" w:eastAsia="zh-CN"/>
        </w:rPr>
        <w:t>简单概括来说，就是在服务器端提前存好同一内容的不同码率、不同分辨率的多个分片以及相应的描述文件MPD，客户端在播放时即可以根据自身性能以及网络环境选择最适宜的版本。</w:t>
      </w:r>
    </w:p>
    <w:p>
      <w:pPr>
        <w:bidi w:val="0"/>
        <w:rPr>
          <w:lang w:val="en-US" w:eastAsia="zh-CN"/>
        </w:rPr>
      </w:pPr>
    </w:p>
    <w:p>
      <w:pPr>
        <w:bidi w:val="0"/>
        <w:rPr>
          <w:rFonts w:hint="eastAsia"/>
          <w:lang w:val="en-US" w:eastAsia="zh-CN"/>
        </w:rPr>
      </w:pPr>
      <w:r>
        <w:rPr>
          <w:rFonts w:hint="eastAsia"/>
          <w:lang w:val="en-US" w:eastAsia="zh-CN"/>
        </w:rPr>
        <w:t>引入XXXX后，（对照竞品）网页端的视频观看体验存在以下问题：</w:t>
      </w:r>
    </w:p>
    <w:p>
      <w:pPr>
        <w:bidi w:val="0"/>
        <w:rPr>
          <w:rFonts w:hint="eastAsia"/>
          <w:lang w:val="en-US" w:eastAsia="zh-CN"/>
        </w:rPr>
      </w:pPr>
      <w:r>
        <w:rPr>
          <w:rFonts w:hint="eastAsia"/>
          <w:lang w:val="en-US" w:eastAsia="zh-CN"/>
        </w:rPr>
        <w:t>1. 切换画质（1080P/高清/标清）时，播放器会黑屏，并回退到关键帧重新播放。</w:t>
      </w:r>
    </w:p>
    <w:p>
      <w:pPr>
        <w:bidi w:val="0"/>
        <w:rPr>
          <w:rFonts w:hint="eastAsia"/>
          <w:lang w:val="en-US" w:eastAsia="zh-CN"/>
        </w:rPr>
      </w:pPr>
      <w:r>
        <w:rPr>
          <w:rFonts w:hint="eastAsia"/>
          <w:lang w:val="en-US" w:eastAsia="zh-CN"/>
        </w:rPr>
        <w:t>2. 不能根据网络状况自适应调整码率（YouTube默认启用自适应码率，对照画质选项中的“Auto”）</w:t>
      </w:r>
    </w:p>
    <w:p>
      <w:pPr>
        <w:bidi w:val="0"/>
        <w:rPr>
          <w:rFonts w:hint="eastAsia"/>
          <w:lang w:val="en-US" w:eastAsia="zh-CN"/>
        </w:rPr>
      </w:pPr>
    </w:p>
    <w:p>
      <w:pPr>
        <w:bidi w:val="0"/>
        <w:rPr>
          <w:lang w:eastAsia="zh-CN"/>
        </w:rPr>
      </w:pPr>
    </w:p>
    <w:p>
      <w:r>
        <w:t>Dash</w:t>
      </w:r>
    </w:p>
    <w:p>
      <w:pPr>
        <w:bidi w:val="0"/>
        <w:rPr>
          <w:rFonts w:hint="eastAsia"/>
        </w:rPr>
      </w:pPr>
      <w:r>
        <w:rPr>
          <w:rFonts w:hint="eastAsia"/>
        </w:rPr>
        <w:t>引入XXXX后，（对照竞品）网页端的视频观看体验存在以下问题：</w:t>
      </w:r>
    </w:p>
    <w:p>
      <w:pPr>
        <w:bidi w:val="0"/>
        <w:rPr>
          <w:rFonts w:hint="eastAsia"/>
        </w:rPr>
      </w:pPr>
      <w:r>
        <w:rPr>
          <w:rFonts w:hint="eastAsia"/>
        </w:rPr>
        <w:t>1. 切换画质（1080P/高清/标清）时，播放器会黑屏，并回退到关键帧重新播放。</w:t>
      </w:r>
    </w:p>
    <w:p>
      <w:pPr>
        <w:bidi w:val="0"/>
        <w:rPr>
          <w:rFonts w:hint="eastAsia"/>
        </w:rPr>
      </w:pPr>
      <w:r>
        <w:rPr>
          <w:rFonts w:hint="eastAsia"/>
        </w:rPr>
        <w:t>2. 不能根据网络状况自适应调整码率（YouTube默认启用自适应码率，对照画质选项中的“Auto”）</w:t>
      </w:r>
    </w:p>
    <w:p>
      <w:pPr>
        <w:rPr>
          <w:rFonts w:hint="eastAsia"/>
        </w:rPr>
      </w:pPr>
    </w:p>
    <w:p>
      <w:pPr>
        <w:bidi w:val="0"/>
      </w:pPr>
    </w:p>
    <w:tbl>
      <w:tblPr>
        <w:tblpPr w:leftFromText="180" w:rightFromText="180" w:vertAnchor="text" w:horzAnchor="page" w:tblpX="220" w:tblpY="335"/>
        <w:tblOverlap w:val="never"/>
        <w:tblW w:w="16800" w:type="dxa"/>
        <w:tblCellSpacing w:w="0" w:type="dxa"/>
        <w:tblInd w:w="0" w:type="dxa"/>
        <w:tblBorders>
          <w:top w:val="outset" w:color="CED1D8" w:sz="6" w:space="0"/>
          <w:left w:val="outset" w:color="CED1D8" w:sz="6" w:space="0"/>
          <w:bottom w:val="outset" w:color="CED1D8" w:sz="6" w:space="0"/>
          <w:right w:val="outset" w:color="CED1D8" w:sz="6" w:space="0"/>
          <w:insideH w:val="outset" w:color="auto" w:sz="6" w:space="0"/>
          <w:insideV w:val="outset" w:color="auto" w:sz="6" w:space="0"/>
        </w:tblBorders>
        <w:shd w:val="clear" w:color="auto" w:fill="FFFFFF"/>
        <w:tblLayout w:type="autofit"/>
        <w:tblCellMar>
          <w:top w:w="60" w:type="dxa"/>
          <w:left w:w="60" w:type="dxa"/>
          <w:bottom w:w="60" w:type="dxa"/>
          <w:right w:w="60" w:type="dxa"/>
        </w:tblCellMar>
      </w:tblPr>
      <w:tblGrid>
        <w:gridCol w:w="2601"/>
        <w:gridCol w:w="6389"/>
        <w:gridCol w:w="7810"/>
      </w:tblGrid>
      <w:tr>
        <w:tblPrEx>
          <w:tblBorders>
            <w:top w:val="outset" w:color="CED1D8" w:sz="6" w:space="0"/>
            <w:left w:val="outset" w:color="CED1D8" w:sz="6" w:space="0"/>
            <w:bottom w:val="outset" w:color="CED1D8" w:sz="6" w:space="0"/>
            <w:right w:val="outset" w:color="CED1D8" w:sz="6" w:space="0"/>
            <w:insideH w:val="outset" w:color="auto" w:sz="6" w:space="0"/>
            <w:insideV w:val="outset" w:color="auto" w:sz="6" w:space="0"/>
          </w:tblBorders>
        </w:tblPrEx>
        <w:trPr>
          <w:tblCellSpacing w:w="0" w:type="dxa"/>
        </w:trPr>
        <w:tc>
          <w:tcPr>
            <w:tcW w:w="774" w:type="pct"/>
            <w:shd w:val="clear" w:color="auto" w:fill="FFFFFF"/>
            <w:tcMar>
              <w:top w:w="200" w:type="dxa"/>
              <w:left w:w="200" w:type="dxa"/>
              <w:bottom w:w="0" w:type="dxa"/>
              <w:right w:w="200" w:type="dxa"/>
            </w:tcMar>
            <w:vAlign w:val="top"/>
          </w:tcPr>
          <w:p>
            <w:pPr>
              <w:bidi w:val="0"/>
            </w:pPr>
            <w:r>
              <w:t>DASH</w:t>
            </w:r>
          </w:p>
        </w:tc>
        <w:tc>
          <w:tcPr>
            <w:tcW w:w="1901" w:type="pct"/>
            <w:shd w:val="clear" w:color="auto" w:fill="FFFFFF"/>
            <w:tcMar>
              <w:top w:w="200" w:type="dxa"/>
              <w:left w:w="200" w:type="dxa"/>
              <w:bottom w:w="0" w:type="dxa"/>
              <w:right w:w="200" w:type="dxa"/>
            </w:tcMar>
            <w:vAlign w:val="top"/>
          </w:tcPr>
          <w:p>
            <w:pPr>
              <w:bidi w:val="0"/>
            </w:pPr>
            <w:r>
              <w:rPr>
                <w:rFonts w:hint="default"/>
              </w:rPr>
              <w:t>对视频进行切片，按切片播放，缓存小起播快；</w:t>
            </w:r>
          </w:p>
          <w:p>
            <w:pPr>
              <w:bidi w:val="0"/>
            </w:pPr>
            <w:r>
              <w:rPr>
                <w:rFonts w:hint="default"/>
              </w:rPr>
              <w:t>拖动时间轴到任意时间播放时，可以快速定位到对应的切片进行播放，响应快。</w:t>
            </w:r>
          </w:p>
        </w:tc>
        <w:tc>
          <w:tcPr>
            <w:tcW w:w="2324" w:type="pct"/>
            <w:shd w:val="clear" w:color="auto" w:fill="FFFFFF"/>
            <w:tcMar>
              <w:top w:w="200" w:type="dxa"/>
              <w:left w:w="200" w:type="dxa"/>
              <w:bottom w:w="0" w:type="dxa"/>
              <w:right w:w="200" w:type="dxa"/>
            </w:tcMar>
            <w:vAlign w:val="top"/>
          </w:tcPr>
          <w:p>
            <w:pPr>
              <w:bidi w:val="0"/>
            </w:pPr>
            <w:r>
              <w:rPr>
                <w:rFonts w:hint="default"/>
              </w:rPr>
              <w:t>小。</w:t>
            </w:r>
          </w:p>
        </w:tc>
      </w:tr>
      <w:tr>
        <w:tblPrEx>
          <w:tblBorders>
            <w:top w:val="outset" w:color="CED1D8" w:sz="6" w:space="0"/>
            <w:left w:val="outset" w:color="CED1D8" w:sz="6" w:space="0"/>
            <w:bottom w:val="outset" w:color="CED1D8" w:sz="6" w:space="0"/>
            <w:right w:val="outset" w:color="CED1D8" w:sz="6" w:space="0"/>
            <w:insideH w:val="outset" w:color="auto" w:sz="6" w:space="0"/>
            <w:insideV w:val="outset" w:color="auto" w:sz="6" w:space="0"/>
          </w:tblBorders>
        </w:tblPrEx>
        <w:trPr>
          <w:tblCellSpacing w:w="0" w:type="dxa"/>
        </w:trPr>
        <w:tc>
          <w:tcPr>
            <w:tcW w:w="774" w:type="pct"/>
            <w:shd w:val="clear" w:color="auto" w:fill="FFFFFF"/>
            <w:tcMar>
              <w:top w:w="200" w:type="dxa"/>
              <w:left w:w="200" w:type="dxa"/>
              <w:bottom w:w="0" w:type="dxa"/>
              <w:right w:w="200" w:type="dxa"/>
            </w:tcMar>
            <w:vAlign w:val="top"/>
          </w:tcPr>
          <w:p>
            <w:pPr>
              <w:bidi w:val="0"/>
            </w:pPr>
            <w:r>
              <w:rPr>
                <w:rFonts w:hint="default"/>
              </w:rPr>
              <w:t>HLS</w:t>
            </w:r>
          </w:p>
        </w:tc>
        <w:tc>
          <w:tcPr>
            <w:tcW w:w="1901" w:type="pct"/>
            <w:shd w:val="clear" w:color="auto" w:fill="FFFFFF"/>
            <w:tcMar>
              <w:top w:w="200" w:type="dxa"/>
              <w:left w:w="200" w:type="dxa"/>
              <w:bottom w:w="0" w:type="dxa"/>
              <w:right w:w="200" w:type="dxa"/>
            </w:tcMar>
            <w:vAlign w:val="top"/>
          </w:tcPr>
          <w:p>
            <w:pPr>
              <w:bidi w:val="0"/>
            </w:pPr>
            <w:r>
              <w:rPr>
                <w:rFonts w:hint="default"/>
              </w:rPr>
              <w:t>对视频进行切片，按切片播放，缓存小起播快；</w:t>
            </w:r>
          </w:p>
          <w:p>
            <w:pPr>
              <w:bidi w:val="0"/>
            </w:pPr>
            <w:r>
              <w:rPr>
                <w:rFonts w:hint="default"/>
              </w:rPr>
              <w:t>拖动时间轴到任意时间播放时，可以快速定位到对应的切片进行播放，响应快。</w:t>
            </w:r>
          </w:p>
        </w:tc>
        <w:tc>
          <w:tcPr>
            <w:tcW w:w="2324" w:type="pct"/>
            <w:shd w:val="clear" w:color="auto" w:fill="FFFFFF"/>
            <w:tcMar>
              <w:top w:w="200" w:type="dxa"/>
              <w:left w:w="200" w:type="dxa"/>
              <w:bottom w:w="0" w:type="dxa"/>
              <w:right w:w="200" w:type="dxa"/>
            </w:tcMar>
            <w:vAlign w:val="top"/>
          </w:tcPr>
          <w:p>
            <w:pPr>
              <w:bidi w:val="0"/>
            </w:pPr>
            <w:r>
              <w:rPr>
                <w:rFonts w:hint="default"/>
              </w:rPr>
              <w:t>整体占用小，播放一个切片只下载一个切片内容；对于低码率的视频场景，因封装代价高导致流量占用相对较高。</w:t>
            </w:r>
          </w:p>
        </w:tc>
      </w:tr>
      <w:tr>
        <w:tblPrEx>
          <w:tblBorders>
            <w:top w:val="outset" w:color="CED1D8" w:sz="6" w:space="0"/>
            <w:left w:val="outset" w:color="CED1D8" w:sz="6" w:space="0"/>
            <w:bottom w:val="outset" w:color="CED1D8" w:sz="6" w:space="0"/>
            <w:right w:val="outset" w:color="CED1D8" w:sz="6" w:space="0"/>
            <w:insideH w:val="outset" w:color="auto" w:sz="6" w:space="0"/>
            <w:insideV w:val="outset" w:color="auto" w:sz="6" w:space="0"/>
          </w:tblBorders>
        </w:tblPrEx>
        <w:trPr>
          <w:trHeight w:val="964" w:hRule="atLeast"/>
          <w:tblCellSpacing w:w="0" w:type="dxa"/>
        </w:trPr>
        <w:tc>
          <w:tcPr>
            <w:tcW w:w="774" w:type="pct"/>
            <w:shd w:val="clear" w:color="auto" w:fill="FFFFFF"/>
            <w:tcMar>
              <w:top w:w="200" w:type="dxa"/>
              <w:left w:w="200" w:type="dxa"/>
              <w:bottom w:w="0" w:type="dxa"/>
              <w:right w:w="200" w:type="dxa"/>
            </w:tcMar>
            <w:vAlign w:val="top"/>
          </w:tcPr>
          <w:p>
            <w:pPr>
              <w:bidi w:val="0"/>
            </w:pPr>
            <w:r>
              <w:rPr>
                <w:rFonts w:hint="default"/>
              </w:rPr>
              <w:t>MP4</w:t>
            </w:r>
          </w:p>
        </w:tc>
        <w:tc>
          <w:tcPr>
            <w:tcW w:w="1901" w:type="pct"/>
            <w:shd w:val="clear" w:color="auto" w:fill="FFFFFF"/>
            <w:tcMar>
              <w:top w:w="200" w:type="dxa"/>
              <w:left w:w="200" w:type="dxa"/>
              <w:bottom w:w="0" w:type="dxa"/>
              <w:right w:w="200" w:type="dxa"/>
            </w:tcMar>
            <w:vAlign w:val="top"/>
          </w:tcPr>
          <w:p>
            <w:pPr>
              <w:bidi w:val="0"/>
            </w:pPr>
            <w:r>
              <w:rPr>
                <w:rFonts w:hint="default"/>
              </w:rPr>
              <w:t>头文件较大，边下边缓存，起播相对HLS和DASH慢一些；</w:t>
            </w:r>
          </w:p>
          <w:p>
            <w:pPr>
              <w:bidi w:val="0"/>
            </w:pPr>
            <w:r>
              <w:rPr>
                <w:rFonts w:hint="default"/>
              </w:rPr>
              <w:t>拖动时间轴播放时，需要一定的时间缓存；</w:t>
            </w:r>
          </w:p>
          <w:p>
            <w:pPr>
              <w:bidi w:val="0"/>
            </w:pPr>
            <w:r>
              <w:rPr>
                <w:rFonts w:hint="default"/>
              </w:rPr>
              <w:t>市场上大多数的浏览器客户端均能够播放，播放成功率高。</w:t>
            </w:r>
          </w:p>
        </w:tc>
        <w:tc>
          <w:tcPr>
            <w:tcW w:w="2324" w:type="pct"/>
            <w:shd w:val="clear" w:color="auto" w:fill="FFFFFF"/>
            <w:tcMar>
              <w:top w:w="200" w:type="dxa"/>
              <w:left w:w="200" w:type="dxa"/>
              <w:bottom w:w="0" w:type="dxa"/>
              <w:right w:w="200" w:type="dxa"/>
            </w:tcMar>
            <w:vAlign w:val="top"/>
          </w:tcPr>
          <w:p>
            <w:pPr>
              <w:bidi w:val="0"/>
            </w:pPr>
            <w:r>
              <w:rPr>
                <w:rFonts w:hint="default"/>
              </w:rPr>
              <w:t>拖动时间轴播放时，仍然需要下载整个头文件，耗费流量大；因流量占用较</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panose1 w:val="05050102010706020507"/>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9FFBE49"/>
    <w:rsid w:val="6DFDB3C4"/>
    <w:rsid w:val="D9FFB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Office_1.9.2.3124_F1E327BC-269C-435d-A152-05C5408002CA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2020-02-28T23:24:00Z</dcterms:created>
  <dc:creator>yangwenshuo</dc:creator>
  <cp:lastModifiedBy>yangwenshuo</cp:lastModifiedBy>
  <dcterms:modified xsi:type="dcterms:W3CDTF">2020-02-28T23:28:44Z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2052-1.9.2.3124</vt:lpwstr>
  </property>
</Properties>
</file>