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w:t>
      </w:r>
      <w:r>
        <w:rPr>
          <w:rFonts w:hint="default"/>
          <w:sz w:val="24"/>
        </w:rPr>
        <w:t>。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80768" behindDoc="0" locked="0" layoutInCell="1" allowOverlap="1">
            <wp:simplePos x="0" y="0"/>
            <wp:positionH relativeFrom="column">
              <wp:posOffset>223520</wp:posOffset>
            </wp:positionH>
            <wp:positionV relativeFrom="paragraph">
              <wp:posOffset>123825</wp:posOffset>
            </wp:positionV>
            <wp:extent cx="5027295" cy="5217795"/>
            <wp:effectExtent l="0" t="0" r="1905" b="14605"/>
            <wp:wrapTopAndBottom/>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50"/>
                    <a:stretch>
                      <a:fillRect/>
                    </a:stretch>
                  </pic:blipFill>
                  <pic:spPr>
                    <a:xfrm>
                      <a:off x="0" y="0"/>
                      <a:ext cx="5027295" cy="52177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w:t>
      </w:r>
      <w:r>
        <w:rPr>
          <w:rFonts w:hint="default" w:eastAsia="宋体"/>
          <w:sz w:val="24"/>
        </w:rPr>
        <w:t>处理</w:t>
      </w:r>
      <w:r>
        <w:rPr>
          <w:rFonts w:hint="default" w:eastAsia="宋体"/>
          <w:sz w:val="24"/>
        </w:rPr>
        <w:t>：根据交易类型对交易数据进行条件过滤，只保留满足清算条件的交易数据。比如对于支付类交易，清算条件为交易成功且是外部商户。根据交易类型对交易数据进行合法性校验，并组装清分实体落库。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w:t>
      </w:r>
      <w:r>
        <w:rPr>
          <w:rFonts w:hint="default" w:eastAsia="宋体"/>
          <w:sz w:val="24"/>
        </w:rPr>
        <w:t>计费：根据</w:t>
      </w:r>
      <w:r>
        <w:rPr>
          <w:rFonts w:hint="default" w:eastAsia="宋体"/>
          <w:sz w:val="24"/>
        </w:rPr>
        <w:t>交易数据中的交易类型和商户计费配置</w:t>
      </w:r>
      <w:r>
        <w:rPr>
          <w:rFonts w:hint="default" w:eastAsia="宋体"/>
          <w:sz w:val="24"/>
        </w:rPr>
        <w:t>计算手续费、净额</w:t>
      </w:r>
      <w:r>
        <w:rPr>
          <w:rFonts w:hint="default" w:eastAsia="宋体"/>
          <w:sz w:val="24"/>
        </w:rPr>
        <w:t>等所有费项，</w:t>
      </w:r>
      <w:r>
        <w:rPr>
          <w:rFonts w:hint="default" w:eastAsia="宋体"/>
          <w:sz w:val="24"/>
        </w:rPr>
        <w:t>更新清分实</w:t>
      </w:r>
      <w:r>
        <w:rPr>
          <w:rFonts w:hint="default" w:eastAsia="宋体"/>
          <w:sz w:val="24"/>
        </w:rPr>
        <w:t>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w:t>
      </w:r>
      <w:r>
        <w:rPr>
          <w:rFonts w:hint="default" w:eastAsia="宋体"/>
          <w:sz w:val="24"/>
        </w:rPr>
        <w:t>调用账户中心</w:t>
      </w:r>
      <w:r>
        <w:rPr>
          <w:rFonts w:hint="default" w:eastAsia="宋体"/>
          <w:sz w:val="24"/>
        </w:rPr>
        <w:t>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w:t>
      </w:r>
      <w:r>
        <w:rPr>
          <w:rFonts w:hint="default" w:eastAsia="宋体"/>
          <w:sz w:val="24"/>
        </w:rPr>
        <w:t>商户交易类型将</w:t>
      </w:r>
      <w:r>
        <w:rPr>
          <w:rFonts w:hint="default" w:eastAsia="宋体"/>
          <w:sz w:val="24"/>
        </w:rPr>
        <w:t>手续费累加结算明细</w:t>
      </w:r>
      <w:r>
        <w:rPr>
          <w:rFonts w:hint="default" w:eastAsia="宋体"/>
          <w:sz w:val="24"/>
        </w:rPr>
        <w:t>单</w:t>
      </w:r>
      <w:r>
        <w:rPr>
          <w:rFonts w:hint="default" w:eastAsia="宋体"/>
          <w:sz w:val="24"/>
        </w:rPr>
        <w:t>，生成手续费</w:t>
      </w:r>
      <w:r>
        <w:rPr>
          <w:rFonts w:hint="default" w:eastAsia="宋体"/>
          <w:sz w:val="24"/>
        </w:rPr>
        <w:t>结算详情</w:t>
      </w:r>
      <w:r>
        <w:rPr>
          <w:rFonts w:hint="default" w:eastAsia="宋体"/>
          <w:sz w:val="24"/>
        </w:rPr>
        <w:t>单。</w:t>
      </w:r>
    </w:p>
    <w:p>
      <w:pPr>
        <w:numPr>
          <w:ilvl w:val="0"/>
          <w:numId w:val="11"/>
        </w:numPr>
        <w:spacing w:line="400" w:lineRule="exact"/>
        <w:ind w:firstLine="420" w:firstLineChars="0"/>
        <w:rPr>
          <w:rFonts w:hint="default" w:eastAsia="宋体"/>
          <w:sz w:val="24"/>
        </w:rPr>
      </w:pPr>
      <w:r>
        <w:rPr>
          <w:rFonts w:hint="default" w:eastAsia="宋体"/>
          <w:sz w:val="24"/>
        </w:rPr>
        <w:t>汇总结算</w:t>
      </w:r>
      <w:r>
        <w:rPr>
          <w:rFonts w:hint="default" w:eastAsia="宋体"/>
          <w:sz w:val="24"/>
        </w:rPr>
        <w:t>：对结算配置为周期结算的交易，定期汇总已清分记账的</w:t>
      </w:r>
      <w:r>
        <w:rPr>
          <w:rFonts w:hint="default" w:eastAsia="宋体"/>
          <w:sz w:val="24"/>
        </w:rPr>
        <w:t>结算详情单</w:t>
      </w:r>
      <w:r>
        <w:rPr>
          <w:rFonts w:hint="default" w:eastAsia="宋体"/>
          <w:sz w:val="24"/>
        </w:rPr>
        <w:t>，生成付款结算单和收费结算单并调用账务系统记账。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w:t>
      </w:r>
      <w:r>
        <w:rPr>
          <w:rFonts w:hint="default" w:eastAsia="宋体"/>
          <w:sz w:val="24"/>
        </w:rPr>
        <w:t>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3.4.1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1"/>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表3-1 </w:t>
      </w:r>
      <w:r>
        <w:rPr>
          <w:rFonts w:hint="default" w:eastAsia="宋体"/>
          <w:color w:val="000000"/>
          <w:sz w:val="24"/>
          <w:szCs w:val="24"/>
          <w:vertAlign w:val="baseline"/>
        </w:rPr>
        <w:t>清分用例描述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表3-1 </w:t>
      </w:r>
      <w:r>
        <w:rPr>
          <w:rFonts w:hint="default" w:eastAsia="宋体"/>
          <w:color w:val="000000"/>
          <w:sz w:val="24"/>
          <w:szCs w:val="24"/>
          <w:vertAlign w:val="baseline"/>
        </w:rPr>
        <w:t>计费用例描述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w:t>
            </w:r>
            <w:r>
              <w:rPr>
                <w:rFonts w:hint="default" w:ascii="宋体" w:hAnsi="宋体" w:cs="宋体"/>
                <w:szCs w:val="21"/>
              </w:rPr>
              <w:t>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bookmarkStart w:id="86" w:name="_GoBack"/>
            <w:bookmarkEnd w:id="86"/>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作为商户系统，我想在商户入驻流程中，新增商户结算相关配置，包括结算类型，结算日期，分期结算，提现等规则，为清结算系统初始化相关配置。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在作为清结算系统，我想要系统在清分计费、结算和提现流程中根据商户平台的结算配置进行相应逻辑处理。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交易数据处理业务用例规约表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UC-02</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作为清结算系统，我想要系统能够获取交易数据，进行数据解析和校验，保证数据的合法性，以便为清算流程做好数据准备。</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5"/>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5"/>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5"/>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7"/>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表3-3清分计费业务用例规约表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8"/>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8"/>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8"/>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8"/>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8"/>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8"/>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18"/>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8"/>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8"/>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8"/>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8"/>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9"/>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9"/>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9"/>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9"/>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表3-4费项记账业务用例规约表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UC-04</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作为清结算系统，我想要在计费完成后，调用账户中心完成净额和手续费等费项的记账，更新商户和平台相关账户余额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净额记账</w:t>
            </w:r>
          </w:p>
          <w:p>
            <w:pPr>
              <w:numPr>
                <w:ilvl w:val="0"/>
                <w:numId w:val="20"/>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20"/>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20"/>
              </w:numPr>
              <w:spacing w:line="400" w:lineRule="exact"/>
              <w:rPr>
                <w:rFonts w:hint="default" w:eastAsia="宋体"/>
                <w:sz w:val="24"/>
              </w:rPr>
            </w:pPr>
            <w:r>
              <w:rPr>
                <w:rFonts w:hint="default" w:eastAsia="宋体"/>
                <w:sz w:val="24"/>
              </w:rPr>
              <w:t>更新清分实体的状态为净额记账成功，更新数据库</w:t>
            </w:r>
          </w:p>
          <w:p>
            <w:pPr>
              <w:numPr>
                <w:ilvl w:val="0"/>
                <w:numId w:val="20"/>
              </w:numPr>
              <w:spacing w:line="400" w:lineRule="exact"/>
              <w:rPr>
                <w:rFonts w:hint="default" w:eastAsia="宋体"/>
                <w:sz w:val="24"/>
              </w:rPr>
            </w:pPr>
            <w:r>
              <w:rPr>
                <w:rFonts w:hint="default" w:eastAsia="宋体"/>
                <w:sz w:val="24"/>
              </w:rPr>
              <w:t>手续费记账</w:t>
            </w:r>
          </w:p>
          <w:p>
            <w:pPr>
              <w:numPr>
                <w:ilvl w:val="0"/>
                <w:numId w:val="20"/>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20"/>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20"/>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1"/>
              </w:numPr>
              <w:spacing w:line="400" w:lineRule="exact"/>
              <w:rPr>
                <w:rFonts w:hint="default" w:eastAsia="宋体"/>
                <w:sz w:val="24"/>
              </w:rPr>
            </w:pPr>
            <w:r>
              <w:rPr>
                <w:rFonts w:hint="default" w:eastAsia="宋体"/>
                <w:sz w:val="24"/>
              </w:rPr>
              <w:t>若记账前置状态错误，返回错误对象</w:t>
            </w:r>
          </w:p>
          <w:p>
            <w:pPr>
              <w:numPr>
                <w:ilvl w:val="0"/>
                <w:numId w:val="21"/>
              </w:numPr>
              <w:spacing w:line="400" w:lineRule="exact"/>
              <w:rPr>
                <w:rFonts w:hint="default" w:eastAsia="宋体"/>
                <w:sz w:val="24"/>
              </w:rPr>
            </w:pPr>
            <w:r>
              <w:rPr>
                <w:rFonts w:hint="default" w:eastAsia="宋体"/>
                <w:sz w:val="24"/>
              </w:rPr>
              <w:t>若rpc记账接口异常，抛出记账异常</w:t>
            </w:r>
          </w:p>
          <w:p>
            <w:pPr>
              <w:numPr>
                <w:ilvl w:val="0"/>
                <w:numId w:val="21"/>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ilvl w:val="0"/>
          <w:numId w:val="0"/>
        </w:numPr>
        <w:spacing w:line="400" w:lineRule="exact"/>
        <w:ind w:left="1680" w:leftChars="0" w:firstLine="420" w:firstLineChars="0"/>
        <w:rPr>
          <w:rFonts w:hint="default" w:eastAsia="宋体"/>
          <w:sz w:val="24"/>
        </w:rPr>
      </w:pPr>
      <w:r>
        <w:rPr>
          <w:rFonts w:hint="default" w:eastAsia="宋体"/>
          <w:sz w:val="24"/>
        </w:rPr>
        <w:t>表3-5汇总结算业务用例规约表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UC-05</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作为清结算系统，我想要定期汇总清分单，生成结算单并记账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2"/>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已清分记账的清算单到结算单</w:t>
            </w:r>
          </w:p>
          <w:p>
            <w:pPr>
              <w:numPr>
                <w:ilvl w:val="0"/>
                <w:numId w:val="22"/>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2"/>
              </w:numPr>
              <w:spacing w:line="400" w:lineRule="exact"/>
              <w:rPr>
                <w:rFonts w:hint="default" w:eastAsia="宋体"/>
                <w:sz w:val="24"/>
                <w:lang w:val="en-US" w:eastAsia="zh-Hans"/>
              </w:rPr>
            </w:pPr>
            <w:r>
              <w:rPr>
                <w:rFonts w:hint="default" w:eastAsia="宋体"/>
                <w:sz w:val="24"/>
                <w:lang w:eastAsia="zh-Hans"/>
              </w:rPr>
              <w:t xml:space="preserve">XXL-JOB </w:t>
            </w:r>
            <w:r>
              <w:rPr>
                <w:rFonts w:hint="eastAsia" w:eastAsia="宋体"/>
                <w:sz w:val="24"/>
                <w:lang w:val="en-US" w:eastAsia="zh-Hans"/>
              </w:rPr>
              <w:t>每小时将用户所有清算单到关联到用户的结算单</w:t>
            </w:r>
          </w:p>
          <w:p>
            <w:pPr>
              <w:numPr>
                <w:ilvl w:val="0"/>
                <w:numId w:val="22"/>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2"/>
              </w:numPr>
              <w:spacing w:line="400" w:lineRule="exact"/>
              <w:rPr>
                <w:rFonts w:hint="default" w:eastAsia="宋体"/>
                <w:sz w:val="24"/>
                <w:lang w:eastAsia="zh-Hans"/>
              </w:rPr>
            </w:pPr>
            <w:r>
              <w:rPr>
                <w:rFonts w:hint="default" w:eastAsia="宋体"/>
                <w:sz w:val="24"/>
              </w:rPr>
              <w:t>生成付款结算单和收费结算单</w:t>
            </w:r>
          </w:p>
          <w:p>
            <w:pPr>
              <w:numPr>
                <w:ilvl w:val="0"/>
                <w:numId w:val="22"/>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2"/>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2"/>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3"/>
              </w:numPr>
              <w:spacing w:line="400" w:lineRule="exact"/>
              <w:rPr>
                <w:rFonts w:hint="default" w:eastAsia="宋体"/>
                <w:sz w:val="24"/>
              </w:rPr>
            </w:pPr>
            <w:r>
              <w:rPr>
                <w:rFonts w:hint="default" w:eastAsia="宋体"/>
                <w:sz w:val="24"/>
              </w:rPr>
              <w:t>结算周期内无清算单，结束流程</w:t>
            </w:r>
          </w:p>
          <w:p>
            <w:pPr>
              <w:numPr>
                <w:ilvl w:val="0"/>
                <w:numId w:val="23"/>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表3-6 净额提现用例规约表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UC-06</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净额提现</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作为清结算系统，我想要系统在完成费用结算后，根据商户提现配置发起定时提现任务</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4"/>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5"/>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5"/>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表3-7 异常处理用例规约表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UC-07</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异常处理</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作为清结算系统，我想要系统在清分、结算流程中出现的异常事件进行自动重试或人工处理操作。</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6"/>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7"/>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7"/>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3.4.1  性能需求</w:t>
      </w:r>
      <w:bookmarkEnd w:id="25"/>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8"/>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8"/>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8"/>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8"/>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8"/>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26" w:name="_Toc13661"/>
      <w:r>
        <w:rPr>
          <w:rFonts w:hint="eastAsia" w:eastAsia="黑体" w:cs="黑体"/>
          <w:color w:val="000000"/>
          <w:kern w:val="0"/>
          <w:sz w:val="26"/>
          <w:lang w:bidi="ar"/>
        </w:rPr>
        <w:t>3.4.2  可扩展性与可维护性</w:t>
      </w:r>
      <w:bookmarkEnd w:id="26"/>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7" w:name="_Toc21081"/>
      <w:r>
        <w:rPr>
          <w:rFonts w:hint="eastAsia" w:eastAsia="黑体" w:cs="黑体"/>
          <w:color w:val="000000"/>
          <w:kern w:val="0"/>
          <w:sz w:val="26"/>
          <w:lang w:bidi="ar"/>
        </w:rPr>
        <w:t>3.4.3  易用性与可执行性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8" w:name="_Toc8160"/>
      <w:r>
        <w:rPr>
          <w:rFonts w:hint="eastAsia" w:eastAsia="黑体" w:cs="黑体"/>
          <w:color w:val="000000"/>
          <w:kern w:val="0"/>
          <w:sz w:val="26"/>
          <w:lang w:bidi="ar"/>
        </w:rPr>
        <w:t>3.4.4  安全性需求</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29" w:name="_Toc14148"/>
      <w:r>
        <w:rPr>
          <w:rFonts w:hint="eastAsia" w:ascii="黑体" w:hAnsi="宋体" w:eastAsia="黑体"/>
          <w:color w:val="000000"/>
          <w:sz w:val="28"/>
          <w:szCs w:val="28"/>
        </w:rPr>
        <w:t>3.5  本章小结</w:t>
      </w:r>
      <w:bookmarkEnd w:id="29"/>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0" w:name="_Toc26843"/>
      <w:r>
        <w:rPr>
          <w:rFonts w:hint="eastAsia" w:ascii="黑体" w:hAnsi="黑体" w:eastAsia="黑体"/>
          <w:color w:val="000000"/>
          <w:sz w:val="32"/>
          <w:szCs w:val="32"/>
        </w:rPr>
        <w:t>第4章  系统概要设计</w:t>
      </w:r>
      <w:bookmarkEnd w:id="30"/>
    </w:p>
    <w:p>
      <w:pPr>
        <w:spacing w:before="480" w:after="120"/>
        <w:outlineLvl w:val="1"/>
        <w:rPr>
          <w:rFonts w:ascii="黑体" w:hAnsi="宋体" w:eastAsia="黑体"/>
          <w:color w:val="000000"/>
          <w:sz w:val="28"/>
          <w:szCs w:val="28"/>
        </w:rPr>
      </w:pPr>
      <w:bookmarkStart w:id="31" w:name="_Toc17859"/>
      <w:r>
        <w:rPr>
          <w:rFonts w:hint="eastAsia" w:ascii="黑体" w:hAnsi="宋体" w:eastAsia="黑体"/>
          <w:color w:val="000000"/>
          <w:sz w:val="28"/>
          <w:szCs w:val="28"/>
        </w:rPr>
        <w:t>4.1  系统设计目标和原则</w:t>
      </w:r>
      <w:bookmarkEnd w:id="31"/>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2" w:name="_Toc3896"/>
      <w:r>
        <w:rPr>
          <w:rFonts w:hint="eastAsia" w:ascii="黑体" w:hAnsi="宋体" w:eastAsia="黑体"/>
          <w:color w:val="000000"/>
          <w:sz w:val="28"/>
          <w:szCs w:val="28"/>
        </w:rPr>
        <w:t>4.2  系统静态结构设计</w:t>
      </w:r>
      <w:bookmarkEnd w:id="32"/>
    </w:p>
    <w:p>
      <w:pPr>
        <w:widowControl/>
        <w:spacing w:before="240" w:after="120"/>
        <w:jc w:val="left"/>
        <w:outlineLvl w:val="2"/>
        <w:rPr>
          <w:rFonts w:eastAsia="黑体" w:cs="黑体"/>
          <w:color w:val="000000"/>
          <w:kern w:val="0"/>
          <w:sz w:val="26"/>
          <w:lang w:bidi="ar"/>
        </w:rPr>
      </w:pPr>
      <w:bookmarkStart w:id="33" w:name="_Toc12992"/>
      <w:r>
        <w:rPr>
          <w:rFonts w:hint="eastAsia" w:eastAsia="黑体" w:cs="黑体"/>
          <w:color w:val="000000"/>
          <w:kern w:val="0"/>
          <w:sz w:val="26"/>
          <w:lang w:bidi="ar"/>
        </w:rPr>
        <w:t>4.2.1  拓扑结构设计</w:t>
      </w:r>
      <w:bookmarkEnd w:id="33"/>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4" w:name="_Toc10015"/>
      <w:r>
        <w:rPr>
          <w:rFonts w:hint="eastAsia" w:eastAsia="黑体" w:cs="黑体"/>
          <w:color w:val="000000"/>
          <w:kern w:val="0"/>
          <w:sz w:val="26"/>
          <w:lang w:bidi="ar"/>
        </w:rPr>
        <w:t>4.2.2  管理子系统设计</w:t>
      </w:r>
      <w:bookmarkEnd w:id="34"/>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9"/>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9"/>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9"/>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5" w:name="_Toc20746"/>
      <w:r>
        <w:rPr>
          <w:rFonts w:hint="eastAsia" w:eastAsia="黑体" w:cs="黑体"/>
          <w:color w:val="000000"/>
          <w:kern w:val="0"/>
          <w:sz w:val="26"/>
          <w:lang w:bidi="ar"/>
        </w:rPr>
        <w:t>4.2.3  业务子系统设计</w:t>
      </w:r>
      <w:bookmarkEnd w:id="35"/>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6" w:name="_Toc4706"/>
      <w:r>
        <w:rPr>
          <w:rFonts w:hint="eastAsia" w:ascii="黑体" w:hAnsi="宋体" w:eastAsia="黑体"/>
          <w:color w:val="000000"/>
          <w:sz w:val="28"/>
          <w:szCs w:val="28"/>
        </w:rPr>
        <w:t>4.3  系统动态结构设计</w:t>
      </w:r>
      <w:bookmarkEnd w:id="36"/>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7" w:name="_Toc21628"/>
      <w:r>
        <w:rPr>
          <w:rFonts w:hint="eastAsia" w:eastAsia="黑体" w:cs="黑体"/>
          <w:color w:val="000000"/>
          <w:kern w:val="0"/>
          <w:sz w:val="26"/>
          <w:lang w:bidi="ar"/>
        </w:rPr>
        <w:t>4.3.1  管理子系统动态结构</w:t>
      </w:r>
      <w:bookmarkEnd w:id="37"/>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8" w:name="_Toc29049"/>
      <w:r>
        <w:rPr>
          <w:rFonts w:hint="eastAsia" w:eastAsia="黑体" w:cs="黑体"/>
          <w:color w:val="000000"/>
          <w:kern w:val="0"/>
          <w:sz w:val="26"/>
          <w:lang w:bidi="ar"/>
        </w:rPr>
        <w:t>4.3.2  业务子系统动态结构</w:t>
      </w:r>
      <w:bookmarkEnd w:id="38"/>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9" w:name="_Toc20369"/>
      <w:r>
        <w:rPr>
          <w:rFonts w:hint="eastAsia" w:ascii="黑体" w:hAnsi="宋体" w:eastAsia="黑体"/>
          <w:color w:val="000000"/>
          <w:sz w:val="28"/>
          <w:szCs w:val="28"/>
        </w:rPr>
        <w:t>4.4  本章小结</w:t>
      </w:r>
      <w:bookmarkEnd w:id="39"/>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0" w:name="_Toc14668"/>
      <w:r>
        <w:rPr>
          <w:rFonts w:hint="eastAsia" w:ascii="黑体" w:hAnsi="黑体" w:eastAsia="黑体"/>
          <w:color w:val="000000"/>
          <w:sz w:val="32"/>
          <w:szCs w:val="32"/>
        </w:rPr>
        <w:t>第5章  系统详细设计</w:t>
      </w:r>
      <w:bookmarkEnd w:id="40"/>
    </w:p>
    <w:p>
      <w:pPr>
        <w:spacing w:before="480" w:after="120"/>
        <w:outlineLvl w:val="1"/>
        <w:rPr>
          <w:rFonts w:ascii="黑体" w:hAnsi="宋体" w:eastAsia="黑体"/>
          <w:color w:val="000000"/>
          <w:sz w:val="28"/>
          <w:szCs w:val="28"/>
        </w:rPr>
      </w:pPr>
      <w:bookmarkStart w:id="41" w:name="_Toc18051"/>
      <w:r>
        <w:rPr>
          <w:rFonts w:hint="eastAsia" w:ascii="黑体" w:hAnsi="宋体" w:eastAsia="黑体"/>
          <w:color w:val="000000"/>
          <w:sz w:val="28"/>
          <w:szCs w:val="28"/>
        </w:rPr>
        <w:t>5.1  详细设计目标</w:t>
      </w:r>
      <w:bookmarkEnd w:id="41"/>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2" w:name="_Toc31831"/>
      <w:r>
        <w:rPr>
          <w:rFonts w:hint="eastAsia" w:ascii="黑体" w:hAnsi="宋体" w:eastAsia="黑体"/>
          <w:color w:val="000000"/>
          <w:sz w:val="28"/>
          <w:szCs w:val="28"/>
        </w:rPr>
        <w:t>5.2  业务子系统设计</w:t>
      </w:r>
      <w:bookmarkEnd w:id="42"/>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3" w:name="_Toc19550"/>
      <w:r>
        <w:rPr>
          <w:rFonts w:hint="eastAsia" w:eastAsia="黑体" w:cs="黑体"/>
          <w:color w:val="000000"/>
          <w:kern w:val="0"/>
          <w:sz w:val="26"/>
          <w:lang w:bidi="ar"/>
        </w:rPr>
        <w:t>5.2.1  安全认证逻辑设计</w:t>
      </w:r>
      <w:bookmarkEnd w:id="43"/>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4" w:name="_Toc10738"/>
      <w:r>
        <w:rPr>
          <w:rFonts w:hint="eastAsia" w:eastAsia="黑体" w:cs="黑体"/>
          <w:color w:val="000000"/>
          <w:kern w:val="0"/>
          <w:sz w:val="26"/>
          <w:lang w:bidi="ar"/>
        </w:rPr>
        <w:t>5.2.2  系统安全通信设计</w:t>
      </w:r>
      <w:bookmarkEnd w:id="44"/>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30"/>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30"/>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30"/>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30"/>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5" w:name="_Toc432"/>
      <w:r>
        <w:rPr>
          <w:rFonts w:hint="eastAsia" w:eastAsia="黑体" w:cs="黑体"/>
          <w:color w:val="000000"/>
          <w:kern w:val="0"/>
          <w:sz w:val="26"/>
          <w:lang w:bidi="ar"/>
        </w:rPr>
        <w:t>5.2.3  安全认证业务设计</w:t>
      </w:r>
      <w:bookmarkEnd w:id="45"/>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31"/>
        </w:numPr>
        <w:spacing w:line="400" w:lineRule="exact"/>
        <w:ind w:firstLine="480"/>
        <w:rPr>
          <w:rFonts w:cs="宋体"/>
          <w:color w:val="000000"/>
          <w:sz w:val="24"/>
        </w:rPr>
      </w:pPr>
      <w:r>
        <w:rPr>
          <w:rFonts w:hint="eastAsia" w:cs="宋体"/>
          <w:color w:val="000000"/>
          <w:sz w:val="24"/>
        </w:rPr>
        <w:t>生成空白证书模板；</w:t>
      </w:r>
    </w:p>
    <w:p>
      <w:pPr>
        <w:numPr>
          <w:ilvl w:val="0"/>
          <w:numId w:val="31"/>
        </w:numPr>
        <w:spacing w:line="400" w:lineRule="exact"/>
        <w:ind w:firstLine="480"/>
        <w:rPr>
          <w:rFonts w:cs="宋体"/>
          <w:color w:val="000000"/>
          <w:sz w:val="24"/>
        </w:rPr>
      </w:pPr>
      <w:r>
        <w:rPr>
          <w:rFonts w:hint="eastAsia" w:cs="宋体"/>
          <w:color w:val="000000"/>
          <w:sz w:val="24"/>
        </w:rPr>
        <w:t>生成SM2算法的密钥对；</w:t>
      </w:r>
    </w:p>
    <w:p>
      <w:pPr>
        <w:numPr>
          <w:ilvl w:val="0"/>
          <w:numId w:val="31"/>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31"/>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31"/>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31"/>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31"/>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32"/>
        </w:numPr>
        <w:spacing w:line="400" w:lineRule="exact"/>
        <w:rPr>
          <w:rFonts w:cs="宋体"/>
          <w:color w:val="000000"/>
          <w:sz w:val="24"/>
        </w:rPr>
      </w:pPr>
      <w:r>
        <w:rPr>
          <w:rFonts w:hint="eastAsia" w:cs="宋体"/>
          <w:color w:val="000000"/>
          <w:sz w:val="24"/>
        </w:rPr>
        <w:t>异常行为管理机构识别到异常信息；</w:t>
      </w:r>
    </w:p>
    <w:p>
      <w:pPr>
        <w:numPr>
          <w:ilvl w:val="0"/>
          <w:numId w:val="32"/>
        </w:numPr>
        <w:spacing w:line="400" w:lineRule="exact"/>
        <w:rPr>
          <w:rFonts w:cs="宋体"/>
          <w:color w:val="000000"/>
          <w:sz w:val="24"/>
        </w:rPr>
      </w:pPr>
      <w:r>
        <w:rPr>
          <w:rFonts w:hint="eastAsia" w:cs="宋体"/>
          <w:color w:val="000000"/>
          <w:sz w:val="24"/>
        </w:rPr>
        <w:t>RA系统核实有问题后上报CA系统；</w:t>
      </w:r>
    </w:p>
    <w:p>
      <w:pPr>
        <w:numPr>
          <w:ilvl w:val="0"/>
          <w:numId w:val="32"/>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32"/>
        </w:numPr>
        <w:spacing w:line="400" w:lineRule="exact"/>
        <w:rPr>
          <w:rFonts w:cs="宋体"/>
          <w:color w:val="000000"/>
          <w:sz w:val="24"/>
        </w:rPr>
      </w:pPr>
      <w:r>
        <w:rPr>
          <w:rFonts w:hint="eastAsia" w:cs="宋体"/>
          <w:color w:val="000000"/>
          <w:sz w:val="24"/>
        </w:rPr>
        <w:t>RA系统申请下载当前CRL；</w:t>
      </w:r>
    </w:p>
    <w:p>
      <w:pPr>
        <w:numPr>
          <w:ilvl w:val="0"/>
          <w:numId w:val="32"/>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6" w:name="_Toc23737"/>
      <w:r>
        <w:rPr>
          <w:rFonts w:hint="eastAsia" w:ascii="黑体" w:hAnsi="宋体" w:eastAsia="黑体"/>
          <w:color w:val="000000"/>
          <w:sz w:val="28"/>
          <w:szCs w:val="28"/>
        </w:rPr>
        <w:t>5.3  安全管理员模块设计</w:t>
      </w:r>
      <w:bookmarkEnd w:id="46"/>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7" w:name="_Toc18880"/>
      <w:r>
        <w:rPr>
          <w:rFonts w:hint="eastAsia" w:eastAsia="黑体" w:cs="黑体"/>
          <w:color w:val="000000"/>
          <w:kern w:val="0"/>
          <w:sz w:val="26"/>
          <w:lang w:bidi="ar"/>
        </w:rPr>
        <w:t>5.3.1  用户证书管理设计</w:t>
      </w:r>
      <w:bookmarkEnd w:id="47"/>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8" w:name="_Toc22900"/>
      <w:r>
        <w:rPr>
          <w:rFonts w:hint="eastAsia" w:eastAsia="黑体" w:cs="黑体"/>
          <w:color w:val="000000"/>
          <w:kern w:val="0"/>
          <w:sz w:val="26"/>
          <w:lang w:bidi="ar"/>
        </w:rPr>
        <w:t>5.3.2  MCA管理设计</w:t>
      </w:r>
      <w:bookmarkEnd w:id="48"/>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9" w:name="_Toc29296"/>
      <w:r>
        <w:rPr>
          <w:rFonts w:hint="eastAsia" w:eastAsia="黑体" w:cs="黑体"/>
          <w:color w:val="000000"/>
          <w:kern w:val="0"/>
          <w:sz w:val="26"/>
          <w:lang w:bidi="ar"/>
        </w:rPr>
        <w:t>5.3.3  业务CA管理设计</w:t>
      </w:r>
      <w:bookmarkEnd w:id="49"/>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0" w:name="_Toc10725"/>
      <w:r>
        <w:rPr>
          <w:rFonts w:hint="eastAsia" w:eastAsia="黑体" w:cs="黑体"/>
          <w:color w:val="000000"/>
          <w:kern w:val="0"/>
          <w:sz w:val="26"/>
          <w:lang w:bidi="ar"/>
        </w:rPr>
        <w:t>5.3.4  系统安全功能设计</w:t>
      </w:r>
      <w:bookmarkEnd w:id="50"/>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1" w:name="_Toc11317"/>
      <w:r>
        <w:rPr>
          <w:rFonts w:hint="eastAsia" w:ascii="黑体" w:hAnsi="宋体" w:eastAsia="黑体"/>
          <w:color w:val="000000"/>
          <w:sz w:val="28"/>
          <w:szCs w:val="28"/>
        </w:rPr>
        <w:t>5.4  业务员模块设计</w:t>
      </w:r>
      <w:bookmarkEnd w:id="51"/>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2" w:name="_Toc23403"/>
      <w:r>
        <w:rPr>
          <w:rFonts w:hint="eastAsia" w:eastAsia="黑体" w:cs="黑体"/>
          <w:color w:val="000000"/>
          <w:kern w:val="0"/>
          <w:sz w:val="26"/>
          <w:lang w:bidi="ar"/>
        </w:rPr>
        <w:t>5.4.1  RA管理设计</w:t>
      </w:r>
      <w:bookmarkEnd w:id="52"/>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3" w:name="_Toc23241"/>
      <w:r>
        <w:rPr>
          <w:rFonts w:hint="eastAsia" w:eastAsia="黑体" w:cs="黑体"/>
          <w:color w:val="000000"/>
          <w:kern w:val="0"/>
          <w:sz w:val="26"/>
          <w:lang w:bidi="ar"/>
        </w:rPr>
        <w:t>5.4.2  终端证书管理设计</w:t>
      </w:r>
      <w:bookmarkEnd w:id="53"/>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4" w:name="_Toc26460"/>
      <w:r>
        <w:rPr>
          <w:rFonts w:hint="eastAsia" w:eastAsia="黑体" w:cs="黑体"/>
          <w:color w:val="000000"/>
          <w:kern w:val="0"/>
          <w:sz w:val="26"/>
          <w:lang w:bidi="ar"/>
        </w:rPr>
        <w:t>5.4.3  证书模板管理设计</w:t>
      </w:r>
      <w:bookmarkEnd w:id="54"/>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5" w:name="_Toc19594"/>
      <w:r>
        <w:rPr>
          <w:rFonts w:hint="eastAsia" w:eastAsia="黑体" w:cs="黑体"/>
          <w:color w:val="000000"/>
          <w:kern w:val="0"/>
          <w:sz w:val="26"/>
          <w:lang w:bidi="ar"/>
        </w:rPr>
        <w:t>5.4.4  互联信息管理设计</w:t>
      </w:r>
      <w:bookmarkEnd w:id="55"/>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6" w:name="_Toc15229"/>
      <w:r>
        <w:rPr>
          <w:rFonts w:hint="eastAsia" w:eastAsia="黑体" w:cs="黑体"/>
          <w:color w:val="000000"/>
          <w:kern w:val="0"/>
          <w:sz w:val="26"/>
          <w:lang w:bidi="ar"/>
        </w:rPr>
        <w:t>5.4.5  系统业务功能设计</w:t>
      </w:r>
      <w:bookmarkEnd w:id="56"/>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7" w:name="_Toc5532"/>
      <w:r>
        <w:rPr>
          <w:rFonts w:hint="eastAsia" w:ascii="黑体" w:hAnsi="宋体" w:eastAsia="黑体"/>
          <w:color w:val="000000"/>
          <w:sz w:val="28"/>
          <w:szCs w:val="28"/>
        </w:rPr>
        <w:t>5.5  数据库设计</w:t>
      </w:r>
      <w:bookmarkEnd w:id="57"/>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8" w:name="_Toc19212"/>
      <w:r>
        <w:rPr>
          <w:rFonts w:hint="eastAsia" w:eastAsia="黑体" w:cs="黑体"/>
          <w:color w:val="000000"/>
          <w:kern w:val="0"/>
          <w:sz w:val="26"/>
          <w:lang w:bidi="ar"/>
        </w:rPr>
        <w:t>5.5.1  安全管理员数据模型设计</w:t>
      </w:r>
      <w:bookmarkEnd w:id="58"/>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9" w:name="_Toc30020"/>
      <w:r>
        <w:rPr>
          <w:rFonts w:hint="eastAsia" w:eastAsia="黑体" w:cs="黑体"/>
          <w:color w:val="000000"/>
          <w:kern w:val="0"/>
          <w:sz w:val="26"/>
          <w:lang w:bidi="ar"/>
        </w:rPr>
        <w:t>5.5.2  业务员数据模型设计</w:t>
      </w:r>
      <w:bookmarkEnd w:id="59"/>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33"/>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33"/>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0" w:name="_Toc5423"/>
      <w:r>
        <w:rPr>
          <w:rFonts w:hint="eastAsia" w:eastAsia="黑体" w:cs="黑体"/>
          <w:color w:val="000000"/>
          <w:kern w:val="0"/>
          <w:sz w:val="26"/>
          <w:lang w:bidi="ar"/>
        </w:rPr>
        <w:t>5.5.3  安全认证业务数据模型设计</w:t>
      </w:r>
      <w:bookmarkEnd w:id="60"/>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1" w:name="_Toc13255"/>
      <w:r>
        <w:rPr>
          <w:rFonts w:hint="eastAsia" w:ascii="黑体" w:hAnsi="宋体" w:eastAsia="黑体"/>
          <w:color w:val="000000"/>
          <w:sz w:val="28"/>
          <w:szCs w:val="28"/>
        </w:rPr>
        <w:t>5.6  本章小结</w:t>
      </w:r>
      <w:bookmarkEnd w:id="61"/>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2" w:name="_Toc20287"/>
      <w:r>
        <w:rPr>
          <w:rFonts w:hint="eastAsia" w:ascii="黑体" w:hAnsi="黑体" w:eastAsia="黑体"/>
          <w:color w:val="000000"/>
          <w:sz w:val="32"/>
          <w:szCs w:val="32"/>
        </w:rPr>
        <w:t>第6章  系统实现与测试</w:t>
      </w:r>
      <w:bookmarkEnd w:id="62"/>
    </w:p>
    <w:p>
      <w:pPr>
        <w:spacing w:before="480" w:after="120"/>
        <w:outlineLvl w:val="1"/>
        <w:rPr>
          <w:rFonts w:ascii="黑体" w:hAnsi="宋体" w:eastAsia="黑体"/>
          <w:color w:val="000000"/>
          <w:sz w:val="28"/>
          <w:szCs w:val="28"/>
        </w:rPr>
      </w:pPr>
      <w:bookmarkStart w:id="63" w:name="_Toc24059"/>
      <w:r>
        <w:rPr>
          <w:rFonts w:hint="eastAsia" w:ascii="黑体" w:hAnsi="宋体" w:eastAsia="黑体"/>
          <w:color w:val="000000"/>
          <w:sz w:val="28"/>
          <w:szCs w:val="28"/>
        </w:rPr>
        <w:t>6.1  系统的部署实现</w:t>
      </w:r>
      <w:bookmarkEnd w:id="63"/>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4"/>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4"/>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4"/>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4" w:name="_Toc1741"/>
      <w:r>
        <w:rPr>
          <w:rFonts w:hint="eastAsia" w:ascii="黑体" w:hAnsi="宋体" w:eastAsia="黑体"/>
          <w:color w:val="000000"/>
          <w:sz w:val="28"/>
          <w:szCs w:val="28"/>
        </w:rPr>
        <w:t>6.2  测试概要</w:t>
      </w:r>
      <w:bookmarkEnd w:id="64"/>
    </w:p>
    <w:p>
      <w:pPr>
        <w:widowControl/>
        <w:spacing w:before="240" w:after="120"/>
        <w:jc w:val="left"/>
        <w:outlineLvl w:val="2"/>
        <w:rPr>
          <w:rFonts w:eastAsia="黑体" w:cs="黑体"/>
          <w:color w:val="000000"/>
          <w:kern w:val="0"/>
          <w:sz w:val="26"/>
          <w:lang w:bidi="ar"/>
        </w:rPr>
      </w:pPr>
      <w:bookmarkStart w:id="65" w:name="_Toc25588"/>
      <w:r>
        <w:rPr>
          <w:rFonts w:hint="eastAsia" w:eastAsia="黑体" w:cs="黑体"/>
          <w:color w:val="000000"/>
          <w:kern w:val="0"/>
          <w:sz w:val="26"/>
          <w:lang w:bidi="ar"/>
        </w:rPr>
        <w:t>6.2.1  测试概述</w:t>
      </w:r>
      <w:bookmarkEnd w:id="65"/>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6" w:name="_Toc405"/>
      <w:r>
        <w:rPr>
          <w:rFonts w:hint="eastAsia" w:eastAsia="黑体" w:cs="黑体"/>
          <w:color w:val="000000"/>
          <w:kern w:val="0"/>
          <w:sz w:val="26"/>
          <w:lang w:bidi="ar"/>
        </w:rPr>
        <w:t>6.2.2  测试环境</w:t>
      </w:r>
      <w:bookmarkEnd w:id="66"/>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7" w:name="_Toc5539"/>
      <w:r>
        <w:rPr>
          <w:rFonts w:hint="eastAsia" w:ascii="黑体" w:hAnsi="宋体" w:eastAsia="黑体"/>
          <w:color w:val="000000"/>
          <w:sz w:val="28"/>
          <w:szCs w:val="28"/>
        </w:rPr>
        <w:t>6.3  系统功能测试</w:t>
      </w:r>
      <w:bookmarkEnd w:id="67"/>
    </w:p>
    <w:p>
      <w:pPr>
        <w:widowControl/>
        <w:spacing w:before="240" w:after="120"/>
        <w:jc w:val="left"/>
        <w:outlineLvl w:val="2"/>
        <w:rPr>
          <w:rFonts w:eastAsia="黑体" w:cs="黑体"/>
          <w:color w:val="000000"/>
          <w:kern w:val="0"/>
          <w:sz w:val="26"/>
          <w:lang w:bidi="ar"/>
        </w:rPr>
      </w:pPr>
      <w:bookmarkStart w:id="68" w:name="_Toc11802"/>
      <w:r>
        <w:rPr>
          <w:rFonts w:hint="eastAsia" w:eastAsia="黑体" w:cs="黑体"/>
          <w:color w:val="000000"/>
          <w:kern w:val="0"/>
          <w:sz w:val="26"/>
          <w:lang w:bidi="ar"/>
        </w:rPr>
        <w:t>6.3.1  测试需求</w:t>
      </w:r>
      <w:bookmarkEnd w:id="68"/>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9" w:name="_Toc21637"/>
      <w:r>
        <w:rPr>
          <w:rFonts w:hint="eastAsia" w:eastAsia="黑体" w:cs="黑体"/>
          <w:color w:val="000000"/>
          <w:kern w:val="0"/>
          <w:sz w:val="26"/>
          <w:lang w:bidi="ar"/>
        </w:rPr>
        <w:t>6.3.2  测试设计</w:t>
      </w:r>
      <w:bookmarkEnd w:id="69"/>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51"/>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3"/>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0" w:name="_Toc2241"/>
      <w:r>
        <w:rPr>
          <w:rFonts w:hint="eastAsia" w:eastAsia="黑体" w:cs="黑体"/>
          <w:color w:val="000000"/>
          <w:kern w:val="0"/>
          <w:sz w:val="26"/>
          <w:lang w:bidi="ar"/>
        </w:rPr>
        <w:t>6.3.3  测试结果</w:t>
      </w:r>
      <w:bookmarkEnd w:id="70"/>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1" w:name="_Toc20676"/>
      <w:r>
        <w:rPr>
          <w:rFonts w:hint="eastAsia" w:eastAsia="黑体" w:cs="黑体"/>
          <w:color w:val="000000"/>
          <w:kern w:val="0"/>
          <w:sz w:val="26"/>
          <w:lang w:bidi="ar"/>
        </w:rPr>
        <w:t>6.3.4  优化策略</w:t>
      </w:r>
      <w:bookmarkEnd w:id="71"/>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2" w:name="_Toc30978"/>
      <w:r>
        <w:rPr>
          <w:rFonts w:hint="eastAsia" w:ascii="黑体" w:hAnsi="宋体" w:eastAsia="黑体"/>
          <w:color w:val="000000"/>
          <w:sz w:val="28"/>
          <w:szCs w:val="28"/>
        </w:rPr>
        <w:t>6.4  系统非功能测试</w:t>
      </w:r>
      <w:bookmarkEnd w:id="72"/>
    </w:p>
    <w:p>
      <w:pPr>
        <w:widowControl/>
        <w:spacing w:before="240" w:after="120"/>
        <w:jc w:val="left"/>
        <w:outlineLvl w:val="2"/>
        <w:rPr>
          <w:rFonts w:eastAsia="黑体" w:cs="黑体"/>
          <w:color w:val="000000"/>
          <w:kern w:val="0"/>
          <w:sz w:val="26"/>
          <w:lang w:bidi="ar"/>
        </w:rPr>
      </w:pPr>
      <w:bookmarkStart w:id="73" w:name="_Toc13353"/>
      <w:r>
        <w:rPr>
          <w:rFonts w:hint="eastAsia" w:eastAsia="黑体" w:cs="黑体"/>
          <w:color w:val="000000"/>
          <w:kern w:val="0"/>
          <w:sz w:val="26"/>
          <w:lang w:bidi="ar"/>
        </w:rPr>
        <w:t>6.4.1  测试需求</w:t>
      </w:r>
      <w:bookmarkEnd w:id="73"/>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5"/>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5"/>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5"/>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5"/>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5"/>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4" w:name="_Toc2309"/>
      <w:r>
        <w:rPr>
          <w:rFonts w:hint="eastAsia" w:eastAsia="黑体" w:cs="黑体"/>
          <w:color w:val="000000"/>
          <w:kern w:val="0"/>
          <w:sz w:val="26"/>
          <w:lang w:bidi="ar"/>
        </w:rPr>
        <w:t>6.4.2  测试设计</w:t>
      </w:r>
      <w:bookmarkEnd w:id="74"/>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5" w:name="_Toc20910"/>
      <w:r>
        <w:rPr>
          <w:rFonts w:hint="eastAsia" w:eastAsia="黑体" w:cs="黑体"/>
          <w:color w:val="000000"/>
          <w:kern w:val="0"/>
          <w:sz w:val="26"/>
          <w:lang w:bidi="ar"/>
        </w:rPr>
        <w:t>6.4.3  测试结果</w:t>
      </w:r>
      <w:bookmarkEnd w:id="75"/>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6"/>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6"/>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6"/>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6"/>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6"/>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6" w:name="_Toc21353"/>
      <w:r>
        <w:rPr>
          <w:rFonts w:hint="eastAsia" w:eastAsia="黑体" w:cs="黑体"/>
          <w:color w:val="000000"/>
          <w:kern w:val="0"/>
          <w:sz w:val="26"/>
          <w:lang w:bidi="ar"/>
        </w:rPr>
        <w:t>6.4.4  优化策略</w:t>
      </w:r>
      <w:bookmarkEnd w:id="76"/>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7" w:name="_Toc26306"/>
      <w:r>
        <w:rPr>
          <w:rFonts w:hint="eastAsia" w:ascii="黑体" w:hAnsi="宋体" w:eastAsia="黑体"/>
          <w:color w:val="000000"/>
          <w:sz w:val="28"/>
          <w:szCs w:val="28"/>
        </w:rPr>
        <w:t>6.5  本章小结</w:t>
      </w:r>
      <w:bookmarkEnd w:id="77"/>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8" w:name="_Toc8201"/>
      <w:r>
        <w:rPr>
          <w:rFonts w:hint="eastAsia" w:eastAsia="黑体"/>
          <w:b/>
          <w:bCs/>
          <w:color w:val="000000"/>
          <w:sz w:val="32"/>
          <w:szCs w:val="32"/>
        </w:rPr>
        <w:t>第7章  结 论</w:t>
      </w:r>
      <w:bookmarkEnd w:id="78"/>
    </w:p>
    <w:p>
      <w:pPr>
        <w:spacing w:before="480" w:after="120"/>
        <w:outlineLvl w:val="1"/>
        <w:rPr>
          <w:rFonts w:eastAsia="黑体"/>
          <w:color w:val="000000"/>
          <w:sz w:val="28"/>
          <w:szCs w:val="28"/>
        </w:rPr>
      </w:pPr>
      <w:bookmarkStart w:id="79" w:name="_Toc9075"/>
      <w:r>
        <w:rPr>
          <w:rFonts w:hint="eastAsia" w:eastAsia="黑体"/>
          <w:color w:val="000000"/>
          <w:sz w:val="28"/>
          <w:szCs w:val="28"/>
        </w:rPr>
        <w:t>7.1  工作总结</w:t>
      </w:r>
      <w:bookmarkEnd w:id="79"/>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0" w:name="_Toc12265"/>
      <w:r>
        <w:rPr>
          <w:rFonts w:hint="eastAsia" w:eastAsia="黑体"/>
          <w:color w:val="000000"/>
          <w:sz w:val="28"/>
          <w:szCs w:val="28"/>
        </w:rPr>
        <w:t>7.2  课题展望</w:t>
      </w:r>
      <w:bookmarkEnd w:id="80"/>
    </w:p>
    <w:p>
      <w:pPr>
        <w:snapToGrid w:val="0"/>
        <w:spacing w:before="240" w:after="120"/>
        <w:outlineLvl w:val="2"/>
        <w:rPr>
          <w:rFonts w:eastAsia="黑体"/>
          <w:color w:val="000000"/>
          <w:sz w:val="26"/>
        </w:rPr>
      </w:pPr>
      <w:bookmarkStart w:id="81" w:name="_Toc6425"/>
      <w:r>
        <w:rPr>
          <w:rFonts w:hint="eastAsia" w:eastAsia="黑体"/>
          <w:color w:val="000000"/>
          <w:sz w:val="26"/>
        </w:rPr>
        <w:t>7.2.1  不足之处</w:t>
      </w:r>
      <w:bookmarkEnd w:id="81"/>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2" w:name="_Toc31172"/>
      <w:r>
        <w:rPr>
          <w:rFonts w:hint="eastAsia" w:eastAsia="黑体"/>
          <w:color w:val="000000"/>
          <w:sz w:val="26"/>
        </w:rPr>
        <w:t>7.2.2  课题展望</w:t>
      </w:r>
      <w:bookmarkEnd w:id="82"/>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3" w:name="_Toc27454"/>
      <w:r>
        <w:rPr>
          <w:rFonts w:hint="eastAsia" w:ascii="黑体" w:hAnsi="宋体" w:eastAsia="黑体"/>
          <w:b/>
          <w:color w:val="000000"/>
          <w:sz w:val="32"/>
          <w:szCs w:val="32"/>
        </w:rPr>
        <w:t>参 考 文 献</w:t>
      </w:r>
      <w:bookmarkEnd w:id="83"/>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4" w:name="_Toc25551"/>
      <w:r>
        <w:rPr>
          <w:rFonts w:hint="eastAsia" w:ascii="黑体" w:eastAsia="黑体"/>
          <w:b/>
          <w:bCs/>
          <w:color w:val="000000"/>
          <w:sz w:val="32"/>
          <w:szCs w:val="32"/>
        </w:rPr>
        <w:t>致    谢</w:t>
      </w:r>
      <w:bookmarkEnd w:id="84"/>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5"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5"/>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 w:name="仿宋_GB2312">
    <w:altName w:val="方正仿宋_GBK"/>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A2871D14"/>
    <w:multiLevelType w:val="singleLevel"/>
    <w:tmpl w:val="A2871D14"/>
    <w:lvl w:ilvl="0" w:tentative="0">
      <w:start w:val="1"/>
      <w:numFmt w:val="decimal"/>
      <w:lvlText w:val="%1."/>
      <w:lvlJc w:val="left"/>
      <w:pPr>
        <w:tabs>
          <w:tab w:val="left" w:pos="312"/>
        </w:tabs>
      </w:pPr>
    </w:lvl>
  </w:abstractNum>
  <w:abstractNum w:abstractNumId="7">
    <w:nsid w:val="A499A8A9"/>
    <w:multiLevelType w:val="singleLevel"/>
    <w:tmpl w:val="A499A8A9"/>
    <w:lvl w:ilvl="0" w:tentative="0">
      <w:start w:val="1"/>
      <w:numFmt w:val="decimal"/>
      <w:lvlText w:val="%1."/>
      <w:lvlJc w:val="left"/>
      <w:pPr>
        <w:tabs>
          <w:tab w:val="left" w:pos="312"/>
        </w:tabs>
      </w:pPr>
    </w:lvl>
  </w:abstractNum>
  <w:abstractNum w:abstractNumId="8">
    <w:nsid w:val="A620954D"/>
    <w:multiLevelType w:val="singleLevel"/>
    <w:tmpl w:val="A620954D"/>
    <w:lvl w:ilvl="0" w:tentative="0">
      <w:start w:val="1"/>
      <w:numFmt w:val="decimal"/>
      <w:lvlText w:val="%1."/>
      <w:lvlJc w:val="left"/>
      <w:pPr>
        <w:tabs>
          <w:tab w:val="left" w:pos="312"/>
        </w:tabs>
      </w:pPr>
    </w:lvl>
  </w:abstractNum>
  <w:abstractNum w:abstractNumId="9">
    <w:nsid w:val="A777D160"/>
    <w:multiLevelType w:val="singleLevel"/>
    <w:tmpl w:val="A777D160"/>
    <w:lvl w:ilvl="0" w:tentative="0">
      <w:start w:val="1"/>
      <w:numFmt w:val="decimal"/>
      <w:suff w:val="space"/>
      <w:lvlText w:val="%1."/>
      <w:lvlJc w:val="left"/>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209A3"/>
    <w:multiLevelType w:val="singleLevel"/>
    <w:tmpl w:val="BFD209A3"/>
    <w:lvl w:ilvl="0" w:tentative="0">
      <w:start w:val="1"/>
      <w:numFmt w:val="decimal"/>
      <w:suff w:val="space"/>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BFE1B1A"/>
    <w:multiLevelType w:val="singleLevel"/>
    <w:tmpl w:val="DBFE1B1A"/>
    <w:lvl w:ilvl="0" w:tentative="0">
      <w:start w:val="1"/>
      <w:numFmt w:val="decimal"/>
      <w:suff w:val="space"/>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DF2E2DB9"/>
    <w:multiLevelType w:val="singleLevel"/>
    <w:tmpl w:val="DF2E2DB9"/>
    <w:lvl w:ilvl="0" w:tentative="0">
      <w:start w:val="1"/>
      <w:numFmt w:val="decimal"/>
      <w:suff w:val="space"/>
      <w:lvlText w:val="%1."/>
      <w:lvlJc w:val="left"/>
    </w:lvl>
  </w:abstractNum>
  <w:abstractNum w:abstractNumId="29">
    <w:nsid w:val="E5FF41B4"/>
    <w:multiLevelType w:val="singleLevel"/>
    <w:tmpl w:val="E5FF41B4"/>
    <w:lvl w:ilvl="0" w:tentative="0">
      <w:start w:val="1"/>
      <w:numFmt w:val="decimal"/>
      <w:suff w:val="space"/>
      <w:lvlText w:val="%1."/>
      <w:lvlJc w:val="left"/>
    </w:lvl>
  </w:abstractNum>
  <w:abstractNum w:abstractNumId="30">
    <w:nsid w:val="E7BE5EEA"/>
    <w:multiLevelType w:val="singleLevel"/>
    <w:tmpl w:val="E7BE5EEA"/>
    <w:lvl w:ilvl="0" w:tentative="0">
      <w:start w:val="1"/>
      <w:numFmt w:val="decimal"/>
      <w:suff w:val="space"/>
      <w:lvlText w:val="%1."/>
      <w:lvlJc w:val="left"/>
    </w:lvl>
  </w:abstractNum>
  <w:abstractNum w:abstractNumId="31">
    <w:nsid w:val="EAFF42CC"/>
    <w:multiLevelType w:val="singleLevel"/>
    <w:tmpl w:val="EAFF42CC"/>
    <w:lvl w:ilvl="0" w:tentative="0">
      <w:start w:val="2"/>
      <w:numFmt w:val="decimal"/>
      <w:suff w:val="nothing"/>
      <w:lvlText w:val="（%1）"/>
      <w:lvlJc w:val="left"/>
    </w:lvl>
  </w:abstractNum>
  <w:abstractNum w:abstractNumId="32">
    <w:nsid w:val="EBF940FB"/>
    <w:multiLevelType w:val="singleLevel"/>
    <w:tmpl w:val="EBF940FB"/>
    <w:lvl w:ilvl="0" w:tentative="0">
      <w:start w:val="1"/>
      <w:numFmt w:val="decimal"/>
      <w:suff w:val="space"/>
      <w:lvlText w:val="%1."/>
      <w:lvlJc w:val="left"/>
    </w:lvl>
  </w:abstractNum>
  <w:abstractNum w:abstractNumId="33">
    <w:nsid w:val="ED1664F0"/>
    <w:multiLevelType w:val="singleLevel"/>
    <w:tmpl w:val="ED1664F0"/>
    <w:lvl w:ilvl="0" w:tentative="0">
      <w:start w:val="1"/>
      <w:numFmt w:val="decimal"/>
      <w:suff w:val="nothing"/>
      <w:lvlText w:val="（%1）"/>
      <w:lvlJc w:val="left"/>
    </w:lvl>
  </w:abstractNum>
  <w:abstractNum w:abstractNumId="34">
    <w:nsid w:val="F6B3FF0D"/>
    <w:multiLevelType w:val="singleLevel"/>
    <w:tmpl w:val="F6B3FF0D"/>
    <w:lvl w:ilvl="0" w:tentative="0">
      <w:start w:val="1"/>
      <w:numFmt w:val="decimal"/>
      <w:lvlText w:val="%1."/>
      <w:lvlJc w:val="left"/>
      <w:pPr>
        <w:tabs>
          <w:tab w:val="left" w:pos="312"/>
        </w:tabs>
      </w:pPr>
    </w:lvl>
  </w:abstractNum>
  <w:abstractNum w:abstractNumId="35">
    <w:nsid w:val="F7D0E3E5"/>
    <w:multiLevelType w:val="singleLevel"/>
    <w:tmpl w:val="F7D0E3E5"/>
    <w:lvl w:ilvl="0" w:tentative="0">
      <w:start w:val="1"/>
      <w:numFmt w:val="decimal"/>
      <w:suff w:val="space"/>
      <w:lvlText w:val="%1."/>
      <w:lvlJc w:val="left"/>
    </w:lvl>
  </w:abstractNum>
  <w:abstractNum w:abstractNumId="36">
    <w:nsid w:val="FC74F208"/>
    <w:multiLevelType w:val="singleLevel"/>
    <w:tmpl w:val="FC74F208"/>
    <w:lvl w:ilvl="0" w:tentative="0">
      <w:start w:val="1"/>
      <w:numFmt w:val="decimal"/>
      <w:suff w:val="nothing"/>
      <w:lvlText w:val="%1）"/>
      <w:lvlJc w:val="left"/>
    </w:lvl>
  </w:abstractNum>
  <w:abstractNum w:abstractNumId="37">
    <w:nsid w:val="FF7F1A97"/>
    <w:multiLevelType w:val="singleLevel"/>
    <w:tmpl w:val="FF7F1A97"/>
    <w:lvl w:ilvl="0" w:tentative="0">
      <w:start w:val="1"/>
      <w:numFmt w:val="decimal"/>
      <w:suff w:val="space"/>
      <w:lvlText w:val="%1."/>
      <w:lvlJc w:val="left"/>
    </w:lvl>
  </w:abstractNum>
  <w:abstractNum w:abstractNumId="38">
    <w:nsid w:val="FFFF50D9"/>
    <w:multiLevelType w:val="singleLevel"/>
    <w:tmpl w:val="FFFF50D9"/>
    <w:lvl w:ilvl="0" w:tentative="0">
      <w:start w:val="1"/>
      <w:numFmt w:val="decimal"/>
      <w:suff w:val="nothing"/>
      <w:lvlText w:val="（%1）"/>
      <w:lvlJc w:val="left"/>
    </w:lvl>
  </w:abstractNum>
  <w:abstractNum w:abstractNumId="39">
    <w:nsid w:val="FFFFB285"/>
    <w:multiLevelType w:val="singleLevel"/>
    <w:tmpl w:val="FFFFB285"/>
    <w:lvl w:ilvl="0" w:tentative="0">
      <w:start w:val="1"/>
      <w:numFmt w:val="decimal"/>
      <w:suff w:val="nothing"/>
      <w:lvlText w:val="（%1）"/>
      <w:lvlJc w:val="left"/>
    </w:lvl>
  </w:abstractNum>
  <w:abstractNum w:abstractNumId="40">
    <w:nsid w:val="0A1FFE84"/>
    <w:multiLevelType w:val="singleLevel"/>
    <w:tmpl w:val="0A1FFE84"/>
    <w:lvl w:ilvl="0" w:tentative="0">
      <w:start w:val="1"/>
      <w:numFmt w:val="decimal"/>
      <w:lvlText w:val="%1."/>
      <w:lvlJc w:val="left"/>
      <w:pPr>
        <w:tabs>
          <w:tab w:val="left" w:pos="312"/>
        </w:tabs>
      </w:pPr>
    </w:lvl>
  </w:abstractNum>
  <w:abstractNum w:abstractNumId="41">
    <w:nsid w:val="100F4C05"/>
    <w:multiLevelType w:val="singleLevel"/>
    <w:tmpl w:val="100F4C05"/>
    <w:lvl w:ilvl="0" w:tentative="0">
      <w:start w:val="1"/>
      <w:numFmt w:val="decimal"/>
      <w:lvlText w:val="%1."/>
      <w:lvlJc w:val="left"/>
      <w:pPr>
        <w:tabs>
          <w:tab w:val="left" w:pos="312"/>
        </w:tabs>
      </w:pPr>
    </w:lvl>
  </w:abstractNum>
  <w:abstractNum w:abstractNumId="42">
    <w:nsid w:val="1EE86B5D"/>
    <w:multiLevelType w:val="singleLevel"/>
    <w:tmpl w:val="1EE86B5D"/>
    <w:lvl w:ilvl="0" w:tentative="0">
      <w:start w:val="1"/>
      <w:numFmt w:val="decimal"/>
      <w:lvlText w:val="%1."/>
      <w:lvlJc w:val="left"/>
      <w:pPr>
        <w:tabs>
          <w:tab w:val="left" w:pos="312"/>
        </w:tabs>
      </w:pPr>
    </w:lvl>
  </w:abstractNum>
  <w:abstractNum w:abstractNumId="43">
    <w:nsid w:val="3723140B"/>
    <w:multiLevelType w:val="singleLevel"/>
    <w:tmpl w:val="3723140B"/>
    <w:lvl w:ilvl="0" w:tentative="0">
      <w:start w:val="1"/>
      <w:numFmt w:val="decimal"/>
      <w:suff w:val="nothing"/>
      <w:lvlText w:val="（%1）"/>
      <w:lvlJc w:val="left"/>
    </w:lvl>
  </w:abstractNum>
  <w:abstractNum w:abstractNumId="44">
    <w:nsid w:val="3F58D486"/>
    <w:multiLevelType w:val="singleLevel"/>
    <w:tmpl w:val="3F58D486"/>
    <w:lvl w:ilvl="0" w:tentative="0">
      <w:start w:val="1"/>
      <w:numFmt w:val="decimal"/>
      <w:suff w:val="space"/>
      <w:lvlText w:val="（%1）"/>
      <w:lvlJc w:val="left"/>
    </w:lvl>
  </w:abstractNum>
  <w:abstractNum w:abstractNumId="45">
    <w:nsid w:val="3FFF801E"/>
    <w:multiLevelType w:val="singleLevel"/>
    <w:tmpl w:val="3FFF801E"/>
    <w:lvl w:ilvl="0" w:tentative="0">
      <w:start w:val="1"/>
      <w:numFmt w:val="decimal"/>
      <w:suff w:val="space"/>
      <w:lvlText w:val="%1."/>
      <w:lvlJc w:val="left"/>
    </w:lvl>
  </w:abstractNum>
  <w:abstractNum w:abstractNumId="46">
    <w:nsid w:val="4C14F343"/>
    <w:multiLevelType w:val="singleLevel"/>
    <w:tmpl w:val="4C14F343"/>
    <w:lvl w:ilvl="0" w:tentative="0">
      <w:start w:val="1"/>
      <w:numFmt w:val="decimal"/>
      <w:lvlText w:val="%1."/>
      <w:lvlJc w:val="left"/>
      <w:pPr>
        <w:tabs>
          <w:tab w:val="left" w:pos="312"/>
        </w:tabs>
      </w:pPr>
    </w:lvl>
  </w:abstractNum>
  <w:abstractNum w:abstractNumId="47">
    <w:nsid w:val="56F2D59C"/>
    <w:multiLevelType w:val="singleLevel"/>
    <w:tmpl w:val="56F2D59C"/>
    <w:lvl w:ilvl="0" w:tentative="0">
      <w:start w:val="1"/>
      <w:numFmt w:val="decimal"/>
      <w:lvlText w:val="%1."/>
      <w:lvlJc w:val="left"/>
      <w:pPr>
        <w:tabs>
          <w:tab w:val="left" w:pos="312"/>
        </w:tabs>
      </w:pPr>
    </w:lvl>
  </w:abstractNum>
  <w:abstractNum w:abstractNumId="48">
    <w:nsid w:val="5BFB4811"/>
    <w:multiLevelType w:val="singleLevel"/>
    <w:tmpl w:val="5BFB4811"/>
    <w:lvl w:ilvl="0" w:tentative="0">
      <w:start w:val="1"/>
      <w:numFmt w:val="decimal"/>
      <w:suff w:val="space"/>
      <w:lvlText w:val="%1."/>
      <w:lvlJc w:val="left"/>
    </w:lvl>
  </w:abstractNum>
  <w:abstractNum w:abstractNumId="49">
    <w:nsid w:val="65CCF13E"/>
    <w:multiLevelType w:val="singleLevel"/>
    <w:tmpl w:val="65CCF13E"/>
    <w:lvl w:ilvl="0" w:tentative="0">
      <w:start w:val="1"/>
      <w:numFmt w:val="decimal"/>
      <w:suff w:val="nothing"/>
      <w:lvlText w:val="（%1）"/>
      <w:lvlJc w:val="left"/>
      <w:pPr>
        <w:ind w:left="360"/>
      </w:pPr>
    </w:lvl>
  </w:abstractNum>
  <w:abstractNum w:abstractNumId="50">
    <w:nsid w:val="6D16D427"/>
    <w:multiLevelType w:val="singleLevel"/>
    <w:tmpl w:val="6D16D427"/>
    <w:lvl w:ilvl="0" w:tentative="0">
      <w:start w:val="1"/>
      <w:numFmt w:val="decimal"/>
      <w:suff w:val="space"/>
      <w:lvlText w:val="%1."/>
      <w:lvlJc w:val="left"/>
    </w:lvl>
  </w:abstractNum>
  <w:abstractNum w:abstractNumId="51">
    <w:nsid w:val="73EE7252"/>
    <w:multiLevelType w:val="singleLevel"/>
    <w:tmpl w:val="73EE7252"/>
    <w:lvl w:ilvl="0" w:tentative="0">
      <w:start w:val="1"/>
      <w:numFmt w:val="decimal"/>
      <w:suff w:val="space"/>
      <w:lvlText w:val="%1."/>
      <w:lvlJc w:val="left"/>
    </w:lvl>
  </w:abstractNum>
  <w:abstractNum w:abstractNumId="52">
    <w:nsid w:val="757EC989"/>
    <w:multiLevelType w:val="singleLevel"/>
    <w:tmpl w:val="757EC989"/>
    <w:lvl w:ilvl="0" w:tentative="0">
      <w:start w:val="1"/>
      <w:numFmt w:val="decimal"/>
      <w:lvlText w:val="%1."/>
      <w:lvlJc w:val="left"/>
      <w:pPr>
        <w:tabs>
          <w:tab w:val="left" w:pos="312"/>
        </w:tabs>
      </w:pPr>
    </w:lvl>
  </w:abstractNum>
  <w:abstractNum w:abstractNumId="53">
    <w:nsid w:val="799FA772"/>
    <w:multiLevelType w:val="singleLevel"/>
    <w:tmpl w:val="799FA772"/>
    <w:lvl w:ilvl="0" w:tentative="0">
      <w:start w:val="1"/>
      <w:numFmt w:val="decimal"/>
      <w:suff w:val="space"/>
      <w:lvlText w:val="%1."/>
      <w:lvlJc w:val="left"/>
    </w:lvl>
  </w:abstractNum>
  <w:abstractNum w:abstractNumId="54">
    <w:nsid w:val="7E092ABC"/>
    <w:multiLevelType w:val="singleLevel"/>
    <w:tmpl w:val="7E092ABC"/>
    <w:lvl w:ilvl="0" w:tentative="0">
      <w:start w:val="1"/>
      <w:numFmt w:val="decimal"/>
      <w:lvlText w:val="%1."/>
      <w:lvlJc w:val="left"/>
      <w:pPr>
        <w:tabs>
          <w:tab w:val="left" w:pos="312"/>
        </w:tabs>
      </w:pPr>
    </w:lvl>
  </w:abstractNum>
  <w:abstractNum w:abstractNumId="55">
    <w:nsid w:val="7FFD534B"/>
    <w:multiLevelType w:val="singleLevel"/>
    <w:tmpl w:val="7FFD534B"/>
    <w:lvl w:ilvl="0" w:tentative="0">
      <w:start w:val="1"/>
      <w:numFmt w:val="decimal"/>
      <w:suff w:val="nothing"/>
      <w:lvlText w:val="%1）"/>
      <w:lvlJc w:val="left"/>
    </w:lvl>
  </w:abstractNum>
  <w:num w:numId="1">
    <w:abstractNumId w:val="55"/>
  </w:num>
  <w:num w:numId="2">
    <w:abstractNumId w:val="31"/>
  </w:num>
  <w:num w:numId="3">
    <w:abstractNumId w:val="23"/>
  </w:num>
  <w:num w:numId="4">
    <w:abstractNumId w:val="22"/>
  </w:num>
  <w:num w:numId="5">
    <w:abstractNumId w:val="36"/>
  </w:num>
  <w:num w:numId="6">
    <w:abstractNumId w:val="20"/>
  </w:num>
  <w:num w:numId="7">
    <w:abstractNumId w:val="15"/>
  </w:num>
  <w:num w:numId="8">
    <w:abstractNumId w:val="33"/>
  </w:num>
  <w:num w:numId="9">
    <w:abstractNumId w:val="14"/>
  </w:num>
  <w:num w:numId="10">
    <w:abstractNumId w:val="39"/>
  </w:num>
  <w:num w:numId="11">
    <w:abstractNumId w:val="25"/>
  </w:num>
  <w:num w:numId="12">
    <w:abstractNumId w:val="5"/>
  </w:num>
  <w:num w:numId="13">
    <w:abstractNumId w:val="38"/>
  </w:num>
  <w:num w:numId="14">
    <w:abstractNumId w:val="9"/>
  </w:num>
  <w:num w:numId="15">
    <w:abstractNumId w:val="50"/>
  </w:num>
  <w:num w:numId="16">
    <w:abstractNumId w:val="26"/>
  </w:num>
  <w:num w:numId="17">
    <w:abstractNumId w:val="45"/>
  </w:num>
  <w:num w:numId="18">
    <w:abstractNumId w:val="48"/>
  </w:num>
  <w:num w:numId="19">
    <w:abstractNumId w:val="51"/>
  </w:num>
  <w:num w:numId="20">
    <w:abstractNumId w:val="28"/>
  </w:num>
  <w:num w:numId="21">
    <w:abstractNumId w:val="37"/>
  </w:num>
  <w:num w:numId="22">
    <w:abstractNumId w:val="19"/>
  </w:num>
  <w:num w:numId="23">
    <w:abstractNumId w:val="29"/>
  </w:num>
  <w:num w:numId="24">
    <w:abstractNumId w:val="32"/>
  </w:num>
  <w:num w:numId="25">
    <w:abstractNumId w:val="30"/>
  </w:num>
  <w:num w:numId="26">
    <w:abstractNumId w:val="35"/>
  </w:num>
  <w:num w:numId="27">
    <w:abstractNumId w:val="53"/>
  </w:num>
  <w:num w:numId="28">
    <w:abstractNumId w:val="43"/>
  </w:num>
  <w:num w:numId="29">
    <w:abstractNumId w:val="49"/>
  </w:num>
  <w:num w:numId="30">
    <w:abstractNumId w:val="2"/>
  </w:num>
  <w:num w:numId="31">
    <w:abstractNumId w:val="18"/>
  </w:num>
  <w:num w:numId="32">
    <w:abstractNumId w:val="27"/>
  </w:num>
  <w:num w:numId="33">
    <w:abstractNumId w:val="10"/>
  </w:num>
  <w:num w:numId="34">
    <w:abstractNumId w:val="0"/>
  </w:num>
  <w:num w:numId="35">
    <w:abstractNumId w:val="21"/>
  </w:num>
  <w:num w:numId="36">
    <w:abstractNumId w:val="7"/>
  </w:num>
  <w:num w:numId="37">
    <w:abstractNumId w:val="54"/>
  </w:num>
  <w:num w:numId="38">
    <w:abstractNumId w:val="46"/>
  </w:num>
  <w:num w:numId="39">
    <w:abstractNumId w:val="13"/>
  </w:num>
  <w:num w:numId="40">
    <w:abstractNumId w:val="1"/>
  </w:num>
  <w:num w:numId="41">
    <w:abstractNumId w:val="3"/>
  </w:num>
  <w:num w:numId="42">
    <w:abstractNumId w:val="11"/>
  </w:num>
  <w:num w:numId="43">
    <w:abstractNumId w:val="6"/>
  </w:num>
  <w:num w:numId="44">
    <w:abstractNumId w:val="41"/>
  </w:num>
  <w:num w:numId="45">
    <w:abstractNumId w:val="42"/>
  </w:num>
  <w:num w:numId="46">
    <w:abstractNumId w:val="17"/>
  </w:num>
  <w:num w:numId="47">
    <w:abstractNumId w:val="24"/>
  </w:num>
  <w:num w:numId="48">
    <w:abstractNumId w:val="52"/>
  </w:num>
  <w:num w:numId="49">
    <w:abstractNumId w:val="8"/>
  </w:num>
  <w:num w:numId="50">
    <w:abstractNumId w:val="16"/>
  </w:num>
  <w:num w:numId="51">
    <w:abstractNumId w:val="40"/>
  </w:num>
  <w:num w:numId="52">
    <w:abstractNumId w:val="12"/>
  </w:num>
  <w:num w:numId="53">
    <w:abstractNumId w:val="47"/>
  </w:num>
  <w:num w:numId="54">
    <w:abstractNumId w:val="34"/>
  </w:num>
  <w:num w:numId="55">
    <w:abstractNumId w:val="4"/>
  </w:num>
  <w:num w:numId="5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E44F4"/>
    <w:rsid w:val="3BBF18AD"/>
    <w:rsid w:val="3BBFE545"/>
    <w:rsid w:val="3BDD724D"/>
    <w:rsid w:val="3BEE7E1F"/>
    <w:rsid w:val="3BFB944C"/>
    <w:rsid w:val="3C06735A"/>
    <w:rsid w:val="3C147155"/>
    <w:rsid w:val="3C6C279A"/>
    <w:rsid w:val="3C7A0F6B"/>
    <w:rsid w:val="3CAF4FAA"/>
    <w:rsid w:val="3CFF208D"/>
    <w:rsid w:val="3D114ACC"/>
    <w:rsid w:val="3D6C2B14"/>
    <w:rsid w:val="3DC71727"/>
    <w:rsid w:val="3DFD5293"/>
    <w:rsid w:val="3E2D1EA8"/>
    <w:rsid w:val="3E65EE1E"/>
    <w:rsid w:val="3E6B0792"/>
    <w:rsid w:val="3E9F0310"/>
    <w:rsid w:val="3EAB18E0"/>
    <w:rsid w:val="3ED86198"/>
    <w:rsid w:val="3EF20CA1"/>
    <w:rsid w:val="3EFEE166"/>
    <w:rsid w:val="3EFF9314"/>
    <w:rsid w:val="3F37FDE6"/>
    <w:rsid w:val="3F67295F"/>
    <w:rsid w:val="3F6C9079"/>
    <w:rsid w:val="3F7DDC64"/>
    <w:rsid w:val="3F7E363A"/>
    <w:rsid w:val="3F7F291C"/>
    <w:rsid w:val="3F7F5186"/>
    <w:rsid w:val="3F7FCA3C"/>
    <w:rsid w:val="3F887E3A"/>
    <w:rsid w:val="3F8BD84F"/>
    <w:rsid w:val="3FADA4EE"/>
    <w:rsid w:val="3FB43636"/>
    <w:rsid w:val="3FB752AA"/>
    <w:rsid w:val="3FBF242D"/>
    <w:rsid w:val="3FCA805C"/>
    <w:rsid w:val="3FD3AC1E"/>
    <w:rsid w:val="3FD7A3D5"/>
    <w:rsid w:val="3FE319A3"/>
    <w:rsid w:val="3FEC4726"/>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BFEDA46"/>
    <w:rsid w:val="4C4C6B0D"/>
    <w:rsid w:val="4CA318F1"/>
    <w:rsid w:val="4CAD2B19"/>
    <w:rsid w:val="4CBC72ED"/>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AB217B"/>
    <w:rsid w:val="5B3F00F7"/>
    <w:rsid w:val="5B3F8DB4"/>
    <w:rsid w:val="5B53B340"/>
    <w:rsid w:val="5B592ED6"/>
    <w:rsid w:val="5BB27C8D"/>
    <w:rsid w:val="5BCE6B04"/>
    <w:rsid w:val="5BD270EE"/>
    <w:rsid w:val="5BDDBAD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FD6E0A"/>
    <w:rsid w:val="66FE59B0"/>
    <w:rsid w:val="671F68AC"/>
    <w:rsid w:val="673F4001"/>
    <w:rsid w:val="67B9FDBC"/>
    <w:rsid w:val="67EA36D2"/>
    <w:rsid w:val="67F39C19"/>
    <w:rsid w:val="67F3DB82"/>
    <w:rsid w:val="67FF5B3E"/>
    <w:rsid w:val="67FFD3B9"/>
    <w:rsid w:val="682FF71E"/>
    <w:rsid w:val="693B220F"/>
    <w:rsid w:val="696F55F7"/>
    <w:rsid w:val="6972003D"/>
    <w:rsid w:val="69CD6356"/>
    <w:rsid w:val="69F22AE2"/>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6F9591"/>
    <w:rsid w:val="6D7EC9CB"/>
    <w:rsid w:val="6D857548"/>
    <w:rsid w:val="6D951588"/>
    <w:rsid w:val="6DBB7EC7"/>
    <w:rsid w:val="6DBE126F"/>
    <w:rsid w:val="6DCD72AE"/>
    <w:rsid w:val="6DE63E59"/>
    <w:rsid w:val="6DFE6EE4"/>
    <w:rsid w:val="6DFF7FD4"/>
    <w:rsid w:val="6E6D4335"/>
    <w:rsid w:val="6EDD0FA6"/>
    <w:rsid w:val="6EF81E8B"/>
    <w:rsid w:val="6EFFE04F"/>
    <w:rsid w:val="6F2DB8E7"/>
    <w:rsid w:val="6F2EF821"/>
    <w:rsid w:val="6F444B83"/>
    <w:rsid w:val="6F7724CA"/>
    <w:rsid w:val="6FB60B83"/>
    <w:rsid w:val="6FB6B12A"/>
    <w:rsid w:val="6FB760DC"/>
    <w:rsid w:val="6FCE393B"/>
    <w:rsid w:val="6FDB0BCE"/>
    <w:rsid w:val="6FDF3D46"/>
    <w:rsid w:val="6FE5F87B"/>
    <w:rsid w:val="6FE9C5C8"/>
    <w:rsid w:val="6FF77695"/>
    <w:rsid w:val="6FF7C08D"/>
    <w:rsid w:val="6FFB7B68"/>
    <w:rsid w:val="6FFB8029"/>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62DE904"/>
    <w:rsid w:val="766E1EB6"/>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EB3B0"/>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E7CF53"/>
    <w:rsid w:val="7BF63B49"/>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F126FC"/>
    <w:rsid w:val="7FF283F0"/>
    <w:rsid w:val="7FF37141"/>
    <w:rsid w:val="7FF4AE70"/>
    <w:rsid w:val="7FF54A62"/>
    <w:rsid w:val="7FF58BEF"/>
    <w:rsid w:val="7FF5B9B9"/>
    <w:rsid w:val="7FF7CDAA"/>
    <w:rsid w:val="7FF7EE23"/>
    <w:rsid w:val="7FFB0078"/>
    <w:rsid w:val="7FFB00C7"/>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7B60CE"/>
    <w:rsid w:val="9BEF9F59"/>
    <w:rsid w:val="9BFF7D52"/>
    <w:rsid w:val="9CF37C49"/>
    <w:rsid w:val="9D5ECB08"/>
    <w:rsid w:val="9D7BFADC"/>
    <w:rsid w:val="9DAFC0A9"/>
    <w:rsid w:val="9DF9979C"/>
    <w:rsid w:val="9DFFBBCD"/>
    <w:rsid w:val="9E2F2238"/>
    <w:rsid w:val="9E9D9867"/>
    <w:rsid w:val="9EDE2AE3"/>
    <w:rsid w:val="9F3A62A6"/>
    <w:rsid w:val="9FBF9D7D"/>
    <w:rsid w:val="9FDD22FB"/>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94BF061"/>
    <w:rsid w:val="B9FFA46B"/>
    <w:rsid w:val="BA5CBEC6"/>
    <w:rsid w:val="BABF8010"/>
    <w:rsid w:val="BABF9DBC"/>
    <w:rsid w:val="BB3EF1B1"/>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BD17E"/>
    <w:rsid w:val="BFDFCF6F"/>
    <w:rsid w:val="BFEBE407"/>
    <w:rsid w:val="BFF02670"/>
    <w:rsid w:val="BFFB0211"/>
    <w:rsid w:val="BFFD5722"/>
    <w:rsid w:val="BFFD7427"/>
    <w:rsid w:val="C6BF10A5"/>
    <w:rsid w:val="C7B41E1C"/>
    <w:rsid w:val="C7DDE9FF"/>
    <w:rsid w:val="C7FFE71A"/>
    <w:rsid w:val="CBF70D76"/>
    <w:rsid w:val="CBFA74AC"/>
    <w:rsid w:val="CDDD8EDB"/>
    <w:rsid w:val="CDFFA4CA"/>
    <w:rsid w:val="CDFFADC5"/>
    <w:rsid w:val="CE938DC6"/>
    <w:rsid w:val="CF45158F"/>
    <w:rsid w:val="CF7D8BE1"/>
    <w:rsid w:val="CFB6DB2E"/>
    <w:rsid w:val="CFBD1627"/>
    <w:rsid w:val="CFFDC2A4"/>
    <w:rsid w:val="D13E0CBF"/>
    <w:rsid w:val="D15B0EF0"/>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F7FCBF"/>
    <w:rsid w:val="DCFBF91C"/>
    <w:rsid w:val="DDD61ECE"/>
    <w:rsid w:val="DDFD42AE"/>
    <w:rsid w:val="DDFFAF02"/>
    <w:rsid w:val="DE7DE3A9"/>
    <w:rsid w:val="DE9F45B9"/>
    <w:rsid w:val="DEBBBACC"/>
    <w:rsid w:val="DEDCFAD1"/>
    <w:rsid w:val="DEDF58F7"/>
    <w:rsid w:val="DEFBA4C6"/>
    <w:rsid w:val="DF4B365C"/>
    <w:rsid w:val="DF57690D"/>
    <w:rsid w:val="DF6D3DA2"/>
    <w:rsid w:val="DF7301FE"/>
    <w:rsid w:val="DF7E6355"/>
    <w:rsid w:val="DF7EAE43"/>
    <w:rsid w:val="DF999262"/>
    <w:rsid w:val="DF9DE299"/>
    <w:rsid w:val="DFABCEF3"/>
    <w:rsid w:val="DFAE5131"/>
    <w:rsid w:val="DFBBB7BD"/>
    <w:rsid w:val="DFBDE002"/>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FA672"/>
    <w:rsid w:val="EBFE8B27"/>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FAA07"/>
    <w:rsid w:val="EFBF55DC"/>
    <w:rsid w:val="EFDEF807"/>
    <w:rsid w:val="EFDF51E2"/>
    <w:rsid w:val="EFF0AC50"/>
    <w:rsid w:val="EFF137AB"/>
    <w:rsid w:val="EFF57E73"/>
    <w:rsid w:val="EFFAAB69"/>
    <w:rsid w:val="EFFDDCE6"/>
    <w:rsid w:val="EFFE35CC"/>
    <w:rsid w:val="EFFF8FAE"/>
    <w:rsid w:val="EFFF9FB4"/>
    <w:rsid w:val="EFFFD03D"/>
    <w:rsid w:val="EFFFF399"/>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6AEF3"/>
    <w:rsid w:val="F4FE255C"/>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C51E90"/>
    <w:rsid w:val="F7D8FE52"/>
    <w:rsid w:val="F7EF3847"/>
    <w:rsid w:val="F7EFC247"/>
    <w:rsid w:val="F7F30B1A"/>
    <w:rsid w:val="F7F627DC"/>
    <w:rsid w:val="F7F6BE77"/>
    <w:rsid w:val="F7F9E291"/>
    <w:rsid w:val="F7FA8869"/>
    <w:rsid w:val="F7FD192F"/>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5E285"/>
    <w:rsid w:val="FEFBA8F9"/>
    <w:rsid w:val="FEFBDE7D"/>
    <w:rsid w:val="FEFCF6CB"/>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E2368"/>
    <w:rsid w:val="FFBF1793"/>
    <w:rsid w:val="FFBF8302"/>
    <w:rsid w:val="FFC7AECA"/>
    <w:rsid w:val="FFCB8E04"/>
    <w:rsid w:val="FFCBEB0E"/>
    <w:rsid w:val="FFCFEACA"/>
    <w:rsid w:val="FFD27586"/>
    <w:rsid w:val="FFD7A005"/>
    <w:rsid w:val="FFDA3A54"/>
    <w:rsid w:val="FFDC302C"/>
    <w:rsid w:val="FFDF14C5"/>
    <w:rsid w:val="FFDF8759"/>
    <w:rsid w:val="FFE59807"/>
    <w:rsid w:val="FFE5D90C"/>
    <w:rsid w:val="FFEADEC7"/>
    <w:rsid w:val="FFEBC6FB"/>
    <w:rsid w:val="FFEE7CB6"/>
    <w:rsid w:val="FFEF1D97"/>
    <w:rsid w:val="FFEF2274"/>
    <w:rsid w:val="FFEFE9B5"/>
    <w:rsid w:val="FFF07CCE"/>
    <w:rsid w:val="FFF5A7F4"/>
    <w:rsid w:val="FFF6BC88"/>
    <w:rsid w:val="FFF71967"/>
    <w:rsid w:val="FFF762FC"/>
    <w:rsid w:val="FFF77317"/>
    <w:rsid w:val="FFF7C599"/>
    <w:rsid w:val="FFF89DCC"/>
    <w:rsid w:val="FFF97D85"/>
    <w:rsid w:val="FFFA6A64"/>
    <w:rsid w:val="FFFABAD1"/>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png"/><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15</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2023-06-01T21:05:34Z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