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清分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328295</wp:posOffset>
            </wp:positionH>
            <wp:positionV relativeFrom="paragraph">
              <wp:posOffset>31115</wp:posOffset>
            </wp:positionV>
            <wp:extent cx="4763770" cy="4345305"/>
            <wp:effectExtent l="0" t="0" r="11430" b="23495"/>
            <wp:wrapTopAndBottom/>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4"/>
                    <pic:cNvPicPr>
                      <a:picLocks noChangeAspect="1"/>
                    </pic:cNvPicPr>
                  </pic:nvPicPr>
                  <pic:blipFill>
                    <a:blip r:embed="rId58"/>
                    <a:stretch>
                      <a:fillRect/>
                    </a:stretch>
                  </pic:blipFill>
                  <pic:spPr>
                    <a:xfrm>
                      <a:off x="0" y="0"/>
                      <a:ext cx="4763770" cy="4345305"/>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把交易手续费计算逻辑委托给收费模型ChargeCalculator，然后再计算其他费项。</w:t>
      </w:r>
    </w:p>
    <w:p>
      <w:pPr>
        <w:spacing w:line="400" w:lineRule="exact"/>
        <w:ind w:firstLine="420" w:firstLineChars="0"/>
        <w:rPr>
          <w:rFonts w:hint="default" w:cs="宋体"/>
          <w:color w:val="000000"/>
          <w:sz w:val="24"/>
          <w:vertAlign w:val="subscript"/>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对此，根据领域驱动设计思想，设计计费模型、计费仓库和计费服务，整体类图如下所示。</w:t>
      </w:r>
      <w:bookmarkStart w:id="83" w:name="_GoBack"/>
      <w:bookmarkEnd w:id="83"/>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9"/>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0"/>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1"/>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2"/>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4"/>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6"/>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7"/>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8"/>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9"/>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0"/>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2"/>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3"/>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4"/>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5"/>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6"/>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7"/>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8"/>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2"/>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3"/>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4"/>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5"/>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6"/>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7"/>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8"/>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9"/>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0"/>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E16DD"/>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ED609"/>
    <w:rsid w:val="5DEFFFDA"/>
    <w:rsid w:val="5DFB8145"/>
    <w:rsid w:val="5DFD0FC7"/>
    <w:rsid w:val="5DFDBA3A"/>
    <w:rsid w:val="5DFEABD0"/>
    <w:rsid w:val="5DFFC60B"/>
    <w:rsid w:val="5E5999FB"/>
    <w:rsid w:val="5E5EBD17"/>
    <w:rsid w:val="5EAB5A40"/>
    <w:rsid w:val="5EBDB6A6"/>
    <w:rsid w:val="5EBF2FC8"/>
    <w:rsid w:val="5EBF4372"/>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C685A"/>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D1D15"/>
    <w:rsid w:val="77FDDBD4"/>
    <w:rsid w:val="77FED3EC"/>
    <w:rsid w:val="77FEDEA8"/>
    <w:rsid w:val="77FF283B"/>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B70741"/>
    <w:rsid w:val="7CFB049E"/>
    <w:rsid w:val="7CFEBB7E"/>
    <w:rsid w:val="7CFF62A4"/>
    <w:rsid w:val="7D1B874F"/>
    <w:rsid w:val="7D2F871F"/>
    <w:rsid w:val="7D3067F4"/>
    <w:rsid w:val="7D5DD01D"/>
    <w:rsid w:val="7D7C1EBA"/>
    <w:rsid w:val="7D7F04E5"/>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CB299"/>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EFFD53B"/>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46CD"/>
    <w:rsid w:val="7FCFF785"/>
    <w:rsid w:val="7FD782A6"/>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D7ACF"/>
    <w:rsid w:val="BB7FBD5F"/>
    <w:rsid w:val="BB9B5D46"/>
    <w:rsid w:val="BBBD4418"/>
    <w:rsid w:val="BBBFED61"/>
    <w:rsid w:val="BBD6ACF3"/>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242FC"/>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57CC64F"/>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4DAAEDF"/>
    <w:rsid w:val="E55DFB81"/>
    <w:rsid w:val="E5CAE4E2"/>
    <w:rsid w:val="E5CEDE9B"/>
    <w:rsid w:val="E5FD0BC1"/>
    <w:rsid w:val="E636E1FA"/>
    <w:rsid w:val="E679D313"/>
    <w:rsid w:val="E69A994E"/>
    <w:rsid w:val="E6EB41DC"/>
    <w:rsid w:val="E6FDD701"/>
    <w:rsid w:val="E77B6D96"/>
    <w:rsid w:val="E77FD1A9"/>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EB14A1"/>
    <w:rsid w:val="F1FECEF6"/>
    <w:rsid w:val="F297A469"/>
    <w:rsid w:val="F2CFD398"/>
    <w:rsid w:val="F3736517"/>
    <w:rsid w:val="F37F1A6B"/>
    <w:rsid w:val="F37F6DD9"/>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8324"/>
    <w:rsid w:val="FBFFB287"/>
    <w:rsid w:val="FBFFBC88"/>
    <w:rsid w:val="FBFFD768"/>
    <w:rsid w:val="FBFFF823"/>
    <w:rsid w:val="FC7FB26B"/>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jpe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43</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2023-06-08T19:00:08Z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