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5"/>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8"/>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8"/>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8"/>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8"/>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9"/>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w:t>
      </w:r>
      <w:r>
        <w:rPr>
          <w:rFonts w:hint="default"/>
          <w:sz w:val="24"/>
        </w:rPr>
        <w:t>。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80768" behindDoc="0" locked="0" layoutInCell="1" allowOverlap="1">
            <wp:simplePos x="0" y="0"/>
            <wp:positionH relativeFrom="column">
              <wp:posOffset>223520</wp:posOffset>
            </wp:positionH>
            <wp:positionV relativeFrom="paragraph">
              <wp:posOffset>123825</wp:posOffset>
            </wp:positionV>
            <wp:extent cx="5027295" cy="5217795"/>
            <wp:effectExtent l="0" t="0" r="1905" b="14605"/>
            <wp:wrapTopAndBottom/>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50"/>
                    <a:stretch>
                      <a:fillRect/>
                    </a:stretch>
                  </pic:blipFill>
                  <pic:spPr>
                    <a:xfrm>
                      <a:off x="0" y="0"/>
                      <a:ext cx="5027295" cy="521779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w:t>
      </w:r>
      <w:r>
        <w:rPr>
          <w:rFonts w:hint="default" w:eastAsia="宋体"/>
          <w:sz w:val="24"/>
        </w:rPr>
        <w:t>处理</w:t>
      </w:r>
      <w:r>
        <w:rPr>
          <w:rFonts w:hint="default" w:eastAsia="宋体"/>
          <w:sz w:val="24"/>
        </w:rPr>
        <w:t>：根据交易类型对交易数据进行条件过滤，只保留满足清算条件的交易数据。比如对于支付类交易，清算条件为交易成功且是外部商户。根据交易类型对交易数据进行合法性校验，并组装清分实体落库。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w:t>
      </w:r>
      <w:r>
        <w:rPr>
          <w:rFonts w:hint="default" w:eastAsia="宋体"/>
          <w:sz w:val="24"/>
        </w:rPr>
        <w:t>计费：根据</w:t>
      </w:r>
      <w:r>
        <w:rPr>
          <w:rFonts w:hint="default" w:eastAsia="宋体"/>
          <w:sz w:val="24"/>
        </w:rPr>
        <w:t>交易数据中的交易类型和商户计费配置</w:t>
      </w:r>
      <w:r>
        <w:rPr>
          <w:rFonts w:hint="default" w:eastAsia="宋体"/>
          <w:sz w:val="24"/>
        </w:rPr>
        <w:t>计算手续费、净额</w:t>
      </w:r>
      <w:r>
        <w:rPr>
          <w:rFonts w:hint="default" w:eastAsia="宋体"/>
          <w:sz w:val="24"/>
        </w:rPr>
        <w:t>等所有费项，</w:t>
      </w:r>
      <w:r>
        <w:rPr>
          <w:rFonts w:hint="default" w:eastAsia="宋体"/>
          <w:sz w:val="24"/>
        </w:rPr>
        <w:t>更新清分实</w:t>
      </w:r>
      <w:r>
        <w:rPr>
          <w:rFonts w:hint="default" w:eastAsia="宋体"/>
          <w:sz w:val="24"/>
        </w:rPr>
        <w:t>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w:t>
      </w:r>
      <w:r>
        <w:rPr>
          <w:rFonts w:hint="default" w:eastAsia="宋体"/>
          <w:sz w:val="24"/>
        </w:rPr>
        <w:t>调用账户中心</w:t>
      </w:r>
      <w:r>
        <w:rPr>
          <w:rFonts w:hint="default" w:eastAsia="宋体"/>
          <w:sz w:val="24"/>
        </w:rPr>
        <w:t>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w:t>
      </w:r>
      <w:r>
        <w:rPr>
          <w:rFonts w:hint="default" w:eastAsia="宋体"/>
          <w:sz w:val="24"/>
        </w:rPr>
        <w:t>商户交易类型将</w:t>
      </w:r>
      <w:r>
        <w:rPr>
          <w:rFonts w:hint="default" w:eastAsia="宋体"/>
          <w:sz w:val="24"/>
        </w:rPr>
        <w:t>手续费累加结算明细</w:t>
      </w:r>
      <w:r>
        <w:rPr>
          <w:rFonts w:hint="default" w:eastAsia="宋体"/>
          <w:sz w:val="24"/>
        </w:rPr>
        <w:t>单</w:t>
      </w:r>
      <w:r>
        <w:rPr>
          <w:rFonts w:hint="default" w:eastAsia="宋体"/>
          <w:sz w:val="24"/>
        </w:rPr>
        <w:t>，生成手续费</w:t>
      </w:r>
      <w:r>
        <w:rPr>
          <w:rFonts w:hint="default" w:eastAsia="宋体"/>
          <w:sz w:val="24"/>
        </w:rPr>
        <w:t>结算详情</w:t>
      </w:r>
      <w:r>
        <w:rPr>
          <w:rFonts w:hint="default" w:eastAsia="宋体"/>
          <w:sz w:val="24"/>
        </w:rPr>
        <w:t>单。</w:t>
      </w:r>
    </w:p>
    <w:p>
      <w:pPr>
        <w:numPr>
          <w:ilvl w:val="0"/>
          <w:numId w:val="11"/>
        </w:numPr>
        <w:spacing w:line="400" w:lineRule="exact"/>
        <w:ind w:firstLine="420" w:firstLineChars="0"/>
        <w:rPr>
          <w:rFonts w:hint="default" w:eastAsia="宋体"/>
          <w:sz w:val="24"/>
        </w:rPr>
      </w:pPr>
      <w:r>
        <w:rPr>
          <w:rFonts w:hint="default" w:eastAsia="宋体"/>
          <w:sz w:val="24"/>
        </w:rPr>
        <w:t>汇总结算</w:t>
      </w:r>
      <w:r>
        <w:rPr>
          <w:rFonts w:hint="default" w:eastAsia="宋体"/>
          <w:sz w:val="24"/>
        </w:rPr>
        <w:t>：对结算配置为周期结算的交易，定期汇总已清分记账的</w:t>
      </w:r>
      <w:r>
        <w:rPr>
          <w:rFonts w:hint="default" w:eastAsia="宋体"/>
          <w:sz w:val="24"/>
        </w:rPr>
        <w:t>结算详情单</w:t>
      </w:r>
      <w:r>
        <w:rPr>
          <w:rFonts w:hint="default" w:eastAsia="宋体"/>
          <w:sz w:val="24"/>
        </w:rPr>
        <w:t>，生成付款结算单和收费结算单并调用账务系统记账。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w:t>
      </w:r>
      <w:r>
        <w:rPr>
          <w:rFonts w:hint="default" w:eastAsia="宋体"/>
          <w:sz w:val="24"/>
        </w:rPr>
        <w:t>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3.4.1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1"/>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 xml:space="preserve">表3-1 </w:t>
      </w:r>
      <w:r>
        <w:rPr>
          <w:rFonts w:hint="default" w:eastAsia="宋体"/>
          <w:color w:val="000000"/>
          <w:sz w:val="24"/>
          <w:szCs w:val="24"/>
          <w:vertAlign w:val="baseline"/>
        </w:rPr>
        <w:t>清分用例描述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w:t>
      </w:r>
      <w:r>
        <w:rPr>
          <w:rFonts w:hint="default" w:eastAsia="宋体"/>
          <w:color w:val="000000"/>
          <w:sz w:val="24"/>
          <w:szCs w:val="24"/>
          <w:vertAlign w:val="baseline"/>
        </w:rPr>
        <w:t>2</w:t>
      </w:r>
      <w:r>
        <w:rPr>
          <w:rFonts w:hint="default" w:eastAsia="宋体"/>
          <w:color w:val="000000"/>
          <w:sz w:val="24"/>
          <w:szCs w:val="24"/>
          <w:vertAlign w:val="baseline"/>
        </w:rPr>
        <w:t xml:space="preserve"> </w:t>
      </w:r>
      <w:r>
        <w:rPr>
          <w:rFonts w:hint="default" w:eastAsia="宋体"/>
          <w:color w:val="000000"/>
          <w:sz w:val="24"/>
          <w:szCs w:val="24"/>
          <w:vertAlign w:val="baseline"/>
        </w:rPr>
        <w:t>计费用例描述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w:t>
            </w:r>
            <w:r>
              <w:rPr>
                <w:rFonts w:hint="default" w:ascii="宋体" w:hAnsi="宋体" w:cs="宋体"/>
                <w:szCs w:val="21"/>
              </w:rPr>
              <w:t>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 xml:space="preserve">表3-2 </w:t>
      </w:r>
      <w:r>
        <w:rPr>
          <w:rFonts w:hint="default" w:eastAsia="宋体"/>
          <w:color w:val="000000"/>
          <w:sz w:val="24"/>
          <w:szCs w:val="24"/>
          <w:vertAlign w:val="baseline"/>
        </w:rPr>
        <w:t>清算</w:t>
      </w:r>
      <w:r>
        <w:rPr>
          <w:rFonts w:hint="default" w:eastAsia="宋体"/>
          <w:color w:val="000000"/>
          <w:sz w:val="24"/>
          <w:szCs w:val="24"/>
          <w:vertAlign w:val="baseline"/>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w:t>
            </w:r>
            <w:r>
              <w:rPr>
                <w:rFonts w:hint="default" w:ascii="宋体" w:hAnsi="宋体" w:cs="宋体"/>
                <w:szCs w:val="21"/>
              </w:rPr>
              <w:t>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w:t>
            </w:r>
            <w:r>
              <w:rPr>
                <w:rFonts w:hint="default" w:ascii="宋体" w:hAnsi="宋体" w:cs="宋体"/>
                <w:szCs w:val="21"/>
              </w:rPr>
              <w:t>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w:t>
            </w:r>
            <w:r>
              <w:rPr>
                <w:rFonts w:hint="default" w:ascii="宋体" w:hAnsi="宋体" w:cs="宋体"/>
                <w:szCs w:val="21"/>
              </w:rPr>
              <w:t>实际结算，实时对各费项记账</w:t>
            </w:r>
          </w:p>
          <w:p>
            <w:pPr>
              <w:ind w:left="630" w:hanging="630" w:hangingChars="300"/>
              <w:rPr>
                <w:rFonts w:hint="default" w:ascii="宋体" w:hAnsi="宋体" w:cs="宋体"/>
                <w:szCs w:val="21"/>
              </w:rPr>
            </w:pPr>
            <w:r>
              <w:rPr>
                <w:rFonts w:hint="default" w:ascii="宋体" w:hAnsi="宋体" w:cs="宋体"/>
                <w:szCs w:val="21"/>
              </w:rPr>
              <w:t>（4）</w:t>
            </w:r>
            <w:r>
              <w:rPr>
                <w:rFonts w:hint="default" w:ascii="宋体" w:hAnsi="宋体" w:cs="宋体"/>
                <w:szCs w:val="21"/>
              </w:rPr>
              <w:t>周期结算</w:t>
            </w:r>
            <w:r>
              <w:rPr>
                <w:rFonts w:hint="default" w:ascii="宋体" w:hAnsi="宋体" w:cs="宋体"/>
                <w:szCs w:val="21"/>
              </w:rPr>
              <w:t>，创建结算详情单，并累计各费项到结算详情单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 xml:space="preserve">表3-2 </w:t>
      </w:r>
      <w:r>
        <w:rPr>
          <w:rFonts w:hint="default" w:eastAsia="宋体"/>
          <w:color w:val="000000"/>
          <w:sz w:val="24"/>
          <w:szCs w:val="24"/>
          <w:vertAlign w:val="baseline"/>
        </w:rPr>
        <w:t>结算</w:t>
      </w:r>
      <w:r>
        <w:rPr>
          <w:rFonts w:hint="default" w:eastAsia="宋体"/>
          <w:color w:val="000000"/>
          <w:sz w:val="24"/>
          <w:szCs w:val="24"/>
          <w:vertAlign w:val="baseline"/>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w:t>
            </w:r>
            <w:r>
              <w:rPr>
                <w:rFonts w:hint="default" w:ascii="宋体" w:hAnsi="宋体" w:cs="宋体"/>
                <w:szCs w:val="21"/>
              </w:rPr>
              <w:t>结算详情单</w:t>
            </w:r>
            <w:r>
              <w:rPr>
                <w:rFonts w:hint="default" w:ascii="宋体" w:hAnsi="宋体" w:cs="宋体"/>
                <w:szCs w:val="21"/>
              </w:rPr>
              <w:t>进行</w:t>
            </w:r>
            <w:r>
              <w:rPr>
                <w:rFonts w:hint="default" w:ascii="宋体" w:hAnsi="宋体" w:cs="宋体"/>
                <w:szCs w:val="21"/>
              </w:rPr>
              <w:t>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bookmarkStart w:id="86" w:name="_GoBack"/>
            <w:bookmarkEnd w:id="86"/>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UC-01</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结算配置管理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作为商户系统，我想在商户入驻流程中，新增商户结算相关配置，包括结算类型，结算日期，分期结算，提现等规则，为清结算系统初始化相关配置。</w:t>
            </w: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在作为清结算系统，我想要系统在清分计费、结算和提现流程中根据商户平台的结算配置进行相应逻辑处理。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6"/>
              </w:numPr>
              <w:spacing w:before="156" w:beforeLines="50"/>
              <w:jc w:val="both"/>
              <w:rPr>
                <w:rFonts w:hint="eastAsia" w:eastAsia="宋体"/>
                <w:color w:val="000000"/>
                <w:sz w:val="24"/>
                <w:szCs w:val="24"/>
                <w:vertAlign w:val="baseline"/>
                <w:lang w:val="en-US" w:eastAsia="zh-Hans"/>
              </w:rPr>
            </w:pPr>
            <w:r>
              <w:rPr>
                <w:rFonts w:hint="default" w:eastAsia="宋体"/>
                <w:color w:val="000000"/>
                <w:sz w:val="24"/>
                <w:szCs w:val="24"/>
                <w:vertAlign w:val="baseline"/>
                <w:lang w:eastAsia="zh-Hans"/>
              </w:rPr>
              <w:t>商户系统在商户入驻时根据合同规定手续费费率配置、结算提现配置新增到数据库中</w:t>
            </w:r>
          </w:p>
          <w:p>
            <w:pPr>
              <w:widowControl w:val="0"/>
              <w:numPr>
                <w:ilvl w:val="0"/>
                <w:numId w:val="16"/>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商户平台根据合同日期激活配置</w:t>
            </w:r>
          </w:p>
          <w:p>
            <w:pPr>
              <w:widowControl w:val="0"/>
              <w:numPr>
                <w:ilvl w:val="0"/>
                <w:numId w:val="16"/>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清结算在业务流程中查询配置，根据配置进行逻辑处理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0"/>
              </w:numPr>
              <w:spacing w:before="156" w:beforeLines="50"/>
              <w:ind w:leftChars="0"/>
              <w:jc w:val="both"/>
              <w:rPr>
                <w:rFonts w:hint="default" w:eastAsia="宋体"/>
                <w:color w:val="000000"/>
                <w:sz w:val="24"/>
                <w:szCs w:val="24"/>
                <w:vertAlign w:val="baseline"/>
              </w:rPr>
            </w:pPr>
            <w:r>
              <w:rPr>
                <w:rFonts w:hint="default" w:eastAsia="宋体"/>
                <w:color w:val="000000"/>
                <w:sz w:val="24"/>
                <w:szCs w:val="24"/>
                <w:vertAlign w:val="baseline"/>
              </w:rPr>
              <w:t>若清结算获取的配置不合法，如不存在、未激活、校验失败等，记录异常信息，中断业务流程，并发起重试逻辑</w:t>
            </w:r>
          </w:p>
        </w:tc>
      </w:tr>
    </w:tbl>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交易数据处理业务用例规约表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UC-02</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交易数据处理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作为清结算系统，我想要系统能够获取交易数据，进行数据解析和校验，保证数据的合法性，以便为清算流程做好数据准备。</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交易系统将交易</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w:t>
            </w:r>
            <w:r>
              <w:rPr>
                <w:rFonts w:hint="default" w:eastAsia="宋体"/>
                <w:color w:val="000000"/>
                <w:sz w:val="24"/>
                <w:szCs w:val="24"/>
                <w:vertAlign w:val="baseline"/>
                <w:lang w:eastAsia="zh-Hans"/>
              </w:rPr>
              <w:t>n</w:t>
            </w:r>
            <w:r>
              <w:rPr>
                <w:rFonts w:hint="eastAsia" w:eastAsia="宋体"/>
                <w:color w:val="000000"/>
                <w:sz w:val="24"/>
                <w:szCs w:val="24"/>
                <w:vertAlign w:val="baseline"/>
                <w:lang w:val="en-US" w:eastAsia="zh-Hans"/>
              </w:rPr>
              <w:t>l</w:t>
            </w:r>
            <w:r>
              <w:rPr>
                <w:rFonts w:hint="default" w:eastAsia="宋体"/>
                <w:color w:val="000000"/>
                <w:sz w:val="24"/>
                <w:szCs w:val="24"/>
                <w:vertAlign w:val="baseline"/>
                <w:lang w:eastAsia="zh-Hans"/>
              </w:rPr>
              <w:t xml:space="preserve">og </w:t>
            </w:r>
            <w:r>
              <w:rPr>
                <w:rFonts w:hint="eastAsia" w:eastAsia="宋体"/>
                <w:color w:val="000000"/>
                <w:sz w:val="24"/>
                <w:szCs w:val="24"/>
                <w:vertAlign w:val="baseline"/>
                <w:lang w:val="en-US" w:eastAsia="zh-Hans"/>
              </w:rPr>
              <w:t>通过</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ca</w:t>
            </w:r>
            <w:r>
              <w:rPr>
                <w:rFonts w:hint="default" w:eastAsia="宋体"/>
                <w:color w:val="000000"/>
                <w:sz w:val="24"/>
                <w:szCs w:val="24"/>
                <w:vertAlign w:val="baseline"/>
                <w:lang w:eastAsia="zh-Hans"/>
              </w:rPr>
              <w:t xml:space="preserve">nal </w:t>
            </w:r>
            <w:r>
              <w:rPr>
                <w:rFonts w:hint="eastAsia" w:eastAsia="宋体"/>
                <w:color w:val="000000"/>
                <w:sz w:val="24"/>
                <w:szCs w:val="24"/>
                <w:vertAlign w:val="baseline"/>
                <w:lang w:val="en-US" w:eastAsia="zh-Hans"/>
              </w:rPr>
              <w:t>同步到</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ro</w:t>
            </w:r>
            <w:r>
              <w:rPr>
                <w:rFonts w:hint="default" w:eastAsia="宋体"/>
                <w:color w:val="000000"/>
                <w:sz w:val="24"/>
                <w:szCs w:val="24"/>
                <w:vertAlign w:val="baseline"/>
                <w:lang w:eastAsia="zh-Hans"/>
              </w:rPr>
              <w:t xml:space="preserve">cketmq </w:t>
            </w:r>
            <w:r>
              <w:rPr>
                <w:rFonts w:hint="eastAsia" w:eastAsia="宋体"/>
                <w:color w:val="000000"/>
                <w:sz w:val="24"/>
                <w:szCs w:val="24"/>
                <w:vertAlign w:val="baseline"/>
                <w:lang w:val="en-US" w:eastAsia="zh-Hans"/>
              </w:rPr>
              <w:t>生产者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w:t>
            </w:r>
            <w:r>
              <w:rPr>
                <w:rFonts w:hint="default" w:eastAsia="宋体"/>
                <w:color w:val="000000"/>
                <w:sz w:val="24"/>
                <w:szCs w:val="24"/>
                <w:vertAlign w:val="baseline"/>
                <w:lang w:eastAsia="zh-Hans"/>
              </w:rPr>
              <w:t xml:space="preserve">roup </w:t>
            </w:r>
            <w:r>
              <w:rPr>
                <w:rFonts w:hint="eastAsia" w:eastAsia="宋体"/>
                <w:color w:val="000000"/>
                <w:sz w:val="24"/>
                <w:szCs w:val="24"/>
                <w:vertAlign w:val="baseline"/>
                <w:lang w:val="en-US" w:eastAsia="zh-Hans"/>
              </w:rPr>
              <w:t>中</w:t>
            </w:r>
          </w:p>
          <w:p>
            <w:pPr>
              <w:widowControl w:val="0"/>
              <w:numPr>
                <w:ilvl w:val="0"/>
                <w:numId w:val="17"/>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清结算消费组订阅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group</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接受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bin</w:t>
            </w:r>
            <w:r>
              <w:rPr>
                <w:rFonts w:hint="default" w:eastAsia="宋体"/>
                <w:color w:val="000000"/>
                <w:sz w:val="24"/>
                <w:szCs w:val="24"/>
                <w:vertAlign w:val="baseline"/>
                <w:lang w:eastAsia="zh-Hans"/>
              </w:rPr>
              <w:t xml:space="preserve">log </w:t>
            </w:r>
            <w:r>
              <w:rPr>
                <w:rFonts w:hint="eastAsia" w:eastAsia="宋体"/>
                <w:color w:val="000000"/>
                <w:sz w:val="24"/>
                <w:szCs w:val="24"/>
                <w:vertAlign w:val="baseline"/>
                <w:lang w:val="en-US" w:eastAsia="zh-Hans"/>
              </w:rPr>
              <w:t>消息</w:t>
            </w:r>
          </w:p>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将binlog消息转换为binlog实体</w:t>
            </w:r>
          </w:p>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根据binlog实体中的交易表名称匹配对应的表handler</w:t>
            </w:r>
          </w:p>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handler判断binlog实体是否满足清分条件</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rPr>
              <w:t>handler 对binlog实体进行参数校验、组装清分实体</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调用清分</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service</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启动清分计费流程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业务规则</w:t>
            </w:r>
          </w:p>
        </w:tc>
        <w:tc>
          <w:tcPr>
            <w:tcW w:w="7040" w:type="dxa"/>
            <w:tcBorders>
              <w:tl2br w:val="nil"/>
              <w:tr2bl w:val="nil"/>
            </w:tcBorders>
            <w:noWrap w:val="0"/>
            <w:vAlign w:val="top"/>
          </w:tcPr>
          <w:p>
            <w:pPr>
              <w:widowControl w:val="0"/>
              <w:numPr>
                <w:ilvl w:val="0"/>
                <w:numId w:val="18"/>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若binlog实体没有匹配到handler，则不处理</w:t>
            </w:r>
          </w:p>
          <w:p>
            <w:pPr>
              <w:widowControl w:val="0"/>
              <w:numPr>
                <w:ilvl w:val="0"/>
                <w:numId w:val="18"/>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若binlog实体不满足清分条件，则不处理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19"/>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若biglog实体参数校验失败，则抛出具体异常信息</w:t>
            </w:r>
          </w:p>
          <w:p>
            <w:pPr>
              <w:widowControl w:val="0"/>
              <w:numPr>
                <w:ilvl w:val="0"/>
                <w:numId w:val="19"/>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若清分实体为null，则将binlog实体落异常表</w:t>
            </w:r>
          </w:p>
        </w:tc>
      </w:tr>
    </w:tbl>
    <w:p>
      <w:pPr>
        <w:spacing w:line="400" w:lineRule="exact"/>
        <w:rPr>
          <w:rFonts w:hint="default" w:eastAsia="宋体"/>
          <w:sz w:val="24"/>
        </w:rPr>
      </w:pPr>
    </w:p>
    <w:p>
      <w:pPr>
        <w:spacing w:line="400" w:lineRule="exact"/>
        <w:rPr>
          <w:rFonts w:hint="default" w:eastAsia="宋体"/>
          <w:sz w:val="24"/>
        </w:rPr>
      </w:pPr>
    </w:p>
    <w:p>
      <w:pPr>
        <w:spacing w:line="400" w:lineRule="exact"/>
        <w:ind w:firstLine="2150" w:firstLineChars="896"/>
        <w:rPr>
          <w:rFonts w:hint="default" w:eastAsia="宋体"/>
          <w:sz w:val="24"/>
        </w:rPr>
      </w:pPr>
      <w:r>
        <w:rPr>
          <w:rFonts w:hint="default" w:eastAsia="宋体"/>
          <w:sz w:val="24"/>
        </w:rPr>
        <w:t>表3-3清分计费业务用例规约表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UC-03</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清分计费</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作为清结算系统，我想要系统根据交易类型和计费配置，对商户计算交易手续费和交易净额</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lang w:val="en-US" w:eastAsia="zh-Hans"/>
              </w:rPr>
              <w:t>根据清分实体中的tradeId和tradeType进行幂等性校验（清分表唯一索引为tradeId&amp;tradeType），将清分实体落清分表</w:t>
            </w:r>
          </w:p>
          <w:p>
            <w:pPr>
              <w:widowControl w:val="0"/>
              <w:numPr>
                <w:ilvl w:val="0"/>
                <w:numId w:val="20"/>
              </w:numPr>
              <w:spacing w:before="156" w:beforeLines="50"/>
              <w:jc w:val="both"/>
              <w:rPr>
                <w:rFonts w:hint="eastAsia" w:eastAsia="宋体"/>
                <w:color w:val="000000"/>
                <w:sz w:val="24"/>
                <w:szCs w:val="24"/>
                <w:vertAlign w:val="baseline"/>
                <w:lang w:val="en-US" w:eastAsia="zh-Hans"/>
              </w:rPr>
            </w:pPr>
            <w:r>
              <w:rPr>
                <w:rFonts w:hint="eastAsia" w:eastAsia="宋体"/>
                <w:color w:val="000000"/>
                <w:sz w:val="24"/>
                <w:szCs w:val="24"/>
                <w:vertAlign w:val="baseline"/>
                <w:lang w:val="en-US" w:eastAsia="zh-Hans"/>
              </w:rPr>
              <w:t>启动清分状态机，通过清分状态推动处理清分流程</w:t>
            </w:r>
          </w:p>
          <w:p>
            <w:pPr>
              <w:widowControl w:val="0"/>
              <w:numPr>
                <w:ilvl w:val="0"/>
                <w:numId w:val="20"/>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组装计费参数，调用计费</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计算交易手续费和净额</w:t>
            </w:r>
          </w:p>
          <w:p>
            <w:pPr>
              <w:widowControl w:val="0"/>
              <w:numPr>
                <w:ilvl w:val="0"/>
                <w:numId w:val="20"/>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校验计算结果，更新清分实体状态为清分成功</w:t>
            </w:r>
          </w:p>
          <w:p>
            <w:pPr>
              <w:widowControl w:val="0"/>
              <w:numPr>
                <w:ilvl w:val="0"/>
                <w:numId w:val="20"/>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进行交易记账</w:t>
            </w:r>
          </w:p>
          <w:p>
            <w:pPr>
              <w:widowControl w:val="0"/>
              <w:numPr>
                <w:ilvl w:val="0"/>
                <w:numId w:val="20"/>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判断结算模式，如果是实时结算，则实时结算手续费、净额；如果是周期结算，则累计各项费用，等待结算周期</w:t>
            </w:r>
            <w:r>
              <w:rPr>
                <w:rFonts w:hint="default" w:eastAsia="宋体"/>
                <w:color w:val="000000"/>
                <w:sz w:val="24"/>
                <w:szCs w:val="24"/>
                <w:vertAlign w:val="baseline"/>
                <w:lang w:eastAsia="zh-Hans"/>
              </w:rPr>
              <w:t>再</w:t>
            </w:r>
            <w:r>
              <w:rPr>
                <w:rFonts w:hint="eastAsia" w:eastAsia="宋体"/>
                <w:color w:val="000000"/>
                <w:sz w:val="24"/>
                <w:szCs w:val="24"/>
                <w:vertAlign w:val="baseline"/>
                <w:lang w:val="en-US" w:eastAsia="zh-Hans"/>
              </w:rPr>
              <w:t>汇总结算</w:t>
            </w:r>
          </w:p>
          <w:p>
            <w:pPr>
              <w:widowControl w:val="0"/>
              <w:numPr>
                <w:ilvl w:val="0"/>
                <w:numId w:val="2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更新清分实体中的手续费、净额和状态数据，更新数据库</w:t>
            </w:r>
          </w:p>
          <w:p>
            <w:pPr>
              <w:widowControl w:val="0"/>
              <w:numPr>
                <w:ilvl w:val="0"/>
                <w:numId w:val="20"/>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费项累计</w:t>
            </w:r>
          </w:p>
          <w:p>
            <w:pPr>
              <w:widowControl w:val="0"/>
              <w:numPr>
                <w:ilvl w:val="0"/>
                <w:numId w:val="20"/>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调用结算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获取结算单号</w:t>
            </w:r>
          </w:p>
          <w:p>
            <w:pPr>
              <w:widowControl w:val="0"/>
              <w:numPr>
                <w:ilvl w:val="0"/>
                <w:numId w:val="20"/>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根据</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user</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Type</w:t>
            </w:r>
            <w:r>
              <w:rPr>
                <w:rFonts w:hint="eastAsia" w:eastAsia="宋体"/>
                <w:color w:val="000000"/>
                <w:sz w:val="24"/>
                <w:szCs w:val="24"/>
                <w:vertAlign w:val="baseline"/>
                <w:lang w:val="en-US" w:eastAsia="zh-Hans"/>
              </w:rPr>
              <w:t>查询清分索引表，如果索引不存在，则创建结算实体，将清分费用累加到结算实体，更新结算表和清分索引</w:t>
            </w:r>
          </w:p>
          <w:p>
            <w:pPr>
              <w:widowControl w:val="0"/>
              <w:numPr>
                <w:ilvl w:val="0"/>
                <w:numId w:val="20"/>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更新清分状态为净额清算成功</w:t>
            </w: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1"/>
              </w:numPr>
              <w:spacing w:before="156" w:beforeLines="50"/>
              <w:jc w:val="both"/>
              <w:rPr>
                <w:rFonts w:hint="default"/>
                <w:color w:val="000000"/>
                <w:sz w:val="24"/>
                <w:szCs w:val="24"/>
                <w:vertAlign w:val="baseline"/>
              </w:rPr>
            </w:pPr>
            <w:r>
              <w:rPr>
                <w:rFonts w:hint="default"/>
                <w:color w:val="000000"/>
                <w:sz w:val="24"/>
                <w:szCs w:val="24"/>
                <w:vertAlign w:val="baseline"/>
              </w:rPr>
              <w:t>若清算找不到计费规则，记录日志</w:t>
            </w:r>
          </w:p>
          <w:p>
            <w:pPr>
              <w:widowControl w:val="0"/>
              <w:numPr>
                <w:ilvl w:val="0"/>
                <w:numId w:val="21"/>
              </w:numPr>
              <w:spacing w:before="156" w:beforeLines="50"/>
              <w:jc w:val="both"/>
              <w:rPr>
                <w:rFonts w:hint="default"/>
                <w:color w:val="000000"/>
                <w:sz w:val="24"/>
                <w:szCs w:val="24"/>
                <w:vertAlign w:val="baseline"/>
              </w:rPr>
            </w:pPr>
            <w:r>
              <w:rPr>
                <w:rFonts w:hint="default"/>
                <w:color w:val="000000"/>
                <w:sz w:val="24"/>
                <w:szCs w:val="24"/>
                <w:vertAlign w:val="baseline"/>
              </w:rPr>
              <w:t>若清算金额异常，如净额、手续费为空或者净额加手续费不等于交易总额，记录日志</w:t>
            </w:r>
          </w:p>
          <w:p>
            <w:pPr>
              <w:widowControl w:val="0"/>
              <w:numPr>
                <w:ilvl w:val="0"/>
                <w:numId w:val="21"/>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p>
            <w:pPr>
              <w:widowControl w:val="0"/>
              <w:numPr>
                <w:ilvl w:val="0"/>
                <w:numId w:val="21"/>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若调用账户模块记账服务异常，记录日志</w:t>
            </w:r>
          </w:p>
        </w:tc>
      </w:tr>
    </w:tbl>
    <w:p>
      <w:pPr>
        <w:widowControl w:val="0"/>
        <w:numPr>
          <w:ilvl w:val="0"/>
          <w:numId w:val="0"/>
        </w:numPr>
        <w:spacing w:before="156" w:beforeLines="50"/>
        <w:jc w:val="both"/>
        <w:rPr>
          <w:rFonts w:hint="default"/>
          <w:color w:val="000000"/>
        </w:rPr>
      </w:pPr>
    </w:p>
    <w:p>
      <w:pPr>
        <w:spacing w:line="400" w:lineRule="exact"/>
        <w:ind w:firstLine="480" w:firstLineChars="200"/>
        <w:rPr>
          <w:rFonts w:hint="default" w:eastAsia="宋体"/>
          <w:sz w:val="24"/>
        </w:rPr>
      </w:pPr>
    </w:p>
    <w:p>
      <w:pPr>
        <w:spacing w:line="400" w:lineRule="exact"/>
        <w:ind w:firstLine="2568" w:firstLineChars="1070"/>
        <w:rPr>
          <w:rFonts w:hint="default" w:eastAsia="宋体"/>
          <w:sz w:val="24"/>
        </w:rPr>
      </w:pPr>
      <w:r>
        <w:rPr>
          <w:rFonts w:hint="default" w:eastAsia="宋体"/>
          <w:sz w:val="24"/>
        </w:rPr>
        <w:t>表3-4费项记账业务用例规约表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UC-04</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费项记账</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作为清结算系统，我想要在计费完成后，调用账户中心完成净额和手续费等费项的记账，更新商户和平台相关账户余额</w:t>
            </w:r>
          </w:p>
        </w:tc>
      </w:tr>
      <w:tr>
        <w:tc>
          <w:tcPr>
            <w:tcW w:w="1329" w:type="dxa"/>
            <w:noWrap w:val="0"/>
            <w:vAlign w:val="top"/>
          </w:tcPr>
          <w:p>
            <w:p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22"/>
              </w:numPr>
              <w:spacing w:line="400" w:lineRule="exact"/>
              <w:rPr>
                <w:rFonts w:hint="default" w:eastAsia="宋体"/>
                <w:sz w:val="24"/>
              </w:rPr>
            </w:pPr>
            <w:r>
              <w:rPr>
                <w:rFonts w:hint="default" w:eastAsia="宋体"/>
                <w:sz w:val="24"/>
              </w:rPr>
              <w:t>净额记账</w:t>
            </w:r>
          </w:p>
          <w:p>
            <w:pPr>
              <w:numPr>
                <w:ilvl w:val="0"/>
                <w:numId w:val="22"/>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校验，只有计费成功后才能净额记账</w:t>
            </w:r>
          </w:p>
          <w:p>
            <w:pPr>
              <w:numPr>
                <w:ilvl w:val="0"/>
                <w:numId w:val="22"/>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22"/>
              </w:numPr>
              <w:spacing w:line="400" w:lineRule="exact"/>
              <w:rPr>
                <w:rFonts w:hint="default" w:eastAsia="宋体"/>
                <w:sz w:val="24"/>
              </w:rPr>
            </w:pPr>
            <w:r>
              <w:rPr>
                <w:rFonts w:hint="default" w:eastAsia="宋体"/>
                <w:sz w:val="24"/>
              </w:rPr>
              <w:t>更新清分实体的状态为净额记账成功，更新数据库</w:t>
            </w:r>
          </w:p>
          <w:p>
            <w:pPr>
              <w:numPr>
                <w:ilvl w:val="0"/>
                <w:numId w:val="22"/>
              </w:numPr>
              <w:spacing w:line="400" w:lineRule="exact"/>
              <w:rPr>
                <w:rFonts w:hint="default" w:eastAsia="宋体"/>
                <w:sz w:val="24"/>
              </w:rPr>
            </w:pPr>
            <w:r>
              <w:rPr>
                <w:rFonts w:hint="default" w:eastAsia="宋体"/>
                <w:sz w:val="24"/>
              </w:rPr>
              <w:t>手续费记账</w:t>
            </w:r>
          </w:p>
          <w:p>
            <w:pPr>
              <w:numPr>
                <w:ilvl w:val="0"/>
                <w:numId w:val="22"/>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校验，只有净额记账成功后才能手续费记账</w:t>
            </w:r>
          </w:p>
          <w:p>
            <w:pPr>
              <w:numPr>
                <w:ilvl w:val="0"/>
                <w:numId w:val="22"/>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22"/>
              </w:numPr>
              <w:spacing w:line="400" w:lineRule="exact"/>
              <w:rPr>
                <w:rFonts w:hint="default" w:eastAsia="宋体"/>
                <w:sz w:val="24"/>
              </w:rPr>
            </w:pPr>
            <w:r>
              <w:rPr>
                <w:rFonts w:hint="default" w:eastAsia="宋体"/>
                <w:sz w:val="24"/>
              </w:rPr>
              <w:t>更新清分实体的状态为手续费记账成功，更新数据库</w:t>
            </w:r>
          </w:p>
        </w:tc>
      </w:tr>
      <w:tr>
        <w:tc>
          <w:tcPr>
            <w:tcW w:w="1329" w:type="dxa"/>
            <w:noWrap w:val="0"/>
            <w:vAlign w:val="top"/>
          </w:tcPr>
          <w:p>
            <w:p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3"/>
              </w:numPr>
              <w:spacing w:line="400" w:lineRule="exact"/>
              <w:rPr>
                <w:rFonts w:hint="default" w:eastAsia="宋体"/>
                <w:sz w:val="24"/>
              </w:rPr>
            </w:pPr>
            <w:r>
              <w:rPr>
                <w:rFonts w:hint="default" w:eastAsia="宋体"/>
                <w:sz w:val="24"/>
              </w:rPr>
              <w:t>若记账前置状态错误，返回错误对象</w:t>
            </w:r>
          </w:p>
          <w:p>
            <w:pPr>
              <w:numPr>
                <w:ilvl w:val="0"/>
                <w:numId w:val="23"/>
              </w:numPr>
              <w:spacing w:line="400" w:lineRule="exact"/>
              <w:rPr>
                <w:rFonts w:hint="default" w:eastAsia="宋体"/>
                <w:sz w:val="24"/>
              </w:rPr>
            </w:pPr>
            <w:r>
              <w:rPr>
                <w:rFonts w:hint="default" w:eastAsia="宋体"/>
                <w:sz w:val="24"/>
              </w:rPr>
              <w:t>若rpc记账接口异常，抛出记账异常</w:t>
            </w:r>
          </w:p>
          <w:p>
            <w:pPr>
              <w:numPr>
                <w:ilvl w:val="0"/>
                <w:numId w:val="23"/>
              </w:numPr>
              <w:spacing w:line="400" w:lineRule="exact"/>
              <w:rPr>
                <w:rFonts w:hint="default" w:eastAsia="宋体"/>
                <w:sz w:val="24"/>
              </w:rPr>
            </w:pPr>
            <w:r>
              <w:rPr>
                <w:rFonts w:hint="default" w:eastAsia="宋体"/>
                <w:sz w:val="24"/>
              </w:rPr>
              <w:t>若数据库更新清分实体状态失败，抛出数据库异常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numPr>
          <w:ilvl w:val="0"/>
          <w:numId w:val="0"/>
        </w:numPr>
        <w:spacing w:line="400" w:lineRule="exact"/>
        <w:ind w:left="1680" w:leftChars="0" w:firstLine="420" w:firstLineChars="0"/>
        <w:rPr>
          <w:rFonts w:hint="default" w:eastAsia="宋体"/>
          <w:sz w:val="24"/>
        </w:rPr>
      </w:pPr>
      <w:r>
        <w:rPr>
          <w:rFonts w:hint="default" w:eastAsia="宋体"/>
          <w:sz w:val="24"/>
        </w:rPr>
        <w:t>表3-5汇总结算业务用例规约表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用例编号</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UC-05</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用例名</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汇总结算</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用例级别</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业务用例</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用例描述</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作为清结算系统，我想要定期汇总清分单，生成结算单并记账</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24"/>
              </w:numPr>
              <w:spacing w:line="400" w:lineRule="exact"/>
              <w:rPr>
                <w:rFonts w:hint="default" w:eastAsia="宋体"/>
                <w:sz w:val="24"/>
                <w:lang w:val="en-US" w:eastAsia="zh-Hans"/>
              </w:rPr>
            </w:pPr>
            <w:r>
              <w:rPr>
                <w:rFonts w:hint="default" w:eastAsia="宋体"/>
                <w:sz w:val="24"/>
              </w:rPr>
              <w:t>定期</w:t>
            </w:r>
            <w:r>
              <w:rPr>
                <w:rFonts w:hint="eastAsia" w:eastAsia="宋体"/>
                <w:sz w:val="24"/>
                <w:lang w:val="en-US" w:eastAsia="zh-Hans"/>
              </w:rPr>
              <w:t>绑定</w:t>
            </w:r>
            <w:r>
              <w:rPr>
                <w:rFonts w:hint="default" w:eastAsia="宋体"/>
                <w:sz w:val="24"/>
              </w:rPr>
              <w:t>已清分记账的清算单到结算单</w:t>
            </w:r>
          </w:p>
          <w:p>
            <w:pPr>
              <w:numPr>
                <w:ilvl w:val="0"/>
                <w:numId w:val="24"/>
              </w:numPr>
              <w:spacing w:line="400" w:lineRule="exact"/>
              <w:rPr>
                <w:rFonts w:hint="default" w:eastAsia="宋体"/>
                <w:sz w:val="24"/>
                <w:lang w:val="en-US" w:eastAsia="zh-Hans"/>
              </w:rPr>
            </w:pPr>
            <w:r>
              <w:rPr>
                <w:rFonts w:hint="default" w:eastAsia="宋体"/>
                <w:sz w:val="24"/>
                <w:lang w:eastAsia="zh-Hans"/>
              </w:rPr>
              <w:t>XXL-JOB</w:t>
            </w:r>
            <w:r>
              <w:rPr>
                <w:rFonts w:hint="eastAsia" w:eastAsia="宋体"/>
                <w:sz w:val="24"/>
                <w:lang w:val="en-US" w:eastAsia="zh-Hans"/>
              </w:rPr>
              <w:t>每小时检查是否为用户创建结算单，如果创建结算单，则更新数据库结算表</w:t>
            </w:r>
          </w:p>
          <w:p>
            <w:pPr>
              <w:numPr>
                <w:ilvl w:val="0"/>
                <w:numId w:val="24"/>
              </w:numPr>
              <w:spacing w:line="400" w:lineRule="exact"/>
              <w:rPr>
                <w:rFonts w:hint="default" w:eastAsia="宋体"/>
                <w:sz w:val="24"/>
                <w:lang w:val="en-US" w:eastAsia="zh-Hans"/>
              </w:rPr>
            </w:pPr>
            <w:r>
              <w:rPr>
                <w:rFonts w:hint="default" w:eastAsia="宋体"/>
                <w:sz w:val="24"/>
                <w:lang w:eastAsia="zh-Hans"/>
              </w:rPr>
              <w:t xml:space="preserve">XXL-JOB </w:t>
            </w:r>
            <w:r>
              <w:rPr>
                <w:rFonts w:hint="eastAsia" w:eastAsia="宋体"/>
                <w:sz w:val="24"/>
                <w:lang w:val="en-US" w:eastAsia="zh-Hans"/>
              </w:rPr>
              <w:t>每小时将用户所有清算单到关联到用户的结算单</w:t>
            </w:r>
          </w:p>
          <w:p>
            <w:pPr>
              <w:numPr>
                <w:ilvl w:val="0"/>
                <w:numId w:val="24"/>
              </w:numPr>
              <w:spacing w:line="400" w:lineRule="exact"/>
              <w:rPr>
                <w:rFonts w:hint="default" w:eastAsia="宋体"/>
                <w:sz w:val="24"/>
              </w:rPr>
            </w:pPr>
            <w:r>
              <w:rPr>
                <w:rFonts w:hint="eastAsia" w:eastAsia="宋体"/>
                <w:sz w:val="24"/>
                <w:lang w:val="en-US" w:eastAsia="zh-Hans"/>
              </w:rPr>
              <w:t>更新结算实体状态为累计中，更新该批次清算单的结算单号字段</w:t>
            </w:r>
          </w:p>
          <w:p>
            <w:pPr>
              <w:numPr>
                <w:ilvl w:val="0"/>
                <w:numId w:val="24"/>
              </w:numPr>
              <w:spacing w:line="400" w:lineRule="exact"/>
              <w:rPr>
                <w:rFonts w:hint="default" w:eastAsia="宋体"/>
                <w:sz w:val="24"/>
                <w:lang w:eastAsia="zh-Hans"/>
              </w:rPr>
            </w:pPr>
            <w:r>
              <w:rPr>
                <w:rFonts w:hint="default" w:eastAsia="宋体"/>
                <w:sz w:val="24"/>
              </w:rPr>
              <w:t>生成付款结算单和收费结算单</w:t>
            </w:r>
          </w:p>
          <w:p>
            <w:pPr>
              <w:numPr>
                <w:ilvl w:val="0"/>
                <w:numId w:val="24"/>
              </w:numPr>
              <w:spacing w:line="400" w:lineRule="exact"/>
              <w:rPr>
                <w:rFonts w:hint="default" w:eastAsia="宋体"/>
                <w:sz w:val="24"/>
                <w:lang w:eastAsia="zh-Hans"/>
              </w:rPr>
            </w:pPr>
            <w:r>
              <w:rPr>
                <w:rFonts w:hint="eastAsia" w:eastAsia="宋体"/>
                <w:sz w:val="24"/>
                <w:lang w:val="en-US" w:eastAsia="zh-Hans"/>
              </w:rPr>
              <w:t>每小时检查用户结算单，进入结算流程（in</w:t>
            </w:r>
            <w:r>
              <w:rPr>
                <w:rFonts w:hint="default" w:eastAsia="宋体"/>
                <w:sz w:val="24"/>
                <w:lang w:eastAsia="zh-Hans"/>
              </w:rPr>
              <w:t>it-&gt;</w:t>
            </w:r>
            <w:r>
              <w:rPr>
                <w:rFonts w:hint="eastAsia" w:eastAsia="宋体"/>
                <w:sz w:val="24"/>
                <w:lang w:val="en-US" w:eastAsia="zh-Hans"/>
              </w:rPr>
              <w:t>累计</w:t>
            </w:r>
            <w:r>
              <w:rPr>
                <w:rFonts w:hint="default" w:eastAsia="宋体"/>
                <w:sz w:val="24"/>
                <w:lang w:eastAsia="zh-Hans"/>
              </w:rPr>
              <w:t>-&gt;</w:t>
            </w:r>
            <w:r>
              <w:rPr>
                <w:rFonts w:hint="eastAsia" w:eastAsia="宋体"/>
                <w:sz w:val="24"/>
                <w:lang w:val="en-US" w:eastAsia="zh-Hans"/>
              </w:rPr>
              <w:t>风控</w:t>
            </w:r>
            <w:r>
              <w:rPr>
                <w:rFonts w:hint="default" w:eastAsia="宋体"/>
                <w:sz w:val="24"/>
                <w:lang w:eastAsia="zh-Hans"/>
              </w:rPr>
              <w:t>-&gt;</w:t>
            </w:r>
            <w:r>
              <w:rPr>
                <w:rFonts w:hint="eastAsia" w:eastAsia="宋体"/>
                <w:sz w:val="24"/>
                <w:lang w:val="en-US" w:eastAsia="zh-Hans"/>
              </w:rPr>
              <w:t>清算</w:t>
            </w:r>
            <w:r>
              <w:rPr>
                <w:rFonts w:hint="default" w:eastAsia="宋体"/>
                <w:sz w:val="24"/>
                <w:lang w:eastAsia="zh-Hans"/>
              </w:rPr>
              <w:t>-&gt;</w:t>
            </w:r>
            <w:r>
              <w:rPr>
                <w:rFonts w:hint="eastAsia" w:eastAsia="宋体"/>
                <w:sz w:val="24"/>
                <w:lang w:val="en-US" w:eastAsia="zh-Hans"/>
              </w:rPr>
              <w:t>手续费结算</w:t>
            </w:r>
            <w:r>
              <w:rPr>
                <w:rFonts w:hint="default" w:eastAsia="宋体"/>
                <w:sz w:val="24"/>
                <w:lang w:eastAsia="zh-Hans"/>
              </w:rPr>
              <w:t>-&gt;</w:t>
            </w:r>
            <w:r>
              <w:rPr>
                <w:rFonts w:hint="eastAsia" w:eastAsia="宋体"/>
                <w:sz w:val="24"/>
                <w:lang w:val="en-US" w:eastAsia="zh-Hans"/>
              </w:rPr>
              <w:t>税费结算</w:t>
            </w:r>
            <w:r>
              <w:rPr>
                <w:rFonts w:hint="default" w:eastAsia="宋体"/>
                <w:sz w:val="24"/>
                <w:lang w:eastAsia="zh-Hans"/>
              </w:rPr>
              <w:t>-&gt;</w:t>
            </w:r>
            <w:r>
              <w:rPr>
                <w:rFonts w:hint="eastAsia" w:eastAsia="宋体"/>
                <w:sz w:val="24"/>
                <w:lang w:val="en-US" w:eastAsia="zh-Hans"/>
              </w:rPr>
              <w:t>净额结算</w:t>
            </w:r>
            <w:r>
              <w:rPr>
                <w:rFonts w:hint="default" w:eastAsia="宋体"/>
                <w:sz w:val="24"/>
                <w:lang w:eastAsia="zh-Hans"/>
              </w:rPr>
              <w:t>-&gt;</w:t>
            </w:r>
            <w:r>
              <w:rPr>
                <w:rFonts w:hint="eastAsia" w:eastAsia="宋体"/>
                <w:sz w:val="24"/>
                <w:lang w:val="en-US" w:eastAsia="zh-Hans"/>
              </w:rPr>
              <w:t>结算完成</w:t>
            </w:r>
            <w:r>
              <w:rPr>
                <w:rFonts w:hint="default" w:eastAsia="宋体"/>
                <w:sz w:val="24"/>
                <w:lang w:eastAsia="zh-Hans"/>
              </w:rPr>
              <w:t>)</w:t>
            </w:r>
          </w:p>
          <w:p>
            <w:pPr>
              <w:numPr>
                <w:ilvl w:val="0"/>
                <w:numId w:val="24"/>
              </w:numPr>
              <w:spacing w:line="400" w:lineRule="exact"/>
              <w:rPr>
                <w:rFonts w:hint="default" w:eastAsia="宋体"/>
                <w:sz w:val="24"/>
              </w:rPr>
            </w:pPr>
            <w:r>
              <w:rPr>
                <w:rFonts w:hint="eastAsia" w:eastAsia="宋体"/>
                <w:sz w:val="24"/>
                <w:lang w:val="en-US" w:eastAsia="zh-Hans"/>
              </w:rPr>
              <w:t>采用职责链设计模式将各结算流程绑定到一起，依次进行各阶段处理</w:t>
            </w:r>
          </w:p>
          <w:p>
            <w:pPr>
              <w:numPr>
                <w:ilvl w:val="0"/>
                <w:numId w:val="24"/>
              </w:numPr>
              <w:spacing w:line="400" w:lineRule="exact"/>
              <w:rPr>
                <w:rFonts w:hint="default" w:eastAsia="宋体"/>
                <w:sz w:val="24"/>
              </w:rPr>
            </w:pPr>
            <w:r>
              <w:rPr>
                <w:rFonts w:hint="default" w:eastAsia="宋体"/>
                <w:sz w:val="24"/>
              </w:rPr>
              <w:t>调用账务系统记账</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5"/>
              </w:numPr>
              <w:spacing w:line="400" w:lineRule="exact"/>
              <w:rPr>
                <w:rFonts w:hint="default" w:eastAsia="宋体"/>
                <w:sz w:val="24"/>
              </w:rPr>
            </w:pPr>
            <w:r>
              <w:rPr>
                <w:rFonts w:hint="default" w:eastAsia="宋体"/>
                <w:sz w:val="24"/>
              </w:rPr>
              <w:t>结算周期内无清算单，结束流程</w:t>
            </w:r>
          </w:p>
          <w:p>
            <w:pPr>
              <w:numPr>
                <w:ilvl w:val="0"/>
                <w:numId w:val="25"/>
              </w:numPr>
              <w:spacing w:line="400" w:lineRule="exact"/>
              <w:rPr>
                <w:rFonts w:hint="default" w:eastAsia="宋体"/>
                <w:sz w:val="24"/>
              </w:rPr>
            </w:pPr>
            <w:r>
              <w:rPr>
                <w:rFonts w:hint="default" w:eastAsia="宋体"/>
                <w:sz w:val="24"/>
              </w:rPr>
              <w:t>若rpc记账接口异常，抛出记账异常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表3-6 净额提现用例规约表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UC-06</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净额提现</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作为清结算系统，我想要系统在完成费用结算后，根据商户提现配置发起定时提现任务</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6"/>
              </w:numPr>
              <w:spacing w:before="156" w:beforeLines="50"/>
              <w:jc w:val="both"/>
              <w:rPr>
                <w:rFonts w:hint="default"/>
                <w:color w:val="000000"/>
                <w:vertAlign w:val="baseline"/>
                <w:lang w:eastAsia="zh-Hans"/>
              </w:rPr>
            </w:pP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7"/>
              </w:numPr>
              <w:spacing w:before="156" w:beforeLines="50"/>
              <w:jc w:val="both"/>
              <w:rPr>
                <w:rFonts w:hint="default"/>
                <w:color w:val="000000"/>
                <w:sz w:val="24"/>
                <w:szCs w:val="24"/>
                <w:vertAlign w:val="baseline"/>
              </w:rPr>
            </w:pPr>
            <w:r>
              <w:rPr>
                <w:rFonts w:hint="default"/>
                <w:color w:val="000000"/>
                <w:sz w:val="24"/>
                <w:szCs w:val="24"/>
                <w:vertAlign w:val="baseline"/>
              </w:rPr>
              <w:t>若提现配置不合法，记录日志</w:t>
            </w:r>
          </w:p>
          <w:p>
            <w:pPr>
              <w:widowControl w:val="0"/>
              <w:numPr>
                <w:ilvl w:val="0"/>
                <w:numId w:val="27"/>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表3-7 异常处理用例规约表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UC-07</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异常处理</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作为清结算系统，我想要系统在清分、结算流程中出现的异常事件进行自动重试或人工处理操作。</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8"/>
              </w:numPr>
              <w:spacing w:before="156" w:beforeLines="50"/>
              <w:jc w:val="both"/>
              <w:rPr>
                <w:rFonts w:hint="default"/>
                <w:color w:val="000000"/>
                <w:vertAlign w:val="baseline"/>
                <w:lang w:eastAsia="zh-Hans"/>
              </w:rPr>
            </w:pP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9"/>
              </w:numPr>
              <w:spacing w:before="156" w:beforeLines="50"/>
              <w:jc w:val="both"/>
              <w:rPr>
                <w:rFonts w:hint="default"/>
                <w:color w:val="000000"/>
                <w:sz w:val="24"/>
                <w:szCs w:val="24"/>
                <w:vertAlign w:val="baseline"/>
              </w:rPr>
            </w:pPr>
            <w:r>
              <w:rPr>
                <w:rFonts w:hint="default"/>
                <w:color w:val="000000"/>
                <w:sz w:val="24"/>
                <w:szCs w:val="24"/>
                <w:vertAlign w:val="baseline"/>
              </w:rPr>
              <w:t>若提现配置不合法，记录日志</w:t>
            </w:r>
          </w:p>
          <w:p>
            <w:pPr>
              <w:widowControl w:val="0"/>
              <w:numPr>
                <w:ilvl w:val="0"/>
                <w:numId w:val="29"/>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3.4.1  性能需求</w:t>
      </w:r>
      <w:bookmarkEnd w:id="25"/>
    </w:p>
    <w:p>
      <w:pPr>
        <w:spacing w:line="400" w:lineRule="exact"/>
        <w:ind w:firstLine="480" w:firstLineChars="200"/>
        <w:rPr>
          <w:rFonts w:cs="宋体"/>
          <w:sz w:val="24"/>
          <w:szCs w:val="21"/>
        </w:rPr>
      </w:pPr>
      <w:r>
        <w:rPr>
          <w:rFonts w:hint="eastAsia" w:cs="宋体"/>
          <w:sz w:val="24"/>
          <w:szCs w:val="21"/>
        </w:rPr>
        <w:t>系统整体性能要求如下：</w:t>
      </w:r>
    </w:p>
    <w:p>
      <w:pPr>
        <w:numPr>
          <w:ilvl w:val="0"/>
          <w:numId w:val="30"/>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30"/>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30"/>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30"/>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30"/>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26" w:name="_Toc13661"/>
      <w:r>
        <w:rPr>
          <w:rFonts w:hint="eastAsia" w:eastAsia="黑体" w:cs="黑体"/>
          <w:color w:val="000000"/>
          <w:kern w:val="0"/>
          <w:sz w:val="26"/>
          <w:lang w:bidi="ar"/>
        </w:rPr>
        <w:t>3.4.2  可扩展性与可维护性</w:t>
      </w:r>
      <w:bookmarkEnd w:id="26"/>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27" w:name="_Toc21081"/>
      <w:r>
        <w:rPr>
          <w:rFonts w:hint="eastAsia" w:eastAsia="黑体" w:cs="黑体"/>
          <w:color w:val="000000"/>
          <w:kern w:val="0"/>
          <w:sz w:val="26"/>
          <w:lang w:bidi="ar"/>
        </w:rPr>
        <w:t>3.4.3  易用性与可执行性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28" w:name="_Toc8160"/>
      <w:r>
        <w:rPr>
          <w:rFonts w:hint="eastAsia" w:eastAsia="黑体" w:cs="黑体"/>
          <w:color w:val="000000"/>
          <w:kern w:val="0"/>
          <w:sz w:val="26"/>
          <w:lang w:bidi="ar"/>
        </w:rPr>
        <w:t>3.4.4  安全性需求</w:t>
      </w:r>
      <w:bookmarkEnd w:id="28"/>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29" w:name="_Toc14148"/>
      <w:r>
        <w:rPr>
          <w:rFonts w:hint="eastAsia" w:ascii="黑体" w:hAnsi="宋体" w:eastAsia="黑体"/>
          <w:color w:val="000000"/>
          <w:sz w:val="28"/>
          <w:szCs w:val="28"/>
        </w:rPr>
        <w:t>3.5  本章小结</w:t>
      </w:r>
      <w:bookmarkEnd w:id="29"/>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0" w:name="_Toc26843"/>
      <w:r>
        <w:rPr>
          <w:rFonts w:hint="eastAsia" w:ascii="黑体" w:hAnsi="黑体" w:eastAsia="黑体"/>
          <w:color w:val="000000"/>
          <w:sz w:val="32"/>
          <w:szCs w:val="32"/>
        </w:rPr>
        <w:t>第4章  系统概要设计</w:t>
      </w:r>
      <w:bookmarkEnd w:id="30"/>
    </w:p>
    <w:p>
      <w:pPr>
        <w:spacing w:before="480" w:after="120"/>
        <w:outlineLvl w:val="1"/>
        <w:rPr>
          <w:rFonts w:ascii="黑体" w:hAnsi="宋体" w:eastAsia="黑体"/>
          <w:color w:val="000000"/>
          <w:sz w:val="28"/>
          <w:szCs w:val="28"/>
        </w:rPr>
      </w:pPr>
      <w:bookmarkStart w:id="31" w:name="_Toc17859"/>
      <w:r>
        <w:rPr>
          <w:rFonts w:hint="eastAsia" w:ascii="黑体" w:hAnsi="宋体" w:eastAsia="黑体"/>
          <w:color w:val="000000"/>
          <w:sz w:val="28"/>
          <w:szCs w:val="28"/>
        </w:rPr>
        <w:t>4.1  系统设计目标和原则</w:t>
      </w:r>
      <w:bookmarkEnd w:id="31"/>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2" w:name="_Toc3896"/>
      <w:r>
        <w:rPr>
          <w:rFonts w:hint="eastAsia" w:ascii="黑体" w:hAnsi="宋体" w:eastAsia="黑体"/>
          <w:color w:val="000000"/>
          <w:sz w:val="28"/>
          <w:szCs w:val="28"/>
        </w:rPr>
        <w:t>4.2  系统静态结构设计</w:t>
      </w:r>
      <w:bookmarkEnd w:id="32"/>
    </w:p>
    <w:p>
      <w:pPr>
        <w:widowControl/>
        <w:spacing w:before="240" w:after="120"/>
        <w:jc w:val="left"/>
        <w:outlineLvl w:val="2"/>
        <w:rPr>
          <w:rFonts w:eastAsia="黑体" w:cs="黑体"/>
          <w:color w:val="000000"/>
          <w:kern w:val="0"/>
          <w:sz w:val="26"/>
          <w:lang w:bidi="ar"/>
        </w:rPr>
      </w:pPr>
      <w:bookmarkStart w:id="33" w:name="_Toc12992"/>
      <w:r>
        <w:rPr>
          <w:rFonts w:hint="eastAsia" w:eastAsia="黑体" w:cs="黑体"/>
          <w:color w:val="000000"/>
          <w:kern w:val="0"/>
          <w:sz w:val="26"/>
          <w:lang w:bidi="ar"/>
        </w:rPr>
        <w:t>4.2.1  拓扑结构设计</w:t>
      </w:r>
      <w:bookmarkEnd w:id="33"/>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2"/>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34" w:name="_Toc10015"/>
      <w:r>
        <w:rPr>
          <w:rFonts w:hint="eastAsia" w:eastAsia="黑体" w:cs="黑体"/>
          <w:color w:val="000000"/>
          <w:kern w:val="0"/>
          <w:sz w:val="26"/>
          <w:lang w:bidi="ar"/>
        </w:rPr>
        <w:t>4.2.2  管理子系统设计</w:t>
      </w:r>
      <w:bookmarkEnd w:id="34"/>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31"/>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31"/>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31"/>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3"/>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35" w:name="_Toc20746"/>
      <w:r>
        <w:rPr>
          <w:rFonts w:hint="eastAsia" w:eastAsia="黑体" w:cs="黑体"/>
          <w:color w:val="000000"/>
          <w:kern w:val="0"/>
          <w:sz w:val="26"/>
          <w:lang w:bidi="ar"/>
        </w:rPr>
        <w:t>4.2.3  业务子系统设计</w:t>
      </w:r>
      <w:bookmarkEnd w:id="35"/>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4"/>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36" w:name="_Toc4706"/>
      <w:r>
        <w:rPr>
          <w:rFonts w:hint="eastAsia" w:ascii="黑体" w:hAnsi="宋体" w:eastAsia="黑体"/>
          <w:color w:val="000000"/>
          <w:sz w:val="28"/>
          <w:szCs w:val="28"/>
        </w:rPr>
        <w:t>4.3  系统动态结构设计</w:t>
      </w:r>
      <w:bookmarkEnd w:id="36"/>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37" w:name="_Toc21628"/>
      <w:r>
        <w:rPr>
          <w:rFonts w:hint="eastAsia" w:eastAsia="黑体" w:cs="黑体"/>
          <w:color w:val="000000"/>
          <w:kern w:val="0"/>
          <w:sz w:val="26"/>
          <w:lang w:bidi="ar"/>
        </w:rPr>
        <w:t>4.3.1  管理子系统动态结构</w:t>
      </w:r>
      <w:bookmarkEnd w:id="37"/>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5"/>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8" w:name="_Toc29049"/>
      <w:r>
        <w:rPr>
          <w:rFonts w:hint="eastAsia" w:eastAsia="黑体" w:cs="黑体"/>
          <w:color w:val="000000"/>
          <w:kern w:val="0"/>
          <w:sz w:val="26"/>
          <w:lang w:bidi="ar"/>
        </w:rPr>
        <w:t>4.3.2  业务子系统动态结构</w:t>
      </w:r>
      <w:bookmarkEnd w:id="38"/>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6"/>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39" w:name="_Toc20369"/>
      <w:r>
        <w:rPr>
          <w:rFonts w:hint="eastAsia" w:ascii="黑体" w:hAnsi="宋体" w:eastAsia="黑体"/>
          <w:color w:val="000000"/>
          <w:sz w:val="28"/>
          <w:szCs w:val="28"/>
        </w:rPr>
        <w:t>4.4  本章小结</w:t>
      </w:r>
      <w:bookmarkEnd w:id="39"/>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0" w:name="_Toc14668"/>
      <w:r>
        <w:rPr>
          <w:rFonts w:hint="eastAsia" w:ascii="黑体" w:hAnsi="黑体" w:eastAsia="黑体"/>
          <w:color w:val="000000"/>
          <w:sz w:val="32"/>
          <w:szCs w:val="32"/>
        </w:rPr>
        <w:t>第5章  系统详细设计</w:t>
      </w:r>
      <w:bookmarkEnd w:id="40"/>
    </w:p>
    <w:p>
      <w:pPr>
        <w:spacing w:before="480" w:after="120"/>
        <w:outlineLvl w:val="1"/>
        <w:rPr>
          <w:rFonts w:ascii="黑体" w:hAnsi="宋体" w:eastAsia="黑体"/>
          <w:color w:val="000000"/>
          <w:sz w:val="28"/>
          <w:szCs w:val="28"/>
        </w:rPr>
      </w:pPr>
      <w:bookmarkStart w:id="41" w:name="_Toc18051"/>
      <w:r>
        <w:rPr>
          <w:rFonts w:hint="eastAsia" w:ascii="黑体" w:hAnsi="宋体" w:eastAsia="黑体"/>
          <w:color w:val="000000"/>
          <w:sz w:val="28"/>
          <w:szCs w:val="28"/>
        </w:rPr>
        <w:t>5.1  详细设计目标</w:t>
      </w:r>
      <w:bookmarkEnd w:id="41"/>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2" w:name="_Toc31831"/>
      <w:r>
        <w:rPr>
          <w:rFonts w:hint="eastAsia" w:ascii="黑体" w:hAnsi="宋体" w:eastAsia="黑体"/>
          <w:color w:val="000000"/>
          <w:sz w:val="28"/>
          <w:szCs w:val="28"/>
        </w:rPr>
        <w:t>5.2  业务子系统设计</w:t>
      </w:r>
      <w:bookmarkEnd w:id="42"/>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3" w:name="_Toc19550"/>
      <w:r>
        <w:rPr>
          <w:rFonts w:hint="eastAsia" w:eastAsia="黑体" w:cs="黑体"/>
          <w:color w:val="000000"/>
          <w:kern w:val="0"/>
          <w:sz w:val="26"/>
          <w:lang w:bidi="ar"/>
        </w:rPr>
        <w:t>5.2.1  安全认证逻辑设计</w:t>
      </w:r>
      <w:bookmarkEnd w:id="43"/>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7"/>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4" w:name="_Toc10738"/>
      <w:r>
        <w:rPr>
          <w:rFonts w:hint="eastAsia" w:eastAsia="黑体" w:cs="黑体"/>
          <w:color w:val="000000"/>
          <w:kern w:val="0"/>
          <w:sz w:val="26"/>
          <w:lang w:bidi="ar"/>
        </w:rPr>
        <w:t>5.2.2  系统安全通信设计</w:t>
      </w:r>
      <w:bookmarkEnd w:id="44"/>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8"/>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32"/>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32"/>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32"/>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32"/>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5" w:name="_Toc432"/>
      <w:r>
        <w:rPr>
          <w:rFonts w:hint="eastAsia" w:eastAsia="黑体" w:cs="黑体"/>
          <w:color w:val="000000"/>
          <w:kern w:val="0"/>
          <w:sz w:val="26"/>
          <w:lang w:bidi="ar"/>
        </w:rPr>
        <w:t>5.2.3  安全认证业务设计</w:t>
      </w:r>
      <w:bookmarkEnd w:id="45"/>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4"/>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33"/>
        </w:numPr>
        <w:spacing w:line="400" w:lineRule="exact"/>
        <w:ind w:firstLine="480"/>
        <w:rPr>
          <w:rFonts w:cs="宋体"/>
          <w:color w:val="000000"/>
          <w:sz w:val="24"/>
        </w:rPr>
      </w:pPr>
      <w:r>
        <w:rPr>
          <w:rFonts w:hint="eastAsia" w:cs="宋体"/>
          <w:color w:val="000000"/>
          <w:sz w:val="24"/>
        </w:rPr>
        <w:t>生成空白证书模板；</w:t>
      </w:r>
    </w:p>
    <w:p>
      <w:pPr>
        <w:numPr>
          <w:ilvl w:val="0"/>
          <w:numId w:val="33"/>
        </w:numPr>
        <w:spacing w:line="400" w:lineRule="exact"/>
        <w:ind w:firstLine="480"/>
        <w:rPr>
          <w:rFonts w:cs="宋体"/>
          <w:color w:val="000000"/>
          <w:sz w:val="24"/>
        </w:rPr>
      </w:pPr>
      <w:r>
        <w:rPr>
          <w:rFonts w:hint="eastAsia" w:cs="宋体"/>
          <w:color w:val="000000"/>
          <w:sz w:val="24"/>
        </w:rPr>
        <w:t>生成SM2算法的密钥对；</w:t>
      </w:r>
    </w:p>
    <w:p>
      <w:pPr>
        <w:numPr>
          <w:ilvl w:val="0"/>
          <w:numId w:val="33"/>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33"/>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33"/>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33"/>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33"/>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4"/>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5"/>
                <w:lang w:bidi="ar"/>
              </w:rPr>
              <w:t xml:space="preserve"> crlSeries </w:t>
            </w:r>
            <w:r>
              <w:rPr>
                <w:rStyle w:val="26"/>
                <w:rFonts w:hint="default" w:ascii="Times New Roman" w:hAnsi="Times New Roman"/>
                <w:lang w:bidi="ar"/>
              </w:rPr>
              <w:t>和</w:t>
            </w:r>
            <w:r>
              <w:rPr>
                <w:rStyle w:val="25"/>
                <w:lang w:bidi="ar"/>
              </w:rPr>
              <w:t xml:space="preserve">crlCraca </w:t>
            </w:r>
            <w:r>
              <w:rPr>
                <w:rStyle w:val="26"/>
                <w:rFonts w:hint="default" w:ascii="Times New Roman" w:hAnsi="Times New Roman"/>
                <w:lang w:bidi="ar"/>
              </w:rPr>
              <w:t>的下一个</w:t>
            </w:r>
            <w:r>
              <w:rPr>
                <w:rStyle w:val="25"/>
                <w:lang w:bidi="ar"/>
              </w:rPr>
              <w:t xml:space="preserve"> CRL </w:t>
            </w:r>
            <w:r>
              <w:rPr>
                <w:rStyle w:val="26"/>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5"/>
                <w:lang w:bidi="ar"/>
              </w:rPr>
              <w:br w:type="textWrapping"/>
            </w:r>
            <w:r>
              <w:rPr>
                <w:rStyle w:val="26"/>
                <w:rFonts w:hint="default" w:ascii="Times New Roman" w:hAnsi="Times New Roman"/>
                <w:lang w:bidi="ar"/>
              </w:rPr>
              <w:t>设备确定要保留哪些撤销信息以及丢</w:t>
            </w:r>
            <w:r>
              <w:rPr>
                <w:rStyle w:val="25"/>
                <w:lang w:bidi="ar"/>
              </w:rPr>
              <w:br w:type="textWrapping"/>
            </w:r>
            <w:r>
              <w:rPr>
                <w:rStyle w:val="26"/>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34"/>
        </w:numPr>
        <w:spacing w:line="400" w:lineRule="exact"/>
        <w:rPr>
          <w:rFonts w:cs="宋体"/>
          <w:color w:val="000000"/>
          <w:sz w:val="24"/>
        </w:rPr>
      </w:pPr>
      <w:r>
        <w:rPr>
          <w:rFonts w:hint="eastAsia" w:cs="宋体"/>
          <w:color w:val="000000"/>
          <w:sz w:val="24"/>
        </w:rPr>
        <w:t>异常行为管理机构识别到异常信息；</w:t>
      </w:r>
    </w:p>
    <w:p>
      <w:pPr>
        <w:numPr>
          <w:ilvl w:val="0"/>
          <w:numId w:val="34"/>
        </w:numPr>
        <w:spacing w:line="400" w:lineRule="exact"/>
        <w:rPr>
          <w:rFonts w:cs="宋体"/>
          <w:color w:val="000000"/>
          <w:sz w:val="24"/>
        </w:rPr>
      </w:pPr>
      <w:r>
        <w:rPr>
          <w:rFonts w:hint="eastAsia" w:cs="宋体"/>
          <w:color w:val="000000"/>
          <w:sz w:val="24"/>
        </w:rPr>
        <w:t>RA系统核实有问题后上报CA系统；</w:t>
      </w:r>
    </w:p>
    <w:p>
      <w:pPr>
        <w:numPr>
          <w:ilvl w:val="0"/>
          <w:numId w:val="34"/>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34"/>
        </w:numPr>
        <w:spacing w:line="400" w:lineRule="exact"/>
        <w:rPr>
          <w:rFonts w:cs="宋体"/>
          <w:color w:val="000000"/>
          <w:sz w:val="24"/>
        </w:rPr>
      </w:pPr>
      <w:r>
        <w:rPr>
          <w:rFonts w:hint="eastAsia" w:cs="宋体"/>
          <w:color w:val="000000"/>
          <w:sz w:val="24"/>
        </w:rPr>
        <w:t>RA系统申请下载当前CRL；</w:t>
      </w:r>
    </w:p>
    <w:p>
      <w:pPr>
        <w:numPr>
          <w:ilvl w:val="0"/>
          <w:numId w:val="34"/>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6" w:name="_Toc23737"/>
      <w:r>
        <w:rPr>
          <w:rFonts w:hint="eastAsia" w:ascii="黑体" w:hAnsi="宋体" w:eastAsia="黑体"/>
          <w:color w:val="000000"/>
          <w:sz w:val="28"/>
          <w:szCs w:val="28"/>
        </w:rPr>
        <w:t>5.3  安全管理员模块设计</w:t>
      </w:r>
      <w:bookmarkEnd w:id="46"/>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7" w:name="_Toc18880"/>
      <w:r>
        <w:rPr>
          <w:rFonts w:hint="eastAsia" w:eastAsia="黑体" w:cs="黑体"/>
          <w:color w:val="000000"/>
          <w:kern w:val="0"/>
          <w:sz w:val="26"/>
          <w:lang w:bidi="ar"/>
        </w:rPr>
        <w:t>5.3.1  用户证书管理设计</w:t>
      </w:r>
      <w:bookmarkEnd w:id="47"/>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9"/>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0"/>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8" w:name="_Toc22900"/>
      <w:r>
        <w:rPr>
          <w:rFonts w:hint="eastAsia" w:eastAsia="黑体" w:cs="黑体"/>
          <w:color w:val="000000"/>
          <w:kern w:val="0"/>
          <w:sz w:val="26"/>
          <w:lang w:bidi="ar"/>
        </w:rPr>
        <w:t>5.3.2  MCA管理设计</w:t>
      </w:r>
      <w:bookmarkEnd w:id="48"/>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2"/>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9" w:name="_Toc29296"/>
      <w:r>
        <w:rPr>
          <w:rFonts w:hint="eastAsia" w:eastAsia="黑体" w:cs="黑体"/>
          <w:color w:val="000000"/>
          <w:kern w:val="0"/>
          <w:sz w:val="26"/>
          <w:lang w:bidi="ar"/>
        </w:rPr>
        <w:t>5.3.3  业务CA管理设计</w:t>
      </w:r>
      <w:bookmarkEnd w:id="49"/>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4"/>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0" w:name="_Toc10725"/>
      <w:r>
        <w:rPr>
          <w:rFonts w:hint="eastAsia" w:eastAsia="黑体" w:cs="黑体"/>
          <w:color w:val="000000"/>
          <w:kern w:val="0"/>
          <w:sz w:val="26"/>
          <w:lang w:bidi="ar"/>
        </w:rPr>
        <w:t>5.3.4  系统安全功能设计</w:t>
      </w:r>
      <w:bookmarkEnd w:id="50"/>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5"/>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6"/>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1" w:name="_Toc11317"/>
      <w:r>
        <w:rPr>
          <w:rFonts w:hint="eastAsia" w:ascii="黑体" w:hAnsi="宋体" w:eastAsia="黑体"/>
          <w:color w:val="000000"/>
          <w:sz w:val="28"/>
          <w:szCs w:val="28"/>
        </w:rPr>
        <w:t>5.4  业务员模块设计</w:t>
      </w:r>
      <w:bookmarkEnd w:id="51"/>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2" w:name="_Toc23403"/>
      <w:r>
        <w:rPr>
          <w:rFonts w:hint="eastAsia" w:eastAsia="黑体" w:cs="黑体"/>
          <w:color w:val="000000"/>
          <w:kern w:val="0"/>
          <w:sz w:val="26"/>
          <w:lang w:bidi="ar"/>
        </w:rPr>
        <w:t>5.4.1  RA管理设计</w:t>
      </w:r>
      <w:bookmarkEnd w:id="52"/>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7"/>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8"/>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3" w:name="_Toc23241"/>
      <w:r>
        <w:rPr>
          <w:rFonts w:hint="eastAsia" w:eastAsia="黑体" w:cs="黑体"/>
          <w:color w:val="000000"/>
          <w:kern w:val="0"/>
          <w:sz w:val="26"/>
          <w:lang w:bidi="ar"/>
        </w:rPr>
        <w:t>5.4.2  终端证书管理设计</w:t>
      </w:r>
      <w:bookmarkEnd w:id="53"/>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0"/>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4" w:name="_Toc26460"/>
      <w:r>
        <w:rPr>
          <w:rFonts w:hint="eastAsia" w:eastAsia="黑体" w:cs="黑体"/>
          <w:color w:val="000000"/>
          <w:kern w:val="0"/>
          <w:sz w:val="26"/>
          <w:lang w:bidi="ar"/>
        </w:rPr>
        <w:t>5.4.3  证书模板管理设计</w:t>
      </w:r>
      <w:bookmarkEnd w:id="54"/>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1"/>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2"/>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5" w:name="_Toc19594"/>
      <w:r>
        <w:rPr>
          <w:rFonts w:hint="eastAsia" w:eastAsia="黑体" w:cs="黑体"/>
          <w:color w:val="000000"/>
          <w:kern w:val="0"/>
          <w:sz w:val="26"/>
          <w:lang w:bidi="ar"/>
        </w:rPr>
        <w:t>5.4.4  互联信息管理设计</w:t>
      </w:r>
      <w:bookmarkEnd w:id="55"/>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3"/>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4"/>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6" w:name="_Toc15229"/>
      <w:r>
        <w:rPr>
          <w:rFonts w:hint="eastAsia" w:eastAsia="黑体" w:cs="黑体"/>
          <w:color w:val="000000"/>
          <w:kern w:val="0"/>
          <w:sz w:val="26"/>
          <w:lang w:bidi="ar"/>
        </w:rPr>
        <w:t>5.4.5  系统业务功能设计</w:t>
      </w:r>
      <w:bookmarkEnd w:id="56"/>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5"/>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6"/>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7" w:name="_Toc5532"/>
      <w:r>
        <w:rPr>
          <w:rFonts w:hint="eastAsia" w:ascii="黑体" w:hAnsi="宋体" w:eastAsia="黑体"/>
          <w:color w:val="000000"/>
          <w:sz w:val="28"/>
          <w:szCs w:val="28"/>
        </w:rPr>
        <w:t>5.5  数据库设计</w:t>
      </w:r>
      <w:bookmarkEnd w:id="57"/>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8" w:name="_Toc19212"/>
      <w:r>
        <w:rPr>
          <w:rFonts w:hint="eastAsia" w:eastAsia="黑体" w:cs="黑体"/>
          <w:color w:val="000000"/>
          <w:kern w:val="0"/>
          <w:sz w:val="26"/>
          <w:lang w:bidi="ar"/>
        </w:rPr>
        <w:t>5.5.1  安全管理员数据模型设计</w:t>
      </w:r>
      <w:bookmarkEnd w:id="58"/>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9" w:name="_Toc30020"/>
      <w:r>
        <w:rPr>
          <w:rFonts w:hint="eastAsia" w:eastAsia="黑体" w:cs="黑体"/>
          <w:color w:val="000000"/>
          <w:kern w:val="0"/>
          <w:sz w:val="26"/>
          <w:lang w:bidi="ar"/>
        </w:rPr>
        <w:t>5.5.2  业务员数据模型设计</w:t>
      </w:r>
      <w:bookmarkEnd w:id="59"/>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35"/>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35"/>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4"/>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0" w:name="_Toc5423"/>
      <w:r>
        <w:rPr>
          <w:rFonts w:hint="eastAsia" w:eastAsia="黑体" w:cs="黑体"/>
          <w:color w:val="000000"/>
          <w:kern w:val="0"/>
          <w:sz w:val="26"/>
          <w:lang w:bidi="ar"/>
        </w:rPr>
        <w:t>5.5.3  安全认证业务数据模型设计</w:t>
      </w:r>
      <w:bookmarkEnd w:id="60"/>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1" w:name="_Toc13255"/>
      <w:r>
        <w:rPr>
          <w:rFonts w:hint="eastAsia" w:ascii="黑体" w:hAnsi="宋体" w:eastAsia="黑体"/>
          <w:color w:val="000000"/>
          <w:sz w:val="28"/>
          <w:szCs w:val="28"/>
        </w:rPr>
        <w:t>5.6  本章小结</w:t>
      </w:r>
      <w:bookmarkEnd w:id="61"/>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2" w:name="_Toc20287"/>
      <w:r>
        <w:rPr>
          <w:rFonts w:hint="eastAsia" w:ascii="黑体" w:hAnsi="黑体" w:eastAsia="黑体"/>
          <w:color w:val="000000"/>
          <w:sz w:val="32"/>
          <w:szCs w:val="32"/>
        </w:rPr>
        <w:t>第6章  系统实现与测试</w:t>
      </w:r>
      <w:bookmarkEnd w:id="62"/>
    </w:p>
    <w:p>
      <w:pPr>
        <w:spacing w:before="480" w:after="120"/>
        <w:outlineLvl w:val="1"/>
        <w:rPr>
          <w:rFonts w:ascii="黑体" w:hAnsi="宋体" w:eastAsia="黑体"/>
          <w:color w:val="000000"/>
          <w:sz w:val="28"/>
          <w:szCs w:val="28"/>
        </w:rPr>
      </w:pPr>
      <w:bookmarkStart w:id="63" w:name="_Toc24059"/>
      <w:r>
        <w:rPr>
          <w:rFonts w:hint="eastAsia" w:ascii="黑体" w:hAnsi="宋体" w:eastAsia="黑体"/>
          <w:color w:val="000000"/>
          <w:sz w:val="28"/>
          <w:szCs w:val="28"/>
        </w:rPr>
        <w:t>6.1  系统的部署实现</w:t>
      </w:r>
      <w:bookmarkEnd w:id="63"/>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36"/>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36"/>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36"/>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0"/>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1"/>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2"/>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3"/>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4" w:name="_Toc1741"/>
      <w:r>
        <w:rPr>
          <w:rFonts w:hint="eastAsia" w:ascii="黑体" w:hAnsi="宋体" w:eastAsia="黑体"/>
          <w:color w:val="000000"/>
          <w:sz w:val="28"/>
          <w:szCs w:val="28"/>
        </w:rPr>
        <w:t>6.2  测试概要</w:t>
      </w:r>
      <w:bookmarkEnd w:id="64"/>
    </w:p>
    <w:p>
      <w:pPr>
        <w:widowControl/>
        <w:spacing w:before="240" w:after="120"/>
        <w:jc w:val="left"/>
        <w:outlineLvl w:val="2"/>
        <w:rPr>
          <w:rFonts w:eastAsia="黑体" w:cs="黑体"/>
          <w:color w:val="000000"/>
          <w:kern w:val="0"/>
          <w:sz w:val="26"/>
          <w:lang w:bidi="ar"/>
        </w:rPr>
      </w:pPr>
      <w:bookmarkStart w:id="65" w:name="_Toc25588"/>
      <w:r>
        <w:rPr>
          <w:rFonts w:hint="eastAsia" w:eastAsia="黑体" w:cs="黑体"/>
          <w:color w:val="000000"/>
          <w:kern w:val="0"/>
          <w:sz w:val="26"/>
          <w:lang w:bidi="ar"/>
        </w:rPr>
        <w:t>6.2.1  测试概述</w:t>
      </w:r>
      <w:bookmarkEnd w:id="65"/>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6" w:name="_Toc405"/>
      <w:r>
        <w:rPr>
          <w:rFonts w:hint="eastAsia" w:eastAsia="黑体" w:cs="黑体"/>
          <w:color w:val="000000"/>
          <w:kern w:val="0"/>
          <w:sz w:val="26"/>
          <w:lang w:bidi="ar"/>
        </w:rPr>
        <w:t>6.2.2  测试环境</w:t>
      </w:r>
      <w:bookmarkEnd w:id="66"/>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4"/>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4"/>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7" w:name="_Toc5539"/>
      <w:r>
        <w:rPr>
          <w:rFonts w:hint="eastAsia" w:ascii="黑体" w:hAnsi="宋体" w:eastAsia="黑体"/>
          <w:color w:val="000000"/>
          <w:sz w:val="28"/>
          <w:szCs w:val="28"/>
        </w:rPr>
        <w:t>6.3  系统功能测试</w:t>
      </w:r>
      <w:bookmarkEnd w:id="67"/>
    </w:p>
    <w:p>
      <w:pPr>
        <w:widowControl/>
        <w:spacing w:before="240" w:after="120"/>
        <w:jc w:val="left"/>
        <w:outlineLvl w:val="2"/>
        <w:rPr>
          <w:rFonts w:eastAsia="黑体" w:cs="黑体"/>
          <w:color w:val="000000"/>
          <w:kern w:val="0"/>
          <w:sz w:val="26"/>
          <w:lang w:bidi="ar"/>
        </w:rPr>
      </w:pPr>
      <w:bookmarkStart w:id="68" w:name="_Toc11802"/>
      <w:r>
        <w:rPr>
          <w:rFonts w:hint="eastAsia" w:eastAsia="黑体" w:cs="黑体"/>
          <w:color w:val="000000"/>
          <w:kern w:val="0"/>
          <w:sz w:val="26"/>
          <w:lang w:bidi="ar"/>
        </w:rPr>
        <w:t>6.3.1  测试需求</w:t>
      </w:r>
      <w:bookmarkEnd w:id="68"/>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9" w:name="_Toc21637"/>
      <w:r>
        <w:rPr>
          <w:rFonts w:hint="eastAsia" w:eastAsia="黑体" w:cs="黑体"/>
          <w:color w:val="000000"/>
          <w:kern w:val="0"/>
          <w:sz w:val="26"/>
          <w:lang w:bidi="ar"/>
        </w:rPr>
        <w:t>6.3.2  测试设计</w:t>
      </w:r>
      <w:bookmarkEnd w:id="69"/>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9"/>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5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51"/>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51"/>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51"/>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51"/>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51"/>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52"/>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53"/>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5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5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55"/>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55"/>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55"/>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55"/>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55"/>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56"/>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56"/>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56"/>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56"/>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56"/>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0" w:name="_Toc2241"/>
      <w:r>
        <w:rPr>
          <w:rFonts w:hint="eastAsia" w:eastAsia="黑体" w:cs="黑体"/>
          <w:color w:val="000000"/>
          <w:kern w:val="0"/>
          <w:sz w:val="26"/>
          <w:lang w:bidi="ar"/>
        </w:rPr>
        <w:t>6.3.3  测试结果</w:t>
      </w:r>
      <w:bookmarkEnd w:id="70"/>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1" w:name="_Toc20676"/>
      <w:r>
        <w:rPr>
          <w:rFonts w:hint="eastAsia" w:eastAsia="黑体" w:cs="黑体"/>
          <w:color w:val="000000"/>
          <w:kern w:val="0"/>
          <w:sz w:val="26"/>
          <w:lang w:bidi="ar"/>
        </w:rPr>
        <w:t>6.3.4  优化策略</w:t>
      </w:r>
      <w:bookmarkEnd w:id="71"/>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2" w:name="_Toc30978"/>
      <w:r>
        <w:rPr>
          <w:rFonts w:hint="eastAsia" w:ascii="黑体" w:hAnsi="宋体" w:eastAsia="黑体"/>
          <w:color w:val="000000"/>
          <w:sz w:val="28"/>
          <w:szCs w:val="28"/>
        </w:rPr>
        <w:t>6.4  系统非功能测试</w:t>
      </w:r>
      <w:bookmarkEnd w:id="72"/>
    </w:p>
    <w:p>
      <w:pPr>
        <w:widowControl/>
        <w:spacing w:before="240" w:after="120"/>
        <w:jc w:val="left"/>
        <w:outlineLvl w:val="2"/>
        <w:rPr>
          <w:rFonts w:eastAsia="黑体" w:cs="黑体"/>
          <w:color w:val="000000"/>
          <w:kern w:val="0"/>
          <w:sz w:val="26"/>
          <w:lang w:bidi="ar"/>
        </w:rPr>
      </w:pPr>
      <w:bookmarkStart w:id="73" w:name="_Toc13353"/>
      <w:r>
        <w:rPr>
          <w:rFonts w:hint="eastAsia" w:eastAsia="黑体" w:cs="黑体"/>
          <w:color w:val="000000"/>
          <w:kern w:val="0"/>
          <w:sz w:val="26"/>
          <w:lang w:bidi="ar"/>
        </w:rPr>
        <w:t>6.4.1  测试需求</w:t>
      </w:r>
      <w:bookmarkEnd w:id="73"/>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1"/>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57"/>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57"/>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57"/>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57"/>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5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4" w:name="_Toc2309"/>
      <w:r>
        <w:rPr>
          <w:rFonts w:hint="eastAsia" w:eastAsia="黑体" w:cs="黑体"/>
          <w:color w:val="000000"/>
          <w:kern w:val="0"/>
          <w:sz w:val="26"/>
          <w:lang w:bidi="ar"/>
        </w:rPr>
        <w:t>6.4.2  测试设计</w:t>
      </w:r>
      <w:bookmarkEnd w:id="74"/>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1"/>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4"/>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5" w:name="_Toc20910"/>
      <w:r>
        <w:rPr>
          <w:rFonts w:hint="eastAsia" w:eastAsia="黑体" w:cs="黑体"/>
          <w:color w:val="000000"/>
          <w:kern w:val="0"/>
          <w:sz w:val="26"/>
          <w:lang w:bidi="ar"/>
        </w:rPr>
        <w:t>6.4.3  测试结果</w:t>
      </w:r>
      <w:bookmarkEnd w:id="75"/>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5"/>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6"/>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7"/>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8"/>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4"/>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58"/>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58"/>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58"/>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58"/>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58"/>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6" w:name="_Toc21353"/>
      <w:r>
        <w:rPr>
          <w:rFonts w:hint="eastAsia" w:eastAsia="黑体" w:cs="黑体"/>
          <w:color w:val="000000"/>
          <w:kern w:val="0"/>
          <w:sz w:val="26"/>
          <w:lang w:bidi="ar"/>
        </w:rPr>
        <w:t>6.4.4  优化策略</w:t>
      </w:r>
      <w:bookmarkEnd w:id="76"/>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7" w:name="_Toc26306"/>
      <w:r>
        <w:rPr>
          <w:rFonts w:hint="eastAsia" w:ascii="黑体" w:hAnsi="宋体" w:eastAsia="黑体"/>
          <w:color w:val="000000"/>
          <w:sz w:val="28"/>
          <w:szCs w:val="28"/>
        </w:rPr>
        <w:t>6.5  本章小结</w:t>
      </w:r>
      <w:bookmarkEnd w:id="77"/>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8" w:name="_Toc8201"/>
      <w:r>
        <w:rPr>
          <w:rFonts w:hint="eastAsia" w:eastAsia="黑体"/>
          <w:b/>
          <w:bCs/>
          <w:color w:val="000000"/>
          <w:sz w:val="32"/>
          <w:szCs w:val="32"/>
        </w:rPr>
        <w:t>第7章  结 论</w:t>
      </w:r>
      <w:bookmarkEnd w:id="78"/>
    </w:p>
    <w:p>
      <w:pPr>
        <w:spacing w:before="480" w:after="120"/>
        <w:outlineLvl w:val="1"/>
        <w:rPr>
          <w:rFonts w:eastAsia="黑体"/>
          <w:color w:val="000000"/>
          <w:sz w:val="28"/>
          <w:szCs w:val="28"/>
        </w:rPr>
      </w:pPr>
      <w:bookmarkStart w:id="79" w:name="_Toc9075"/>
      <w:r>
        <w:rPr>
          <w:rFonts w:hint="eastAsia" w:eastAsia="黑体"/>
          <w:color w:val="000000"/>
          <w:sz w:val="28"/>
          <w:szCs w:val="28"/>
        </w:rPr>
        <w:t>7.1  工作总结</w:t>
      </w:r>
      <w:bookmarkEnd w:id="79"/>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0" w:name="_Toc12265"/>
      <w:r>
        <w:rPr>
          <w:rFonts w:hint="eastAsia" w:eastAsia="黑体"/>
          <w:color w:val="000000"/>
          <w:sz w:val="28"/>
          <w:szCs w:val="28"/>
        </w:rPr>
        <w:t>7.2  课题展望</w:t>
      </w:r>
      <w:bookmarkEnd w:id="80"/>
    </w:p>
    <w:p>
      <w:pPr>
        <w:snapToGrid w:val="0"/>
        <w:spacing w:before="240" w:after="120"/>
        <w:outlineLvl w:val="2"/>
        <w:rPr>
          <w:rFonts w:eastAsia="黑体"/>
          <w:color w:val="000000"/>
          <w:sz w:val="26"/>
        </w:rPr>
      </w:pPr>
      <w:bookmarkStart w:id="81" w:name="_Toc6425"/>
      <w:r>
        <w:rPr>
          <w:rFonts w:hint="eastAsia" w:eastAsia="黑体"/>
          <w:color w:val="000000"/>
          <w:sz w:val="26"/>
        </w:rPr>
        <w:t>7.2.1  不足之处</w:t>
      </w:r>
      <w:bookmarkEnd w:id="81"/>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2" w:name="_Toc31172"/>
      <w:r>
        <w:rPr>
          <w:rFonts w:hint="eastAsia" w:eastAsia="黑体"/>
          <w:color w:val="000000"/>
          <w:sz w:val="26"/>
        </w:rPr>
        <w:t>7.2.2  课题展望</w:t>
      </w:r>
      <w:bookmarkEnd w:id="82"/>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3" w:name="_Toc27454"/>
      <w:r>
        <w:rPr>
          <w:rFonts w:hint="eastAsia" w:ascii="黑体" w:hAnsi="宋体" w:eastAsia="黑体"/>
          <w:b/>
          <w:color w:val="000000"/>
          <w:sz w:val="32"/>
          <w:szCs w:val="32"/>
        </w:rPr>
        <w:t>参 考 文 献</w:t>
      </w:r>
      <w:bookmarkEnd w:id="83"/>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4" w:name="_Toc25551"/>
      <w:r>
        <w:rPr>
          <w:rFonts w:hint="eastAsia" w:ascii="黑体" w:eastAsia="黑体"/>
          <w:b/>
          <w:bCs/>
          <w:color w:val="000000"/>
          <w:sz w:val="32"/>
          <w:szCs w:val="32"/>
        </w:rPr>
        <w:t>致    谢</w:t>
      </w:r>
      <w:bookmarkEnd w:id="84"/>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5"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5"/>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Hiragino Sans CNS">
    <w:panose1 w:val="020B0300000000000000"/>
    <w:charset w:val="86"/>
    <w:family w:val="auto"/>
    <w:pitch w:val="default"/>
    <w:sig w:usb0="00000000" w:usb1="00000000" w:usb2="00000000" w:usb3="00000000" w:csb0="00160000" w:csb1="00000000"/>
  </w:font>
  <w:font w:name="仿宋_GB2312">
    <w:altName w:val="方正仿宋_GBK"/>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Style w:val="14"/>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88</w:t>
                    </w:r>
                    <w:r>
                      <w:fldChar w:fldCharType="end"/>
                    </w:r>
                  </w:p>
                </w:txbxContent>
              </v:textbox>
            </v:shape>
          </w:pict>
        </mc:Fallback>
      </mc:AlternateContent>
    </w:r>
    <w:r>
      <w:rPr>
        <w:rStyle w:val="14"/>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9"/>
        <w:snapToGrid w:val="0"/>
      </w:pPr>
    </w:p>
  </w:footnote>
  <w:footnote w:id="1">
    <w:p>
      <w:pPr>
        <w:pStyle w:val="9"/>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A2871D14"/>
    <w:multiLevelType w:val="singleLevel"/>
    <w:tmpl w:val="A2871D14"/>
    <w:lvl w:ilvl="0" w:tentative="0">
      <w:start w:val="1"/>
      <w:numFmt w:val="decimal"/>
      <w:lvlText w:val="%1."/>
      <w:lvlJc w:val="left"/>
      <w:pPr>
        <w:tabs>
          <w:tab w:val="left" w:pos="312"/>
        </w:tabs>
      </w:pPr>
    </w:lvl>
  </w:abstractNum>
  <w:abstractNum w:abstractNumId="7">
    <w:nsid w:val="A499A8A9"/>
    <w:multiLevelType w:val="singleLevel"/>
    <w:tmpl w:val="A499A8A9"/>
    <w:lvl w:ilvl="0" w:tentative="0">
      <w:start w:val="1"/>
      <w:numFmt w:val="decimal"/>
      <w:lvlText w:val="%1."/>
      <w:lvlJc w:val="left"/>
      <w:pPr>
        <w:tabs>
          <w:tab w:val="left" w:pos="312"/>
        </w:tabs>
      </w:pPr>
    </w:lvl>
  </w:abstractNum>
  <w:abstractNum w:abstractNumId="8">
    <w:nsid w:val="A620954D"/>
    <w:multiLevelType w:val="singleLevel"/>
    <w:tmpl w:val="A620954D"/>
    <w:lvl w:ilvl="0" w:tentative="0">
      <w:start w:val="1"/>
      <w:numFmt w:val="decimal"/>
      <w:lvlText w:val="%1."/>
      <w:lvlJc w:val="left"/>
      <w:pPr>
        <w:tabs>
          <w:tab w:val="left" w:pos="312"/>
        </w:tabs>
      </w:pPr>
    </w:lvl>
  </w:abstractNum>
  <w:abstractNum w:abstractNumId="9">
    <w:nsid w:val="A777D160"/>
    <w:multiLevelType w:val="singleLevel"/>
    <w:tmpl w:val="A777D160"/>
    <w:lvl w:ilvl="0" w:tentative="0">
      <w:start w:val="1"/>
      <w:numFmt w:val="decimal"/>
      <w:suff w:val="space"/>
      <w:lvlText w:val="%1."/>
      <w:lvlJc w:val="left"/>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209A3"/>
    <w:multiLevelType w:val="singleLevel"/>
    <w:tmpl w:val="BFD209A3"/>
    <w:lvl w:ilvl="0" w:tentative="0">
      <w:start w:val="1"/>
      <w:numFmt w:val="decimal"/>
      <w:suff w:val="space"/>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BFE1B1A"/>
    <w:multiLevelType w:val="singleLevel"/>
    <w:tmpl w:val="DBFE1B1A"/>
    <w:lvl w:ilvl="0" w:tentative="0">
      <w:start w:val="1"/>
      <w:numFmt w:val="decimal"/>
      <w:suff w:val="space"/>
      <w:lvlText w:val="%1."/>
      <w:lvlJc w:val="left"/>
    </w:lvl>
  </w:abstractNum>
  <w:abstractNum w:abstractNumId="27">
    <w:nsid w:val="DF170E3D"/>
    <w:multiLevelType w:val="singleLevel"/>
    <w:tmpl w:val="DF170E3D"/>
    <w:lvl w:ilvl="0" w:tentative="0">
      <w:start w:val="1"/>
      <w:numFmt w:val="decimal"/>
      <w:suff w:val="nothing"/>
      <w:lvlText w:val="（%1）"/>
      <w:lvlJc w:val="left"/>
      <w:pPr>
        <w:ind w:left="420"/>
      </w:pPr>
    </w:lvl>
  </w:abstractNum>
  <w:abstractNum w:abstractNumId="28">
    <w:nsid w:val="DF2E2DB9"/>
    <w:multiLevelType w:val="singleLevel"/>
    <w:tmpl w:val="DF2E2DB9"/>
    <w:lvl w:ilvl="0" w:tentative="0">
      <w:start w:val="1"/>
      <w:numFmt w:val="decimal"/>
      <w:suff w:val="space"/>
      <w:lvlText w:val="%1."/>
      <w:lvlJc w:val="left"/>
    </w:lvl>
  </w:abstractNum>
  <w:abstractNum w:abstractNumId="29">
    <w:nsid w:val="E5FF41B4"/>
    <w:multiLevelType w:val="singleLevel"/>
    <w:tmpl w:val="E5FF41B4"/>
    <w:lvl w:ilvl="0" w:tentative="0">
      <w:start w:val="1"/>
      <w:numFmt w:val="decimal"/>
      <w:suff w:val="space"/>
      <w:lvlText w:val="%1."/>
      <w:lvlJc w:val="left"/>
    </w:lvl>
  </w:abstractNum>
  <w:abstractNum w:abstractNumId="30">
    <w:nsid w:val="E7BE5EEA"/>
    <w:multiLevelType w:val="singleLevel"/>
    <w:tmpl w:val="E7BE5EEA"/>
    <w:lvl w:ilvl="0" w:tentative="0">
      <w:start w:val="1"/>
      <w:numFmt w:val="decimal"/>
      <w:suff w:val="space"/>
      <w:lvlText w:val="%1."/>
      <w:lvlJc w:val="left"/>
    </w:lvl>
  </w:abstractNum>
  <w:abstractNum w:abstractNumId="31">
    <w:nsid w:val="EAAF74FF"/>
    <w:multiLevelType w:val="singleLevel"/>
    <w:tmpl w:val="EAAF74FF"/>
    <w:lvl w:ilvl="0" w:tentative="0">
      <w:start w:val="1"/>
      <w:numFmt w:val="decimal"/>
      <w:suff w:val="nothing"/>
      <w:lvlText w:val="（%1）"/>
      <w:lvlJc w:val="left"/>
    </w:lvl>
  </w:abstractNum>
  <w:abstractNum w:abstractNumId="32">
    <w:nsid w:val="EAFF42CC"/>
    <w:multiLevelType w:val="singleLevel"/>
    <w:tmpl w:val="EAFF42CC"/>
    <w:lvl w:ilvl="0" w:tentative="0">
      <w:start w:val="2"/>
      <w:numFmt w:val="decimal"/>
      <w:suff w:val="nothing"/>
      <w:lvlText w:val="（%1）"/>
      <w:lvlJc w:val="left"/>
    </w:lvl>
  </w:abstractNum>
  <w:abstractNum w:abstractNumId="33">
    <w:nsid w:val="EBF940FB"/>
    <w:multiLevelType w:val="singleLevel"/>
    <w:tmpl w:val="EBF940FB"/>
    <w:lvl w:ilvl="0" w:tentative="0">
      <w:start w:val="1"/>
      <w:numFmt w:val="decimal"/>
      <w:suff w:val="space"/>
      <w:lvlText w:val="%1."/>
      <w:lvlJc w:val="left"/>
    </w:lvl>
  </w:abstractNum>
  <w:abstractNum w:abstractNumId="34">
    <w:nsid w:val="ED1664F0"/>
    <w:multiLevelType w:val="singleLevel"/>
    <w:tmpl w:val="ED1664F0"/>
    <w:lvl w:ilvl="0" w:tentative="0">
      <w:start w:val="1"/>
      <w:numFmt w:val="decimal"/>
      <w:suff w:val="nothing"/>
      <w:lvlText w:val="（%1）"/>
      <w:lvlJc w:val="left"/>
    </w:lvl>
  </w:abstractNum>
  <w:abstractNum w:abstractNumId="35">
    <w:nsid w:val="EFA95A85"/>
    <w:multiLevelType w:val="singleLevel"/>
    <w:tmpl w:val="EFA95A85"/>
    <w:lvl w:ilvl="0" w:tentative="0">
      <w:start w:val="1"/>
      <w:numFmt w:val="decimal"/>
      <w:suff w:val="nothing"/>
      <w:lvlText w:val="（%1）"/>
      <w:lvlJc w:val="left"/>
    </w:lvl>
  </w:abstractNum>
  <w:abstractNum w:abstractNumId="36">
    <w:nsid w:val="F6B3FF0D"/>
    <w:multiLevelType w:val="singleLevel"/>
    <w:tmpl w:val="F6B3FF0D"/>
    <w:lvl w:ilvl="0" w:tentative="0">
      <w:start w:val="1"/>
      <w:numFmt w:val="decimal"/>
      <w:lvlText w:val="%1."/>
      <w:lvlJc w:val="left"/>
      <w:pPr>
        <w:tabs>
          <w:tab w:val="left" w:pos="312"/>
        </w:tabs>
      </w:pPr>
    </w:lvl>
  </w:abstractNum>
  <w:abstractNum w:abstractNumId="37">
    <w:nsid w:val="F7D0E3E5"/>
    <w:multiLevelType w:val="singleLevel"/>
    <w:tmpl w:val="F7D0E3E5"/>
    <w:lvl w:ilvl="0" w:tentative="0">
      <w:start w:val="1"/>
      <w:numFmt w:val="decimal"/>
      <w:suff w:val="space"/>
      <w:lvlText w:val="%1."/>
      <w:lvlJc w:val="left"/>
    </w:lvl>
  </w:abstractNum>
  <w:abstractNum w:abstractNumId="38">
    <w:nsid w:val="FC74F208"/>
    <w:multiLevelType w:val="singleLevel"/>
    <w:tmpl w:val="FC74F208"/>
    <w:lvl w:ilvl="0" w:tentative="0">
      <w:start w:val="1"/>
      <w:numFmt w:val="decimal"/>
      <w:suff w:val="nothing"/>
      <w:lvlText w:val="%1）"/>
      <w:lvlJc w:val="left"/>
    </w:lvl>
  </w:abstractNum>
  <w:abstractNum w:abstractNumId="39">
    <w:nsid w:val="FF7F1A97"/>
    <w:multiLevelType w:val="singleLevel"/>
    <w:tmpl w:val="FF7F1A97"/>
    <w:lvl w:ilvl="0" w:tentative="0">
      <w:start w:val="1"/>
      <w:numFmt w:val="decimal"/>
      <w:suff w:val="space"/>
      <w:lvlText w:val="%1."/>
      <w:lvlJc w:val="left"/>
    </w:lvl>
  </w:abstractNum>
  <w:abstractNum w:abstractNumId="40">
    <w:nsid w:val="FFFF50D9"/>
    <w:multiLevelType w:val="singleLevel"/>
    <w:tmpl w:val="FFFF50D9"/>
    <w:lvl w:ilvl="0" w:tentative="0">
      <w:start w:val="1"/>
      <w:numFmt w:val="decimal"/>
      <w:suff w:val="nothing"/>
      <w:lvlText w:val="（%1）"/>
      <w:lvlJc w:val="left"/>
    </w:lvl>
  </w:abstractNum>
  <w:abstractNum w:abstractNumId="41">
    <w:nsid w:val="FFFFB285"/>
    <w:multiLevelType w:val="singleLevel"/>
    <w:tmpl w:val="FFFFB285"/>
    <w:lvl w:ilvl="0" w:tentative="0">
      <w:start w:val="1"/>
      <w:numFmt w:val="decimal"/>
      <w:suff w:val="nothing"/>
      <w:lvlText w:val="（%1）"/>
      <w:lvlJc w:val="left"/>
    </w:lvl>
  </w:abstractNum>
  <w:abstractNum w:abstractNumId="42">
    <w:nsid w:val="0A1FFE84"/>
    <w:multiLevelType w:val="singleLevel"/>
    <w:tmpl w:val="0A1FFE84"/>
    <w:lvl w:ilvl="0" w:tentative="0">
      <w:start w:val="1"/>
      <w:numFmt w:val="decimal"/>
      <w:lvlText w:val="%1."/>
      <w:lvlJc w:val="left"/>
      <w:pPr>
        <w:tabs>
          <w:tab w:val="left" w:pos="312"/>
        </w:tabs>
      </w:pPr>
    </w:lvl>
  </w:abstractNum>
  <w:abstractNum w:abstractNumId="43">
    <w:nsid w:val="100F4C05"/>
    <w:multiLevelType w:val="singleLevel"/>
    <w:tmpl w:val="100F4C05"/>
    <w:lvl w:ilvl="0" w:tentative="0">
      <w:start w:val="1"/>
      <w:numFmt w:val="decimal"/>
      <w:lvlText w:val="%1."/>
      <w:lvlJc w:val="left"/>
      <w:pPr>
        <w:tabs>
          <w:tab w:val="left" w:pos="312"/>
        </w:tabs>
      </w:pPr>
    </w:lvl>
  </w:abstractNum>
  <w:abstractNum w:abstractNumId="44">
    <w:nsid w:val="1EE86B5D"/>
    <w:multiLevelType w:val="singleLevel"/>
    <w:tmpl w:val="1EE86B5D"/>
    <w:lvl w:ilvl="0" w:tentative="0">
      <w:start w:val="1"/>
      <w:numFmt w:val="decimal"/>
      <w:lvlText w:val="%1."/>
      <w:lvlJc w:val="left"/>
      <w:pPr>
        <w:tabs>
          <w:tab w:val="left" w:pos="312"/>
        </w:tabs>
      </w:pPr>
    </w:lvl>
  </w:abstractNum>
  <w:abstractNum w:abstractNumId="45">
    <w:nsid w:val="3723140B"/>
    <w:multiLevelType w:val="singleLevel"/>
    <w:tmpl w:val="3723140B"/>
    <w:lvl w:ilvl="0" w:tentative="0">
      <w:start w:val="1"/>
      <w:numFmt w:val="decimal"/>
      <w:suff w:val="nothing"/>
      <w:lvlText w:val="（%1）"/>
      <w:lvlJc w:val="left"/>
    </w:lvl>
  </w:abstractNum>
  <w:abstractNum w:abstractNumId="46">
    <w:nsid w:val="3F58D486"/>
    <w:multiLevelType w:val="singleLevel"/>
    <w:tmpl w:val="3F58D486"/>
    <w:lvl w:ilvl="0" w:tentative="0">
      <w:start w:val="1"/>
      <w:numFmt w:val="decimal"/>
      <w:suff w:val="space"/>
      <w:lvlText w:val="（%1）"/>
      <w:lvlJc w:val="left"/>
    </w:lvl>
  </w:abstractNum>
  <w:abstractNum w:abstractNumId="47">
    <w:nsid w:val="3FFF801E"/>
    <w:multiLevelType w:val="singleLevel"/>
    <w:tmpl w:val="3FFF801E"/>
    <w:lvl w:ilvl="0" w:tentative="0">
      <w:start w:val="1"/>
      <w:numFmt w:val="decimal"/>
      <w:suff w:val="space"/>
      <w:lvlText w:val="%1."/>
      <w:lvlJc w:val="left"/>
    </w:lvl>
  </w:abstractNum>
  <w:abstractNum w:abstractNumId="48">
    <w:nsid w:val="4C14F343"/>
    <w:multiLevelType w:val="singleLevel"/>
    <w:tmpl w:val="4C14F343"/>
    <w:lvl w:ilvl="0" w:tentative="0">
      <w:start w:val="1"/>
      <w:numFmt w:val="decimal"/>
      <w:lvlText w:val="%1."/>
      <w:lvlJc w:val="left"/>
      <w:pPr>
        <w:tabs>
          <w:tab w:val="left" w:pos="312"/>
        </w:tabs>
      </w:pPr>
    </w:lvl>
  </w:abstractNum>
  <w:abstractNum w:abstractNumId="49">
    <w:nsid w:val="56F2D59C"/>
    <w:multiLevelType w:val="singleLevel"/>
    <w:tmpl w:val="56F2D59C"/>
    <w:lvl w:ilvl="0" w:tentative="0">
      <w:start w:val="1"/>
      <w:numFmt w:val="decimal"/>
      <w:lvlText w:val="%1."/>
      <w:lvlJc w:val="left"/>
      <w:pPr>
        <w:tabs>
          <w:tab w:val="left" w:pos="312"/>
        </w:tabs>
      </w:pPr>
    </w:lvl>
  </w:abstractNum>
  <w:abstractNum w:abstractNumId="50">
    <w:nsid w:val="5BFB4811"/>
    <w:multiLevelType w:val="singleLevel"/>
    <w:tmpl w:val="5BFB4811"/>
    <w:lvl w:ilvl="0" w:tentative="0">
      <w:start w:val="1"/>
      <w:numFmt w:val="decimal"/>
      <w:suff w:val="space"/>
      <w:lvlText w:val="%1."/>
      <w:lvlJc w:val="left"/>
    </w:lvl>
  </w:abstractNum>
  <w:abstractNum w:abstractNumId="51">
    <w:nsid w:val="65CCF13E"/>
    <w:multiLevelType w:val="singleLevel"/>
    <w:tmpl w:val="65CCF13E"/>
    <w:lvl w:ilvl="0" w:tentative="0">
      <w:start w:val="1"/>
      <w:numFmt w:val="decimal"/>
      <w:suff w:val="nothing"/>
      <w:lvlText w:val="（%1）"/>
      <w:lvlJc w:val="left"/>
      <w:pPr>
        <w:ind w:left="360"/>
      </w:pPr>
    </w:lvl>
  </w:abstractNum>
  <w:abstractNum w:abstractNumId="52">
    <w:nsid w:val="6D16D427"/>
    <w:multiLevelType w:val="singleLevel"/>
    <w:tmpl w:val="6D16D427"/>
    <w:lvl w:ilvl="0" w:tentative="0">
      <w:start w:val="1"/>
      <w:numFmt w:val="decimal"/>
      <w:suff w:val="space"/>
      <w:lvlText w:val="%1."/>
      <w:lvlJc w:val="left"/>
    </w:lvl>
  </w:abstractNum>
  <w:abstractNum w:abstractNumId="53">
    <w:nsid w:val="73EE7252"/>
    <w:multiLevelType w:val="singleLevel"/>
    <w:tmpl w:val="73EE7252"/>
    <w:lvl w:ilvl="0" w:tentative="0">
      <w:start w:val="1"/>
      <w:numFmt w:val="decimal"/>
      <w:suff w:val="space"/>
      <w:lvlText w:val="%1."/>
      <w:lvlJc w:val="left"/>
    </w:lvl>
  </w:abstractNum>
  <w:abstractNum w:abstractNumId="54">
    <w:nsid w:val="757EC989"/>
    <w:multiLevelType w:val="singleLevel"/>
    <w:tmpl w:val="757EC989"/>
    <w:lvl w:ilvl="0" w:tentative="0">
      <w:start w:val="1"/>
      <w:numFmt w:val="decimal"/>
      <w:lvlText w:val="%1."/>
      <w:lvlJc w:val="left"/>
      <w:pPr>
        <w:tabs>
          <w:tab w:val="left" w:pos="312"/>
        </w:tabs>
      </w:pPr>
    </w:lvl>
  </w:abstractNum>
  <w:abstractNum w:abstractNumId="55">
    <w:nsid w:val="799FA772"/>
    <w:multiLevelType w:val="singleLevel"/>
    <w:tmpl w:val="799FA772"/>
    <w:lvl w:ilvl="0" w:tentative="0">
      <w:start w:val="1"/>
      <w:numFmt w:val="decimal"/>
      <w:suff w:val="space"/>
      <w:lvlText w:val="%1."/>
      <w:lvlJc w:val="left"/>
    </w:lvl>
  </w:abstractNum>
  <w:abstractNum w:abstractNumId="56">
    <w:nsid w:val="7E092ABC"/>
    <w:multiLevelType w:val="singleLevel"/>
    <w:tmpl w:val="7E092ABC"/>
    <w:lvl w:ilvl="0" w:tentative="0">
      <w:start w:val="1"/>
      <w:numFmt w:val="decimal"/>
      <w:lvlText w:val="%1."/>
      <w:lvlJc w:val="left"/>
      <w:pPr>
        <w:tabs>
          <w:tab w:val="left" w:pos="312"/>
        </w:tabs>
      </w:pPr>
    </w:lvl>
  </w:abstractNum>
  <w:abstractNum w:abstractNumId="57">
    <w:nsid w:val="7FFD534B"/>
    <w:multiLevelType w:val="singleLevel"/>
    <w:tmpl w:val="7FFD534B"/>
    <w:lvl w:ilvl="0" w:tentative="0">
      <w:start w:val="1"/>
      <w:numFmt w:val="decimal"/>
      <w:suff w:val="nothing"/>
      <w:lvlText w:val="%1）"/>
      <w:lvlJc w:val="left"/>
    </w:lvl>
  </w:abstractNum>
  <w:num w:numId="1">
    <w:abstractNumId w:val="57"/>
  </w:num>
  <w:num w:numId="2">
    <w:abstractNumId w:val="32"/>
  </w:num>
  <w:num w:numId="3">
    <w:abstractNumId w:val="23"/>
  </w:num>
  <w:num w:numId="4">
    <w:abstractNumId w:val="22"/>
  </w:num>
  <w:num w:numId="5">
    <w:abstractNumId w:val="38"/>
  </w:num>
  <w:num w:numId="6">
    <w:abstractNumId w:val="20"/>
  </w:num>
  <w:num w:numId="7">
    <w:abstractNumId w:val="15"/>
  </w:num>
  <w:num w:numId="8">
    <w:abstractNumId w:val="34"/>
  </w:num>
  <w:num w:numId="9">
    <w:abstractNumId w:val="14"/>
  </w:num>
  <w:num w:numId="10">
    <w:abstractNumId w:val="41"/>
  </w:num>
  <w:num w:numId="11">
    <w:abstractNumId w:val="25"/>
  </w:num>
  <w:num w:numId="12">
    <w:abstractNumId w:val="5"/>
  </w:num>
  <w:num w:numId="13">
    <w:abstractNumId w:val="40"/>
  </w:num>
  <w:num w:numId="14">
    <w:abstractNumId w:val="35"/>
  </w:num>
  <w:num w:numId="15">
    <w:abstractNumId w:val="31"/>
  </w:num>
  <w:num w:numId="16">
    <w:abstractNumId w:val="9"/>
  </w:num>
  <w:num w:numId="17">
    <w:abstractNumId w:val="52"/>
  </w:num>
  <w:num w:numId="18">
    <w:abstractNumId w:val="26"/>
  </w:num>
  <w:num w:numId="19">
    <w:abstractNumId w:val="47"/>
  </w:num>
  <w:num w:numId="20">
    <w:abstractNumId w:val="50"/>
  </w:num>
  <w:num w:numId="21">
    <w:abstractNumId w:val="53"/>
  </w:num>
  <w:num w:numId="22">
    <w:abstractNumId w:val="28"/>
  </w:num>
  <w:num w:numId="23">
    <w:abstractNumId w:val="39"/>
  </w:num>
  <w:num w:numId="24">
    <w:abstractNumId w:val="19"/>
  </w:num>
  <w:num w:numId="25">
    <w:abstractNumId w:val="29"/>
  </w:num>
  <w:num w:numId="26">
    <w:abstractNumId w:val="33"/>
  </w:num>
  <w:num w:numId="27">
    <w:abstractNumId w:val="30"/>
  </w:num>
  <w:num w:numId="28">
    <w:abstractNumId w:val="37"/>
  </w:num>
  <w:num w:numId="29">
    <w:abstractNumId w:val="55"/>
  </w:num>
  <w:num w:numId="30">
    <w:abstractNumId w:val="45"/>
  </w:num>
  <w:num w:numId="31">
    <w:abstractNumId w:val="51"/>
  </w:num>
  <w:num w:numId="32">
    <w:abstractNumId w:val="2"/>
  </w:num>
  <w:num w:numId="33">
    <w:abstractNumId w:val="18"/>
  </w:num>
  <w:num w:numId="34">
    <w:abstractNumId w:val="27"/>
  </w:num>
  <w:num w:numId="35">
    <w:abstractNumId w:val="10"/>
  </w:num>
  <w:num w:numId="36">
    <w:abstractNumId w:val="0"/>
  </w:num>
  <w:num w:numId="37">
    <w:abstractNumId w:val="21"/>
  </w:num>
  <w:num w:numId="38">
    <w:abstractNumId w:val="7"/>
  </w:num>
  <w:num w:numId="39">
    <w:abstractNumId w:val="56"/>
  </w:num>
  <w:num w:numId="40">
    <w:abstractNumId w:val="48"/>
  </w:num>
  <w:num w:numId="41">
    <w:abstractNumId w:val="13"/>
  </w:num>
  <w:num w:numId="42">
    <w:abstractNumId w:val="1"/>
  </w:num>
  <w:num w:numId="43">
    <w:abstractNumId w:val="3"/>
  </w:num>
  <w:num w:numId="44">
    <w:abstractNumId w:val="11"/>
  </w:num>
  <w:num w:numId="45">
    <w:abstractNumId w:val="6"/>
  </w:num>
  <w:num w:numId="46">
    <w:abstractNumId w:val="43"/>
  </w:num>
  <w:num w:numId="47">
    <w:abstractNumId w:val="44"/>
  </w:num>
  <w:num w:numId="48">
    <w:abstractNumId w:val="17"/>
  </w:num>
  <w:num w:numId="49">
    <w:abstractNumId w:val="24"/>
  </w:num>
  <w:num w:numId="50">
    <w:abstractNumId w:val="54"/>
  </w:num>
  <w:num w:numId="51">
    <w:abstractNumId w:val="8"/>
  </w:num>
  <w:num w:numId="52">
    <w:abstractNumId w:val="16"/>
  </w:num>
  <w:num w:numId="53">
    <w:abstractNumId w:val="42"/>
  </w:num>
  <w:num w:numId="54">
    <w:abstractNumId w:val="12"/>
  </w:num>
  <w:num w:numId="55">
    <w:abstractNumId w:val="49"/>
  </w:num>
  <w:num w:numId="56">
    <w:abstractNumId w:val="36"/>
  </w:num>
  <w:num w:numId="57">
    <w:abstractNumId w:val="4"/>
  </w:num>
  <w:num w:numId="5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8"/>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3F786C"/>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5F9246"/>
    <w:rsid w:val="37741EBE"/>
    <w:rsid w:val="37CEF692"/>
    <w:rsid w:val="37F2E66D"/>
    <w:rsid w:val="37FA904F"/>
    <w:rsid w:val="37FBDF16"/>
    <w:rsid w:val="37FDDDC3"/>
    <w:rsid w:val="37FEB5C7"/>
    <w:rsid w:val="37FF07FF"/>
    <w:rsid w:val="37FF12AD"/>
    <w:rsid w:val="383B009C"/>
    <w:rsid w:val="385B78B3"/>
    <w:rsid w:val="38652585"/>
    <w:rsid w:val="38F50D35"/>
    <w:rsid w:val="392635DD"/>
    <w:rsid w:val="392B2773"/>
    <w:rsid w:val="397FF621"/>
    <w:rsid w:val="39AF050F"/>
    <w:rsid w:val="39DC050B"/>
    <w:rsid w:val="39EFFE19"/>
    <w:rsid w:val="3A7E4E4B"/>
    <w:rsid w:val="3B434590"/>
    <w:rsid w:val="3B8064B4"/>
    <w:rsid w:val="3B8D206C"/>
    <w:rsid w:val="3B9FE574"/>
    <w:rsid w:val="3BBE44F4"/>
    <w:rsid w:val="3BBF18AD"/>
    <w:rsid w:val="3BBFE545"/>
    <w:rsid w:val="3BDD724D"/>
    <w:rsid w:val="3BEE7E1F"/>
    <w:rsid w:val="3BFB944C"/>
    <w:rsid w:val="3C06735A"/>
    <w:rsid w:val="3C147155"/>
    <w:rsid w:val="3C6C279A"/>
    <w:rsid w:val="3C7A0F6B"/>
    <w:rsid w:val="3CAF4FAA"/>
    <w:rsid w:val="3CFF208D"/>
    <w:rsid w:val="3D114ACC"/>
    <w:rsid w:val="3D6C2B14"/>
    <w:rsid w:val="3DC71727"/>
    <w:rsid w:val="3DFD5293"/>
    <w:rsid w:val="3E2D1EA8"/>
    <w:rsid w:val="3E65EE1E"/>
    <w:rsid w:val="3E6B0792"/>
    <w:rsid w:val="3E7DAD9D"/>
    <w:rsid w:val="3E9F0310"/>
    <w:rsid w:val="3EAB18E0"/>
    <w:rsid w:val="3ED86198"/>
    <w:rsid w:val="3EF20CA1"/>
    <w:rsid w:val="3EFEE166"/>
    <w:rsid w:val="3EFF9314"/>
    <w:rsid w:val="3F37FDE6"/>
    <w:rsid w:val="3F67295F"/>
    <w:rsid w:val="3F6C9079"/>
    <w:rsid w:val="3F7DDC64"/>
    <w:rsid w:val="3F7E363A"/>
    <w:rsid w:val="3F7F291C"/>
    <w:rsid w:val="3F7F5186"/>
    <w:rsid w:val="3F7FCA3C"/>
    <w:rsid w:val="3F887E3A"/>
    <w:rsid w:val="3F8BD84F"/>
    <w:rsid w:val="3FADA4EE"/>
    <w:rsid w:val="3FB43636"/>
    <w:rsid w:val="3FB752AA"/>
    <w:rsid w:val="3FBF242D"/>
    <w:rsid w:val="3FCA805C"/>
    <w:rsid w:val="3FD3AC1E"/>
    <w:rsid w:val="3FD7A3D5"/>
    <w:rsid w:val="3FE319A3"/>
    <w:rsid w:val="3FEC4726"/>
    <w:rsid w:val="3FF315A1"/>
    <w:rsid w:val="3FF778B3"/>
    <w:rsid w:val="3FF85681"/>
    <w:rsid w:val="3FFB143F"/>
    <w:rsid w:val="3FFEAEF4"/>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EF5CB7"/>
    <w:rsid w:val="57044CC0"/>
    <w:rsid w:val="57095D28"/>
    <w:rsid w:val="572C4BBA"/>
    <w:rsid w:val="573D3553"/>
    <w:rsid w:val="575D1218"/>
    <w:rsid w:val="57A7A1D7"/>
    <w:rsid w:val="57A912D1"/>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AAB217B"/>
    <w:rsid w:val="5B3F00F7"/>
    <w:rsid w:val="5B3F8DB4"/>
    <w:rsid w:val="5B53B340"/>
    <w:rsid w:val="5B592ED6"/>
    <w:rsid w:val="5BB27C8D"/>
    <w:rsid w:val="5BCE6B04"/>
    <w:rsid w:val="5BD270EE"/>
    <w:rsid w:val="5BDDBADE"/>
    <w:rsid w:val="5BEF6899"/>
    <w:rsid w:val="5BF9B7F5"/>
    <w:rsid w:val="5BFB608F"/>
    <w:rsid w:val="5BFF19DE"/>
    <w:rsid w:val="5BFFEF40"/>
    <w:rsid w:val="5C3F4133"/>
    <w:rsid w:val="5C7FDCBE"/>
    <w:rsid w:val="5C8375A0"/>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F199BAF"/>
    <w:rsid w:val="5F3F7E66"/>
    <w:rsid w:val="5F41F9F9"/>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6EC7A6"/>
    <w:rsid w:val="667722CE"/>
    <w:rsid w:val="6677789F"/>
    <w:rsid w:val="66D14508"/>
    <w:rsid w:val="66DFADF3"/>
    <w:rsid w:val="66FD6E0A"/>
    <w:rsid w:val="66FE59B0"/>
    <w:rsid w:val="671F68AC"/>
    <w:rsid w:val="673F4001"/>
    <w:rsid w:val="67B9FDBC"/>
    <w:rsid w:val="67EA36D2"/>
    <w:rsid w:val="67F39C19"/>
    <w:rsid w:val="67F3DB82"/>
    <w:rsid w:val="67FF5B3E"/>
    <w:rsid w:val="67FFD3B9"/>
    <w:rsid w:val="682FF71E"/>
    <w:rsid w:val="693B220F"/>
    <w:rsid w:val="696F55F7"/>
    <w:rsid w:val="6972003D"/>
    <w:rsid w:val="69CD6356"/>
    <w:rsid w:val="69F22AE2"/>
    <w:rsid w:val="6B677268"/>
    <w:rsid w:val="6B7BF71E"/>
    <w:rsid w:val="6B7DF15A"/>
    <w:rsid w:val="6BB25535"/>
    <w:rsid w:val="6BB66E44"/>
    <w:rsid w:val="6BBB7AC0"/>
    <w:rsid w:val="6BC5F62E"/>
    <w:rsid w:val="6BCBB934"/>
    <w:rsid w:val="6BDDA4F3"/>
    <w:rsid w:val="6BEE66F0"/>
    <w:rsid w:val="6C522B9B"/>
    <w:rsid w:val="6C907204"/>
    <w:rsid w:val="6C9474B4"/>
    <w:rsid w:val="6C967A0D"/>
    <w:rsid w:val="6CB7CFA5"/>
    <w:rsid w:val="6CE335B9"/>
    <w:rsid w:val="6D1D4F10"/>
    <w:rsid w:val="6D250DCB"/>
    <w:rsid w:val="6D6F9591"/>
    <w:rsid w:val="6D7EC9CB"/>
    <w:rsid w:val="6D857548"/>
    <w:rsid w:val="6D951588"/>
    <w:rsid w:val="6DBB7EC7"/>
    <w:rsid w:val="6DBE126F"/>
    <w:rsid w:val="6DCD72AE"/>
    <w:rsid w:val="6DE63E59"/>
    <w:rsid w:val="6DFE6EE4"/>
    <w:rsid w:val="6DFF7FD4"/>
    <w:rsid w:val="6E6D4335"/>
    <w:rsid w:val="6EDD0FA6"/>
    <w:rsid w:val="6EF81E8B"/>
    <w:rsid w:val="6EFFE04F"/>
    <w:rsid w:val="6F2DB8E7"/>
    <w:rsid w:val="6F2EF821"/>
    <w:rsid w:val="6F444B83"/>
    <w:rsid w:val="6F7724CA"/>
    <w:rsid w:val="6FB60B83"/>
    <w:rsid w:val="6FB6B12A"/>
    <w:rsid w:val="6FB760DC"/>
    <w:rsid w:val="6FCE393B"/>
    <w:rsid w:val="6FDB0BCE"/>
    <w:rsid w:val="6FDF3D46"/>
    <w:rsid w:val="6FE5F87B"/>
    <w:rsid w:val="6FE9C5C8"/>
    <w:rsid w:val="6FF77695"/>
    <w:rsid w:val="6FF7C08D"/>
    <w:rsid w:val="6FFB7B68"/>
    <w:rsid w:val="6FFB8029"/>
    <w:rsid w:val="6FFC4F6C"/>
    <w:rsid w:val="6FFD51C3"/>
    <w:rsid w:val="6FFF9FCB"/>
    <w:rsid w:val="6FFFF0D2"/>
    <w:rsid w:val="70B723E0"/>
    <w:rsid w:val="70C970B0"/>
    <w:rsid w:val="71481830"/>
    <w:rsid w:val="719759DF"/>
    <w:rsid w:val="71CD04B5"/>
    <w:rsid w:val="71F728CB"/>
    <w:rsid w:val="72124C80"/>
    <w:rsid w:val="721F43F1"/>
    <w:rsid w:val="723AC656"/>
    <w:rsid w:val="72563CA1"/>
    <w:rsid w:val="725D461A"/>
    <w:rsid w:val="72CF2B22"/>
    <w:rsid w:val="72FF8437"/>
    <w:rsid w:val="72FFFC51"/>
    <w:rsid w:val="735E06F7"/>
    <w:rsid w:val="73761A7E"/>
    <w:rsid w:val="737BF074"/>
    <w:rsid w:val="73BB2919"/>
    <w:rsid w:val="73D73FE6"/>
    <w:rsid w:val="73DFA0D8"/>
    <w:rsid w:val="73E79625"/>
    <w:rsid w:val="73F473F3"/>
    <w:rsid w:val="73FF1A0B"/>
    <w:rsid w:val="7459099B"/>
    <w:rsid w:val="7494705F"/>
    <w:rsid w:val="749531F1"/>
    <w:rsid w:val="74DFE8F0"/>
    <w:rsid w:val="74E220C3"/>
    <w:rsid w:val="74F940B0"/>
    <w:rsid w:val="74FE4F2E"/>
    <w:rsid w:val="759A6884"/>
    <w:rsid w:val="75AF9FD1"/>
    <w:rsid w:val="75C418BE"/>
    <w:rsid w:val="75F2341B"/>
    <w:rsid w:val="75F71050"/>
    <w:rsid w:val="75F9C224"/>
    <w:rsid w:val="762DE904"/>
    <w:rsid w:val="766E1EB6"/>
    <w:rsid w:val="76956B96"/>
    <w:rsid w:val="76B90F2D"/>
    <w:rsid w:val="76BB145B"/>
    <w:rsid w:val="76D7C03E"/>
    <w:rsid w:val="76DEB736"/>
    <w:rsid w:val="76DF91BA"/>
    <w:rsid w:val="76E72691"/>
    <w:rsid w:val="76F60CC8"/>
    <w:rsid w:val="76FBD67F"/>
    <w:rsid w:val="76FD2FE0"/>
    <w:rsid w:val="76FD89AE"/>
    <w:rsid w:val="76FDF205"/>
    <w:rsid w:val="76FE4876"/>
    <w:rsid w:val="771F59FA"/>
    <w:rsid w:val="77352C19"/>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F5979E"/>
    <w:rsid w:val="77F72283"/>
    <w:rsid w:val="77F746B9"/>
    <w:rsid w:val="77FD1D15"/>
    <w:rsid w:val="77FDDBD4"/>
    <w:rsid w:val="77FED3EC"/>
    <w:rsid w:val="77FEDEA8"/>
    <w:rsid w:val="77FF283B"/>
    <w:rsid w:val="77FF98F5"/>
    <w:rsid w:val="77FFFBF8"/>
    <w:rsid w:val="78746DE5"/>
    <w:rsid w:val="78D229D3"/>
    <w:rsid w:val="78DEFDB8"/>
    <w:rsid w:val="7905501C"/>
    <w:rsid w:val="79DB0CBD"/>
    <w:rsid w:val="79F9B746"/>
    <w:rsid w:val="79FEB3B0"/>
    <w:rsid w:val="79FF3C3F"/>
    <w:rsid w:val="7A569382"/>
    <w:rsid w:val="7A7A4C8B"/>
    <w:rsid w:val="7ABC2999"/>
    <w:rsid w:val="7AC73558"/>
    <w:rsid w:val="7AC76D1A"/>
    <w:rsid w:val="7AEC3F8C"/>
    <w:rsid w:val="7AEF0112"/>
    <w:rsid w:val="7AF710AF"/>
    <w:rsid w:val="7AFDCF37"/>
    <w:rsid w:val="7AFF9914"/>
    <w:rsid w:val="7B0C08F4"/>
    <w:rsid w:val="7B270047"/>
    <w:rsid w:val="7B473217"/>
    <w:rsid w:val="7B4F894C"/>
    <w:rsid w:val="7B7F6925"/>
    <w:rsid w:val="7B8DFF42"/>
    <w:rsid w:val="7B933F3B"/>
    <w:rsid w:val="7B9FF531"/>
    <w:rsid w:val="7BA7D77C"/>
    <w:rsid w:val="7BB3A8B2"/>
    <w:rsid w:val="7BBB92A0"/>
    <w:rsid w:val="7BCBE7ED"/>
    <w:rsid w:val="7BE722D6"/>
    <w:rsid w:val="7BE7CF53"/>
    <w:rsid w:val="7BF63B49"/>
    <w:rsid w:val="7BFE65DA"/>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7C1EBA"/>
    <w:rsid w:val="7DB562B8"/>
    <w:rsid w:val="7DBE7C75"/>
    <w:rsid w:val="7DBF01FF"/>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5B1A2F"/>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EA7BDF"/>
    <w:rsid w:val="7EED5D0E"/>
    <w:rsid w:val="7EEE7FE4"/>
    <w:rsid w:val="7EEFA524"/>
    <w:rsid w:val="7EF6734E"/>
    <w:rsid w:val="7EF67D28"/>
    <w:rsid w:val="7EF7F35D"/>
    <w:rsid w:val="7EFD6A6A"/>
    <w:rsid w:val="7EFD8533"/>
    <w:rsid w:val="7EFDE5B3"/>
    <w:rsid w:val="7EFF4598"/>
    <w:rsid w:val="7EFFA8CD"/>
    <w:rsid w:val="7F1701B1"/>
    <w:rsid w:val="7F3F6B7B"/>
    <w:rsid w:val="7F490149"/>
    <w:rsid w:val="7F4BD664"/>
    <w:rsid w:val="7F4C3CDD"/>
    <w:rsid w:val="7F4D05E1"/>
    <w:rsid w:val="7F564EB8"/>
    <w:rsid w:val="7F5EBE6F"/>
    <w:rsid w:val="7F5ED501"/>
    <w:rsid w:val="7F5F5314"/>
    <w:rsid w:val="7F690514"/>
    <w:rsid w:val="7F6D3133"/>
    <w:rsid w:val="7F7462AC"/>
    <w:rsid w:val="7F777280"/>
    <w:rsid w:val="7F7B8C45"/>
    <w:rsid w:val="7F7C9B66"/>
    <w:rsid w:val="7F7DE94B"/>
    <w:rsid w:val="7F7E3905"/>
    <w:rsid w:val="7F7F675A"/>
    <w:rsid w:val="7F7FD0BE"/>
    <w:rsid w:val="7F8DC4BC"/>
    <w:rsid w:val="7F8F37FE"/>
    <w:rsid w:val="7F9BB98E"/>
    <w:rsid w:val="7F9BE662"/>
    <w:rsid w:val="7F9D6F98"/>
    <w:rsid w:val="7FA72D9A"/>
    <w:rsid w:val="7FAFA257"/>
    <w:rsid w:val="7FB721F8"/>
    <w:rsid w:val="7FB7665D"/>
    <w:rsid w:val="7FB775B0"/>
    <w:rsid w:val="7FBB0AD6"/>
    <w:rsid w:val="7FBB3CFD"/>
    <w:rsid w:val="7FBD730D"/>
    <w:rsid w:val="7FBF128D"/>
    <w:rsid w:val="7FC5D692"/>
    <w:rsid w:val="7FCFF785"/>
    <w:rsid w:val="7FD79246"/>
    <w:rsid w:val="7FD7FA52"/>
    <w:rsid w:val="7FDBAF00"/>
    <w:rsid w:val="7FDE065F"/>
    <w:rsid w:val="7FDF17DC"/>
    <w:rsid w:val="7FDF9BCB"/>
    <w:rsid w:val="7FDFF045"/>
    <w:rsid w:val="7FE14CD4"/>
    <w:rsid w:val="7FE35AF9"/>
    <w:rsid w:val="7FE3E2F9"/>
    <w:rsid w:val="7FE4A5DD"/>
    <w:rsid w:val="7FEAAAC8"/>
    <w:rsid w:val="7FEB36E9"/>
    <w:rsid w:val="7FEC221A"/>
    <w:rsid w:val="7FEFAAE4"/>
    <w:rsid w:val="7FF126FC"/>
    <w:rsid w:val="7FF283F0"/>
    <w:rsid w:val="7FF37141"/>
    <w:rsid w:val="7FF39F01"/>
    <w:rsid w:val="7FF4AE70"/>
    <w:rsid w:val="7FF54A62"/>
    <w:rsid w:val="7FF58BEF"/>
    <w:rsid w:val="7FF5B9B9"/>
    <w:rsid w:val="7FF7CDAA"/>
    <w:rsid w:val="7FF7EE23"/>
    <w:rsid w:val="7FFB0078"/>
    <w:rsid w:val="7FFB00C7"/>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90C0"/>
    <w:rsid w:val="7FFFA202"/>
    <w:rsid w:val="7FFFF12E"/>
    <w:rsid w:val="83FF39A5"/>
    <w:rsid w:val="879D957E"/>
    <w:rsid w:val="87FF773E"/>
    <w:rsid w:val="89DA2EEC"/>
    <w:rsid w:val="8B679F78"/>
    <w:rsid w:val="8C1D93AA"/>
    <w:rsid w:val="8DFF549B"/>
    <w:rsid w:val="8FB8952C"/>
    <w:rsid w:val="8FF72C0B"/>
    <w:rsid w:val="90BF3D2A"/>
    <w:rsid w:val="92626A3C"/>
    <w:rsid w:val="936FEE95"/>
    <w:rsid w:val="938FAC4F"/>
    <w:rsid w:val="93A5CC63"/>
    <w:rsid w:val="9577C65F"/>
    <w:rsid w:val="95EFC009"/>
    <w:rsid w:val="96BE2C03"/>
    <w:rsid w:val="96FF4351"/>
    <w:rsid w:val="97BBA347"/>
    <w:rsid w:val="97DBE5CF"/>
    <w:rsid w:val="97DF2083"/>
    <w:rsid w:val="999D07E6"/>
    <w:rsid w:val="99F65CA2"/>
    <w:rsid w:val="99FF491B"/>
    <w:rsid w:val="9AB7640D"/>
    <w:rsid w:val="9AF5A36E"/>
    <w:rsid w:val="9B1A828B"/>
    <w:rsid w:val="9B7B60CE"/>
    <w:rsid w:val="9BEF9F59"/>
    <w:rsid w:val="9BFF7D52"/>
    <w:rsid w:val="9CF37C49"/>
    <w:rsid w:val="9D5ECB08"/>
    <w:rsid w:val="9D7BFADC"/>
    <w:rsid w:val="9DAFC0A9"/>
    <w:rsid w:val="9DF9979C"/>
    <w:rsid w:val="9DFFBBCD"/>
    <w:rsid w:val="9E2F2238"/>
    <w:rsid w:val="9E9D9867"/>
    <w:rsid w:val="9EDE2AE3"/>
    <w:rsid w:val="9F3A62A6"/>
    <w:rsid w:val="9FBF9D7D"/>
    <w:rsid w:val="9FDD22FB"/>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6508BC"/>
    <w:rsid w:val="ADED7ACE"/>
    <w:rsid w:val="ADFBF6B4"/>
    <w:rsid w:val="ADFFC455"/>
    <w:rsid w:val="AF4AE082"/>
    <w:rsid w:val="AFB3E272"/>
    <w:rsid w:val="AFBBF37D"/>
    <w:rsid w:val="AFEFB96D"/>
    <w:rsid w:val="AFFB00C9"/>
    <w:rsid w:val="AFFBA072"/>
    <w:rsid w:val="AFFEE5C0"/>
    <w:rsid w:val="AFFF091E"/>
    <w:rsid w:val="AFFF80A8"/>
    <w:rsid w:val="B2DF1D51"/>
    <w:rsid w:val="B3744DDC"/>
    <w:rsid w:val="B3DEECB2"/>
    <w:rsid w:val="B5CF3624"/>
    <w:rsid w:val="B5D9CDCA"/>
    <w:rsid w:val="B5DF2CB3"/>
    <w:rsid w:val="B64739C0"/>
    <w:rsid w:val="B67E5837"/>
    <w:rsid w:val="B6E60054"/>
    <w:rsid w:val="B6FF9E9E"/>
    <w:rsid w:val="B76ACBB4"/>
    <w:rsid w:val="B7A0313D"/>
    <w:rsid w:val="B7DD58DF"/>
    <w:rsid w:val="B7E62659"/>
    <w:rsid w:val="B7EBFE27"/>
    <w:rsid w:val="B7EF5524"/>
    <w:rsid w:val="B7F7C05F"/>
    <w:rsid w:val="B7FB2D5B"/>
    <w:rsid w:val="B7FB92B9"/>
    <w:rsid w:val="B94BF061"/>
    <w:rsid w:val="B9FFA46B"/>
    <w:rsid w:val="BA5CBEC6"/>
    <w:rsid w:val="BABF8010"/>
    <w:rsid w:val="BABF9DBC"/>
    <w:rsid w:val="BB3EF1B1"/>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FB6119"/>
    <w:rsid w:val="BDFB69EE"/>
    <w:rsid w:val="BDFFFC66"/>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D2E4F5"/>
    <w:rsid w:val="BFDAFEF1"/>
    <w:rsid w:val="BFDBD17E"/>
    <w:rsid w:val="BFDFCF6F"/>
    <w:rsid w:val="BFEBE407"/>
    <w:rsid w:val="BFF02670"/>
    <w:rsid w:val="BFF72883"/>
    <w:rsid w:val="BFFB0211"/>
    <w:rsid w:val="BFFD5722"/>
    <w:rsid w:val="BFFD7427"/>
    <w:rsid w:val="C6BF10A5"/>
    <w:rsid w:val="C7B41E1C"/>
    <w:rsid w:val="C7DDE9FF"/>
    <w:rsid w:val="C7FFE71A"/>
    <w:rsid w:val="CBF70D76"/>
    <w:rsid w:val="CBFA74AC"/>
    <w:rsid w:val="CDDD8EDB"/>
    <w:rsid w:val="CDFFA4CA"/>
    <w:rsid w:val="CDFFADC5"/>
    <w:rsid w:val="CE938DC6"/>
    <w:rsid w:val="CF45158F"/>
    <w:rsid w:val="CF7D8BE1"/>
    <w:rsid w:val="CFB6DB2E"/>
    <w:rsid w:val="CFBD1627"/>
    <w:rsid w:val="CFD71A2E"/>
    <w:rsid w:val="CFFDC2A4"/>
    <w:rsid w:val="D13E0CBF"/>
    <w:rsid w:val="D15B0EF0"/>
    <w:rsid w:val="D1D60DD3"/>
    <w:rsid w:val="D1D9FFF6"/>
    <w:rsid w:val="D1EB2765"/>
    <w:rsid w:val="D37664D3"/>
    <w:rsid w:val="D3DF5173"/>
    <w:rsid w:val="D5DC3EEF"/>
    <w:rsid w:val="D5DD1FA6"/>
    <w:rsid w:val="D6D71CF2"/>
    <w:rsid w:val="D6FD4C14"/>
    <w:rsid w:val="D73D2BC8"/>
    <w:rsid w:val="D7AF38D7"/>
    <w:rsid w:val="D7CB06B3"/>
    <w:rsid w:val="D7EBB5AA"/>
    <w:rsid w:val="D7EEAA36"/>
    <w:rsid w:val="D7FD9DEB"/>
    <w:rsid w:val="D97EE6A1"/>
    <w:rsid w:val="DA3F70A1"/>
    <w:rsid w:val="DA7BAE24"/>
    <w:rsid w:val="DAED8DAB"/>
    <w:rsid w:val="DB1B3ED8"/>
    <w:rsid w:val="DB2F2876"/>
    <w:rsid w:val="DBEB8CCC"/>
    <w:rsid w:val="DBEDFB56"/>
    <w:rsid w:val="DBEF5601"/>
    <w:rsid w:val="DBF728EC"/>
    <w:rsid w:val="DBF782C6"/>
    <w:rsid w:val="DBF78712"/>
    <w:rsid w:val="DBFD06F0"/>
    <w:rsid w:val="DBFF3CBC"/>
    <w:rsid w:val="DC8E399A"/>
    <w:rsid w:val="DCF7FCBF"/>
    <w:rsid w:val="DCFBF91C"/>
    <w:rsid w:val="DDD61ECE"/>
    <w:rsid w:val="DDFB0923"/>
    <w:rsid w:val="DDFD42AE"/>
    <w:rsid w:val="DDFFAF02"/>
    <w:rsid w:val="DE7DE3A9"/>
    <w:rsid w:val="DE9F45B9"/>
    <w:rsid w:val="DEBBBACC"/>
    <w:rsid w:val="DEDCFAD1"/>
    <w:rsid w:val="DEDF58F7"/>
    <w:rsid w:val="DEFBA4C6"/>
    <w:rsid w:val="DF4B365C"/>
    <w:rsid w:val="DF57690D"/>
    <w:rsid w:val="DF6D3DA2"/>
    <w:rsid w:val="DF7301FE"/>
    <w:rsid w:val="DF7E6355"/>
    <w:rsid w:val="DF7EAE43"/>
    <w:rsid w:val="DF999262"/>
    <w:rsid w:val="DF9DE299"/>
    <w:rsid w:val="DFABCEF3"/>
    <w:rsid w:val="DFAE5131"/>
    <w:rsid w:val="DFBBB7BD"/>
    <w:rsid w:val="DFBDE002"/>
    <w:rsid w:val="DFBF046A"/>
    <w:rsid w:val="DFC5C4FD"/>
    <w:rsid w:val="DFC5DC5A"/>
    <w:rsid w:val="DFD3B952"/>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70F1"/>
    <w:rsid w:val="DFFF9D9D"/>
    <w:rsid w:val="E0FA2432"/>
    <w:rsid w:val="E1FD7804"/>
    <w:rsid w:val="E3D766FE"/>
    <w:rsid w:val="E47D5950"/>
    <w:rsid w:val="E5CAE4E2"/>
    <w:rsid w:val="E5CEDE9B"/>
    <w:rsid w:val="E5FD0BC1"/>
    <w:rsid w:val="E636E1FA"/>
    <w:rsid w:val="E679D313"/>
    <w:rsid w:val="E6FDD701"/>
    <w:rsid w:val="E77B6D96"/>
    <w:rsid w:val="E7B71741"/>
    <w:rsid w:val="E7BC953B"/>
    <w:rsid w:val="E7BF56E5"/>
    <w:rsid w:val="E7DF0108"/>
    <w:rsid w:val="E7EE36EB"/>
    <w:rsid w:val="E7F529F1"/>
    <w:rsid w:val="E7FA48C9"/>
    <w:rsid w:val="E7FF3BE2"/>
    <w:rsid w:val="E7FF9A5F"/>
    <w:rsid w:val="E91C676C"/>
    <w:rsid w:val="E97CCFF9"/>
    <w:rsid w:val="E9BEADD6"/>
    <w:rsid w:val="E9BFD536"/>
    <w:rsid w:val="E9FD6DC0"/>
    <w:rsid w:val="EA3E469C"/>
    <w:rsid w:val="EAFF1AF1"/>
    <w:rsid w:val="EB5E3CB2"/>
    <w:rsid w:val="EBCA4121"/>
    <w:rsid w:val="EBCE7211"/>
    <w:rsid w:val="EBDE81AE"/>
    <w:rsid w:val="EBDF0A43"/>
    <w:rsid w:val="EBEFA672"/>
    <w:rsid w:val="EBFE8B27"/>
    <w:rsid w:val="ED1389A5"/>
    <w:rsid w:val="ED3C087E"/>
    <w:rsid w:val="ED3D0747"/>
    <w:rsid w:val="ED978444"/>
    <w:rsid w:val="EDDB0315"/>
    <w:rsid w:val="EDED3930"/>
    <w:rsid w:val="EDF7289F"/>
    <w:rsid w:val="EDF97518"/>
    <w:rsid w:val="EDFB357A"/>
    <w:rsid w:val="EDFBADD6"/>
    <w:rsid w:val="EDFD7D6E"/>
    <w:rsid w:val="EE8EFDEC"/>
    <w:rsid w:val="EEAF7242"/>
    <w:rsid w:val="EEDB5E28"/>
    <w:rsid w:val="EEDF28AA"/>
    <w:rsid w:val="EEEED758"/>
    <w:rsid w:val="EEFE8DBE"/>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DEF807"/>
    <w:rsid w:val="EFDF51E2"/>
    <w:rsid w:val="EFF0AC50"/>
    <w:rsid w:val="EFF137AB"/>
    <w:rsid w:val="EFF57E73"/>
    <w:rsid w:val="EFFAAB69"/>
    <w:rsid w:val="EFFDDCE6"/>
    <w:rsid w:val="EFFE35CC"/>
    <w:rsid w:val="EFFF8FAE"/>
    <w:rsid w:val="EFFF9FB4"/>
    <w:rsid w:val="EFFFD03D"/>
    <w:rsid w:val="EFFFF399"/>
    <w:rsid w:val="F0EFA174"/>
    <w:rsid w:val="F1662D8A"/>
    <w:rsid w:val="F1AF4E16"/>
    <w:rsid w:val="F1D8F34F"/>
    <w:rsid w:val="F1FECEF6"/>
    <w:rsid w:val="F297A469"/>
    <w:rsid w:val="F37F1A6B"/>
    <w:rsid w:val="F3D63749"/>
    <w:rsid w:val="F3F5A866"/>
    <w:rsid w:val="F3FBDEB7"/>
    <w:rsid w:val="F3FC6FA9"/>
    <w:rsid w:val="F3FF5BB4"/>
    <w:rsid w:val="F3FFCF25"/>
    <w:rsid w:val="F46FAD98"/>
    <w:rsid w:val="F4F6AEF3"/>
    <w:rsid w:val="F4FE255C"/>
    <w:rsid w:val="F57D59BA"/>
    <w:rsid w:val="F59F9348"/>
    <w:rsid w:val="F5A81D61"/>
    <w:rsid w:val="F5AD9AB3"/>
    <w:rsid w:val="F5B70854"/>
    <w:rsid w:val="F5CECF11"/>
    <w:rsid w:val="F5E37445"/>
    <w:rsid w:val="F5ED776E"/>
    <w:rsid w:val="F5FBF73C"/>
    <w:rsid w:val="F66E28C5"/>
    <w:rsid w:val="F6B5EB19"/>
    <w:rsid w:val="F6BF8ABA"/>
    <w:rsid w:val="F6D87B73"/>
    <w:rsid w:val="F6EBABEE"/>
    <w:rsid w:val="F6FBA7D2"/>
    <w:rsid w:val="F6FD00E5"/>
    <w:rsid w:val="F7539ED6"/>
    <w:rsid w:val="F75586CC"/>
    <w:rsid w:val="F757BE1B"/>
    <w:rsid w:val="F77F4DE8"/>
    <w:rsid w:val="F7953A46"/>
    <w:rsid w:val="F7B7D3B2"/>
    <w:rsid w:val="F7BD1594"/>
    <w:rsid w:val="F7BFA339"/>
    <w:rsid w:val="F7C51E90"/>
    <w:rsid w:val="F7D8FE52"/>
    <w:rsid w:val="F7EF3847"/>
    <w:rsid w:val="F7EFC247"/>
    <w:rsid w:val="F7F30B1A"/>
    <w:rsid w:val="F7F627DC"/>
    <w:rsid w:val="F7F6BE77"/>
    <w:rsid w:val="F7F9E291"/>
    <w:rsid w:val="F7FA8869"/>
    <w:rsid w:val="F7FB4CD4"/>
    <w:rsid w:val="F7FD192F"/>
    <w:rsid w:val="F7FD2715"/>
    <w:rsid w:val="F7FD7969"/>
    <w:rsid w:val="F7FEF956"/>
    <w:rsid w:val="F7FF25CC"/>
    <w:rsid w:val="F8BFB7AD"/>
    <w:rsid w:val="F8E86A9F"/>
    <w:rsid w:val="F8F50656"/>
    <w:rsid w:val="F94FDB23"/>
    <w:rsid w:val="F95FF6D4"/>
    <w:rsid w:val="F96974A4"/>
    <w:rsid w:val="F96B2CFE"/>
    <w:rsid w:val="F98F06C5"/>
    <w:rsid w:val="F9B7DC72"/>
    <w:rsid w:val="F9DB51E2"/>
    <w:rsid w:val="F9DF5CED"/>
    <w:rsid w:val="F9F77F36"/>
    <w:rsid w:val="F9FB0670"/>
    <w:rsid w:val="FA5E03B6"/>
    <w:rsid w:val="FA7F1D70"/>
    <w:rsid w:val="FA955BCC"/>
    <w:rsid w:val="FABB6EFD"/>
    <w:rsid w:val="FADF54C2"/>
    <w:rsid w:val="FAF6DF8D"/>
    <w:rsid w:val="FB15E6D2"/>
    <w:rsid w:val="FB5FB189"/>
    <w:rsid w:val="FB602046"/>
    <w:rsid w:val="FB69A8B8"/>
    <w:rsid w:val="FB6D0209"/>
    <w:rsid w:val="FB6D37EE"/>
    <w:rsid w:val="FB7520F2"/>
    <w:rsid w:val="FB772C23"/>
    <w:rsid w:val="FB779FBC"/>
    <w:rsid w:val="FB79859B"/>
    <w:rsid w:val="FB7B60AC"/>
    <w:rsid w:val="FB97A6EB"/>
    <w:rsid w:val="FBAF9312"/>
    <w:rsid w:val="FBB637D6"/>
    <w:rsid w:val="FBB6851E"/>
    <w:rsid w:val="FBB850C4"/>
    <w:rsid w:val="FBBFF928"/>
    <w:rsid w:val="FBC1C639"/>
    <w:rsid w:val="FBDFADD2"/>
    <w:rsid w:val="FBDFCEC7"/>
    <w:rsid w:val="FBEDAB20"/>
    <w:rsid w:val="FBEEBF1A"/>
    <w:rsid w:val="FBEFAD1F"/>
    <w:rsid w:val="FBF7CE61"/>
    <w:rsid w:val="FBF7D02E"/>
    <w:rsid w:val="FBF88F0A"/>
    <w:rsid w:val="FBF9B9CB"/>
    <w:rsid w:val="FBFBE0E5"/>
    <w:rsid w:val="FBFBEB82"/>
    <w:rsid w:val="FBFF8324"/>
    <w:rsid w:val="FBFFBC88"/>
    <w:rsid w:val="FBFFD768"/>
    <w:rsid w:val="FBFFF823"/>
    <w:rsid w:val="FC7FB26B"/>
    <w:rsid w:val="FCBF2E03"/>
    <w:rsid w:val="FCC76187"/>
    <w:rsid w:val="FCFBC210"/>
    <w:rsid w:val="FCFF0F3B"/>
    <w:rsid w:val="FD2BA9A1"/>
    <w:rsid w:val="FD2FA0EB"/>
    <w:rsid w:val="FD3E4B9C"/>
    <w:rsid w:val="FD52EE52"/>
    <w:rsid w:val="FD6F7635"/>
    <w:rsid w:val="FD7F222D"/>
    <w:rsid w:val="FD9A135E"/>
    <w:rsid w:val="FD9F3ACB"/>
    <w:rsid w:val="FD9F88ED"/>
    <w:rsid w:val="FDA39AA1"/>
    <w:rsid w:val="FDA6D35D"/>
    <w:rsid w:val="FDAF1EE6"/>
    <w:rsid w:val="FDB5308D"/>
    <w:rsid w:val="FDB6416B"/>
    <w:rsid w:val="FDBB51CB"/>
    <w:rsid w:val="FDBF4B7B"/>
    <w:rsid w:val="FDBF4E2D"/>
    <w:rsid w:val="FDBFE6F0"/>
    <w:rsid w:val="FDCD8551"/>
    <w:rsid w:val="FDD7341B"/>
    <w:rsid w:val="FDE3B753"/>
    <w:rsid w:val="FDEF4B0E"/>
    <w:rsid w:val="FDF34DA2"/>
    <w:rsid w:val="FDF496D1"/>
    <w:rsid w:val="FDF6CCA6"/>
    <w:rsid w:val="FDF70727"/>
    <w:rsid w:val="FDFC843A"/>
    <w:rsid w:val="FDFCFB85"/>
    <w:rsid w:val="FDFE5E87"/>
    <w:rsid w:val="FDFFE5D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5E285"/>
    <w:rsid w:val="FEFBA8F9"/>
    <w:rsid w:val="FEFBDE7D"/>
    <w:rsid w:val="FEFCF6CB"/>
    <w:rsid w:val="FEFECA47"/>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8AF1"/>
    <w:rsid w:val="FF7F9FDA"/>
    <w:rsid w:val="FF9CF1FF"/>
    <w:rsid w:val="FF9DE724"/>
    <w:rsid w:val="FFA93AEE"/>
    <w:rsid w:val="FFAA9BF8"/>
    <w:rsid w:val="FFB4D7E4"/>
    <w:rsid w:val="FFBB3F78"/>
    <w:rsid w:val="FFBC7C87"/>
    <w:rsid w:val="FFBE2368"/>
    <w:rsid w:val="FFBF1793"/>
    <w:rsid w:val="FFBF8302"/>
    <w:rsid w:val="FFC7AECA"/>
    <w:rsid w:val="FFCB8E04"/>
    <w:rsid w:val="FFCBEB0E"/>
    <w:rsid w:val="FFCFEACA"/>
    <w:rsid w:val="FFD27586"/>
    <w:rsid w:val="FFD7A005"/>
    <w:rsid w:val="FFDA3A54"/>
    <w:rsid w:val="FFDC302C"/>
    <w:rsid w:val="FFDF14C5"/>
    <w:rsid w:val="FFDF2639"/>
    <w:rsid w:val="FFDF8759"/>
    <w:rsid w:val="FFE59807"/>
    <w:rsid w:val="FFE5D90C"/>
    <w:rsid w:val="FFEADEC7"/>
    <w:rsid w:val="FFEBC6FB"/>
    <w:rsid w:val="FFEE7CB6"/>
    <w:rsid w:val="FFEF1D97"/>
    <w:rsid w:val="FFEF2274"/>
    <w:rsid w:val="FFEFE9B5"/>
    <w:rsid w:val="FFF07CCE"/>
    <w:rsid w:val="FFF5A7F4"/>
    <w:rsid w:val="FFF6BC88"/>
    <w:rsid w:val="FFF71967"/>
    <w:rsid w:val="FFF762FC"/>
    <w:rsid w:val="FFF77317"/>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Indent"/>
    <w:basedOn w:val="1"/>
    <w:qFormat/>
    <w:uiPriority w:val="0"/>
    <w:pPr>
      <w:spacing w:line="300" w:lineRule="auto"/>
      <w:ind w:firstLine="560" w:firstLineChars="200"/>
    </w:pPr>
    <w:rPr>
      <w:sz w:val="28"/>
      <w:szCs w:val="28"/>
    </w:rPr>
  </w:style>
  <w:style w:type="character" w:styleId="6">
    <w:name w:val="Emphasis"/>
    <w:basedOn w:val="3"/>
    <w:qFormat/>
    <w:uiPriority w:val="0"/>
    <w:rPr>
      <w:i/>
    </w:rPr>
  </w:style>
  <w:style w:type="paragraph" w:styleId="7">
    <w:name w:val="footer"/>
    <w:basedOn w:val="1"/>
    <w:qFormat/>
    <w:uiPriority w:val="99"/>
    <w:pPr>
      <w:tabs>
        <w:tab w:val="center" w:pos="4153"/>
        <w:tab w:val="right" w:pos="8306"/>
      </w:tabs>
      <w:snapToGrid w:val="0"/>
      <w:jc w:val="left"/>
    </w:pPr>
    <w:rPr>
      <w:kern w:val="0"/>
      <w:sz w:val="18"/>
      <w:szCs w:val="18"/>
    </w:rPr>
  </w:style>
  <w:style w:type="character" w:styleId="8">
    <w:name w:val="footnote reference"/>
    <w:basedOn w:val="3"/>
    <w:qFormat/>
    <w:uiPriority w:val="0"/>
    <w:rPr>
      <w:vertAlign w:val="superscript"/>
    </w:rPr>
  </w:style>
  <w:style w:type="paragraph" w:styleId="9">
    <w:name w:val="footnote text"/>
    <w:basedOn w:val="1"/>
    <w:qFormat/>
    <w:uiPriority w:val="0"/>
    <w:pPr>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1">
    <w:name w:val="Hyperlink"/>
    <w:basedOn w:val="3"/>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3">
    <w:name w:val="Normal Indent"/>
    <w:basedOn w:val="1"/>
    <w:qFormat/>
    <w:uiPriority w:val="0"/>
    <w:pPr>
      <w:adjustRightInd w:val="0"/>
      <w:snapToGrid w:val="0"/>
      <w:spacing w:line="360" w:lineRule="atLeast"/>
      <w:ind w:firstLine="200" w:firstLineChars="200"/>
    </w:pPr>
    <w:rPr>
      <w:snapToGrid w:val="0"/>
      <w:kern w:val="0"/>
      <w:sz w:val="24"/>
    </w:rPr>
  </w:style>
  <w:style w:type="character" w:styleId="14">
    <w:name w:val="page number"/>
    <w:qFormat/>
    <w:uiPriority w:val="0"/>
  </w:style>
  <w:style w:type="paragraph" w:styleId="15">
    <w:name w:val="Plain Text"/>
    <w:basedOn w:val="1"/>
    <w:qFormat/>
    <w:uiPriority w:val="0"/>
    <w:rPr>
      <w:rFonts w:ascii="宋体" w:hAnsi="Courier New"/>
      <w:szCs w:val="20"/>
    </w:rPr>
  </w:style>
  <w:style w:type="character" w:styleId="16">
    <w:name w:val="Strong"/>
    <w:basedOn w:val="3"/>
    <w:qFormat/>
    <w:uiPriority w:val="0"/>
    <w:rPr>
      <w:b/>
      <w:bCs/>
    </w:rPr>
  </w:style>
  <w:style w:type="table" w:styleId="1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table" w:customStyle="1" w:styleId="21">
    <w:name w:val="网格表 1 浅色 - 着色 51"/>
    <w:basedOn w:val="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5">
    <w:name w:val="font31"/>
    <w:basedOn w:val="3"/>
    <w:qFormat/>
    <w:uiPriority w:val="0"/>
    <w:rPr>
      <w:rFonts w:hint="default" w:ascii="Times New Roman" w:hAnsi="Times New Roman" w:cs="Times New Roman"/>
      <w:color w:val="000000"/>
      <w:sz w:val="21"/>
      <w:szCs w:val="21"/>
      <w:u w:val="none"/>
    </w:rPr>
  </w:style>
  <w:style w:type="character" w:customStyle="1" w:styleId="26">
    <w:name w:val="font11"/>
    <w:basedOn w:val="3"/>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header" Target="header3.xml"/><Relationship Id="rId89" Type="http://schemas.openxmlformats.org/officeDocument/2006/relationships/customXml" Target="../customXml/item1.xml"/><Relationship Id="rId88" Type="http://schemas.openxmlformats.org/officeDocument/2006/relationships/image" Target="media/image45.png"/><Relationship Id="rId87" Type="http://schemas.openxmlformats.org/officeDocument/2006/relationships/image" Target="media/image44.png"/><Relationship Id="rId86" Type="http://schemas.openxmlformats.org/officeDocument/2006/relationships/image" Target="media/image43.png"/><Relationship Id="rId85" Type="http://schemas.openxmlformats.org/officeDocument/2006/relationships/image" Target="media/image42.png"/><Relationship Id="rId84" Type="http://schemas.openxmlformats.org/officeDocument/2006/relationships/image" Target="media/image41.jpe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png"/><Relationship Id="rId80" Type="http://schemas.openxmlformats.org/officeDocument/2006/relationships/image" Target="media/image37.png"/><Relationship Id="rId8" Type="http://schemas.openxmlformats.org/officeDocument/2006/relationships/footer" Target="footer3.xml"/><Relationship Id="rId79" Type="http://schemas.openxmlformats.org/officeDocument/2006/relationships/image" Target="media/image36.wmf"/><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png"/><Relationship Id="rId50" Type="http://schemas.openxmlformats.org/officeDocument/2006/relationships/image" Target="media/image7.png"/><Relationship Id="rId5" Type="http://schemas.openxmlformats.org/officeDocument/2006/relationships/header" Target="header1.xml"/><Relationship Id="rId49" Type="http://schemas.openxmlformats.org/officeDocument/2006/relationships/image" Target="media/image6.png"/><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2022-03-09T16:38:00Z</dcterms:created>
  <dc:creator>34868</dc:creator>
  <cp:lastModifiedBy>WPS_1599482153</cp:lastModifiedBy>
  <cp:lastPrinted>2022-12-08T16:57:00Z</cp:lastPrinted>
  <dcterms:modified xsi:type="dcterms:W3CDTF">2023-06-01T21:38:02Z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