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5"/>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8"/>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8"/>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8"/>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19"/>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19"/>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8"/>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8"/>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eastAsia="宋体"/>
          <w:sz w:val="24"/>
        </w:rPr>
      </w:pP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5"/>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6"/>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7"/>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line="400" w:lineRule="exact"/>
        <w:rPr>
          <w:rFonts w:hint="default"/>
          <w:sz w:val="24"/>
        </w:rPr>
      </w:pPr>
      <w:r>
        <w:rPr>
          <w:rFonts w:hint="default"/>
          <w:sz w:val="24"/>
        </w:rPr>
        <w:t>清洁算系统是支付系统的一个核心子系统，它和其他子系统交互协作，从而构成完整的支付系统。完整的支付核心系统根据分层结构从上到下分为服务接入层、支付核心和聚道三层，整体的支付清结算系统架构如下图所示：</w:t>
      </w:r>
    </w:p>
    <w:p>
      <w:pPr>
        <w:spacing w:before="480" w:after="120"/>
        <w:outlineLvl w:val="1"/>
        <w:rPr>
          <w:rFonts w:hint="eastAsia" w:ascii="黑体" w:hAnsi="宋体" w:eastAsia="黑体"/>
          <w:color w:val="000000"/>
          <w:sz w:val="28"/>
          <w:szCs w:val="28"/>
        </w:rPr>
      </w:pPr>
      <w:bookmarkStart w:id="21" w:name="_Toc27326"/>
      <w:r>
        <w:rPr>
          <w:color w:val="000000"/>
        </w:rPr>
        <w:drawing>
          <wp:inline distT="0" distB="0" distL="114300" distR="114300">
            <wp:extent cx="5307965" cy="3660140"/>
            <wp:effectExtent l="0" t="0" r="635" b="2286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48"/>
                    <a:stretch>
                      <a:fillRect/>
                    </a:stretch>
                  </pic:blipFill>
                  <pic:spPr>
                    <a:xfrm>
                      <a:off x="0" y="0"/>
                      <a:ext cx="5307965" cy="3660140"/>
                    </a:xfrm>
                    <a:prstGeom prst="rect">
                      <a:avLst/>
                    </a:prstGeom>
                    <a:noFill/>
                    <a:ln>
                      <a:noFill/>
                    </a:ln>
                  </pic:spPr>
                </pic:pic>
              </a:graphicData>
            </a:graphic>
          </wp:inline>
        </w:drawing>
      </w:r>
    </w:p>
    <w:p>
      <w:pPr>
        <w:spacing w:line="400" w:lineRule="exact"/>
        <w:ind w:firstLine="480" w:firstLineChars="200"/>
        <w:rPr>
          <w:rFonts w:hint="eastAsia" w:ascii="黑体" w:hAnsi="宋体" w:eastAsia="黑体"/>
          <w:color w:val="000000"/>
          <w:sz w:val="28"/>
          <w:szCs w:val="28"/>
        </w:rPr>
      </w:pPr>
      <w:r>
        <w:rPr>
          <w:rFonts w:hint="default" w:eastAsia="宋体"/>
          <w:sz w:val="24"/>
        </w:rPr>
        <w:t>从图可以看出，</w:t>
      </w:r>
      <w:r>
        <w:rPr>
          <w:rFonts w:hint="eastAsia" w:eastAsia="宋体"/>
          <w:sz w:val="24"/>
        </w:rPr>
        <w:t>支付</w:t>
      </w:r>
      <w:r>
        <w:rPr>
          <w:rFonts w:hint="default" w:eastAsia="宋体"/>
          <w:sz w:val="24"/>
        </w:rPr>
        <w:t>核心</w:t>
      </w:r>
      <w:r>
        <w:rPr>
          <w:rFonts w:hint="eastAsia" w:eastAsia="宋体"/>
          <w:sz w:val="24"/>
        </w:rPr>
        <w:t>包含交易中心、支付中心、清结算中心、运营平台、账务核心和商户平台等模块。</w:t>
      </w:r>
      <w:r>
        <w:rPr>
          <w:rFonts w:hint="default" w:eastAsia="宋体"/>
          <w:sz w:val="24"/>
        </w:rPr>
        <w:t>清结算中心需要和交易中心、账户中心和商户平台交互协调。</w:t>
      </w:r>
    </w:p>
    <w:p>
      <w:pPr>
        <w:spacing w:before="480" w:after="120"/>
        <w:outlineLvl w:val="1"/>
        <w:rPr>
          <w:rFonts w:hint="default" w:ascii="黑体" w:hAnsi="宋体" w:eastAsia="黑体"/>
          <w:color w:val="000000"/>
          <w:sz w:val="28"/>
          <w:szCs w:val="28"/>
        </w:rPr>
      </w:pPr>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业务需求分析</w:t>
      </w:r>
    </w:p>
    <w:p>
      <w:pPr>
        <w:spacing w:line="400" w:lineRule="exact"/>
        <w:ind w:firstLine="480" w:firstLineChars="200"/>
        <w:rPr>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是支付系统的内部子系统，不像运营平台和商户平台，使用对象分别是A企业运营人员和商家，清结算系统</w:t>
      </w:r>
      <w:r>
        <w:rPr>
          <w:rFonts w:hint="default"/>
          <w:sz w:val="24"/>
        </w:rPr>
        <w:t>除开后台开发人员，其他人员无法直接操作系统</w:t>
      </w:r>
      <w:r>
        <w:rPr>
          <w:rFonts w:hint="default"/>
          <w:sz w:val="24"/>
        </w:rPr>
        <w:t>。因此，清结算系统的使用者是和清结算系统有直接交互关系的其他支付子系统，如商户系统、账户系统和运营系统。</w:t>
      </w:r>
    </w:p>
    <w:p>
      <w:pPr>
        <w:widowControl/>
        <w:spacing w:before="240" w:after="120"/>
        <w:jc w:val="left"/>
        <w:outlineLvl w:val="2"/>
        <w:rPr>
          <w:rFonts w:hint="eastAsia" w:eastAsia="黑体" w:cs="黑体"/>
          <w:color w:val="000000"/>
          <w:kern w:val="0"/>
          <w:sz w:val="26"/>
          <w:lang w:bidi="ar"/>
        </w:rPr>
      </w:pPr>
      <w:bookmarkStart w:id="22" w:name="_Toc9443"/>
      <w:r>
        <w:rPr>
          <w:rFonts w:hint="eastAsia" w:eastAsia="黑体" w:cs="黑体"/>
          <w:color w:val="000000"/>
          <w:kern w:val="0"/>
          <w:sz w:val="26"/>
          <w:lang w:bidi="ar"/>
        </w:rPr>
        <w:t xml:space="preserve">3.2.1  </w:t>
      </w:r>
      <w:bookmarkEnd w:id="22"/>
      <w:r>
        <w:rPr>
          <w:rFonts w:hint="eastAsia" w:eastAsia="黑体" w:cs="黑体"/>
          <w:color w:val="000000"/>
          <w:kern w:val="0"/>
          <w:sz w:val="26"/>
          <w:lang w:bidi="ar"/>
        </w:rPr>
        <w:t>业务</w:t>
      </w:r>
      <w:r>
        <w:rPr>
          <w:rFonts w:hint="default" w:eastAsia="黑体" w:cs="黑体"/>
          <w:color w:val="000000"/>
          <w:kern w:val="0"/>
          <w:sz w:val="26"/>
          <w:lang w:bidi="ar"/>
        </w:rPr>
        <w:t>流程</w:t>
      </w:r>
      <w:r>
        <w:rPr>
          <w:rFonts w:hint="eastAsia" w:eastAsia="黑体" w:cs="黑体"/>
          <w:color w:val="000000"/>
          <w:kern w:val="0"/>
          <w:sz w:val="26"/>
          <w:lang w:bidi="ar"/>
        </w:rPr>
        <w:t>分析</w:t>
      </w:r>
    </w:p>
    <w:p>
      <w:pPr>
        <w:spacing w:line="400" w:lineRule="exact"/>
        <w:ind w:firstLine="480" w:firstLineChars="200"/>
        <w:rPr>
          <w:rFonts w:hint="default" w:eastAsia="宋体"/>
          <w:sz w:val="24"/>
        </w:rPr>
      </w:pPr>
      <w:r>
        <w:rPr>
          <w:rFonts w:hint="default" w:eastAsia="宋体"/>
          <w:sz w:val="24"/>
        </w:rPr>
        <w:t>清结算系统以完成商户资金结算为目的，以清分计费为核心处理环节；清洁算系统的业务</w:t>
      </w:r>
      <w:r>
        <w:rPr>
          <w:rFonts w:hint="default" w:eastAsia="宋体"/>
          <w:sz w:val="24"/>
        </w:rPr>
        <w:t>流程</w:t>
      </w:r>
      <w:r>
        <w:rPr>
          <w:rFonts w:hint="default" w:eastAsia="宋体"/>
          <w:sz w:val="24"/>
        </w:rPr>
        <w:t>分析如下：</w:t>
      </w:r>
    </w:p>
    <w:p>
      <w:pPr>
        <w:numPr>
          <w:ilvl w:val="0"/>
          <w:numId w:val="11"/>
        </w:numPr>
        <w:spacing w:line="400" w:lineRule="exact"/>
        <w:ind w:firstLine="480" w:firstLineChars="200"/>
        <w:rPr>
          <w:rFonts w:hint="default" w:eastAsia="宋体"/>
          <w:sz w:val="24"/>
        </w:rPr>
      </w:pPr>
      <w:r>
        <w:rPr>
          <w:rFonts w:hint="default" w:eastAsia="宋体"/>
          <w:sz w:val="24"/>
        </w:rPr>
        <w:t>数据获取阶段</w:t>
      </w:r>
    </w:p>
    <w:p>
      <w:pPr>
        <w:spacing w:line="400" w:lineRule="exact"/>
        <w:ind w:firstLine="420" w:firstLineChars="0"/>
        <w:rPr>
          <w:rFonts w:hint="default" w:eastAsia="宋体"/>
          <w:sz w:val="24"/>
        </w:rPr>
      </w:pPr>
      <w:r>
        <w:rPr>
          <w:rFonts w:hint="default" w:eastAsia="宋体"/>
          <w:sz w:val="24"/>
        </w:rPr>
        <w:t>清结算系统通过监听交易中心数据库的binlog日志变动情况，异步获取交易流水数据，然后进行数据校验并解析为清分对象，最后将清分对象保存在清结算本地数据库中。</w:t>
      </w:r>
    </w:p>
    <w:p>
      <w:pPr>
        <w:numPr>
          <w:ilvl w:val="0"/>
          <w:numId w:val="11"/>
        </w:numPr>
        <w:spacing w:line="400" w:lineRule="exact"/>
        <w:ind w:left="0" w:leftChars="0" w:firstLine="480" w:firstLineChars="200"/>
        <w:rPr>
          <w:rFonts w:hint="default" w:eastAsia="宋体"/>
          <w:sz w:val="24"/>
        </w:rPr>
      </w:pPr>
      <w:r>
        <w:rPr>
          <w:rFonts w:hint="default" w:eastAsia="宋体"/>
          <w:sz w:val="24"/>
        </w:rPr>
        <w:t>清分计费阶段</w:t>
      </w:r>
    </w:p>
    <w:p>
      <w:pPr>
        <w:spacing w:line="400" w:lineRule="exact"/>
        <w:ind w:firstLine="420" w:firstLineChars="0"/>
        <w:rPr>
          <w:rFonts w:hint="default" w:eastAsia="宋体"/>
          <w:sz w:val="24"/>
        </w:rPr>
      </w:pPr>
      <w:r>
        <w:rPr>
          <w:rFonts w:hint="default" w:eastAsia="宋体"/>
          <w:sz w:val="24"/>
        </w:rPr>
        <w:t>根据交易对应的商户的计费配置，计算该笔交易的手续费、税费等费用。</w:t>
      </w:r>
    </w:p>
    <w:p>
      <w:pPr>
        <w:numPr>
          <w:ilvl w:val="0"/>
          <w:numId w:val="11"/>
        </w:numPr>
        <w:spacing w:line="400" w:lineRule="exact"/>
        <w:ind w:left="0" w:leftChars="0" w:firstLine="480" w:firstLineChars="200"/>
        <w:rPr>
          <w:rFonts w:hint="default" w:eastAsia="宋体"/>
          <w:sz w:val="24"/>
        </w:rPr>
      </w:pPr>
      <w:r>
        <w:rPr>
          <w:rFonts w:hint="default" w:eastAsia="宋体"/>
          <w:sz w:val="24"/>
        </w:rPr>
        <w:t>记账阶段</w:t>
      </w:r>
    </w:p>
    <w:p>
      <w:pPr>
        <w:spacing w:line="400" w:lineRule="exact"/>
        <w:ind w:firstLine="420" w:firstLineChars="0"/>
        <w:rPr>
          <w:rFonts w:hint="default" w:eastAsia="宋体"/>
          <w:sz w:val="24"/>
        </w:rPr>
      </w:pPr>
      <w:r>
        <w:rPr>
          <w:rFonts w:hint="default" w:eastAsia="宋体"/>
          <w:sz w:val="24"/>
        </w:rPr>
        <w:t>调用账户中心，将商户的交易手续费和交易净额分别记录到对应的账户中。</w:t>
      </w:r>
    </w:p>
    <w:p>
      <w:pPr>
        <w:numPr>
          <w:ilvl w:val="0"/>
          <w:numId w:val="11"/>
        </w:numPr>
        <w:spacing w:line="400" w:lineRule="exact"/>
        <w:ind w:left="0" w:leftChars="0" w:firstLine="480" w:firstLineChars="200"/>
        <w:rPr>
          <w:rFonts w:hint="default" w:eastAsia="宋体"/>
          <w:sz w:val="24"/>
        </w:rPr>
      </w:pPr>
      <w:r>
        <w:rPr>
          <w:rFonts w:hint="default" w:eastAsia="宋体"/>
          <w:sz w:val="24"/>
        </w:rPr>
        <w:t>结算阶段</w:t>
      </w:r>
    </w:p>
    <w:p>
      <w:pPr>
        <w:spacing w:line="400" w:lineRule="exact"/>
        <w:ind w:firstLine="420" w:firstLineChars="0"/>
        <w:rPr>
          <w:rFonts w:hint="default" w:eastAsia="宋体"/>
          <w:sz w:val="24"/>
        </w:rPr>
      </w:pPr>
      <w:r>
        <w:rPr>
          <w:rFonts w:hint="default" w:eastAsia="宋体"/>
          <w:sz w:val="24"/>
        </w:rPr>
        <w:t>根据商户入网签订的结算规则，将累计的交易净额打给商户的银行卡。</w:t>
      </w:r>
    </w:p>
    <w:p>
      <w:pPr>
        <w:numPr>
          <w:ilvl w:val="0"/>
          <w:numId w:val="11"/>
        </w:numPr>
        <w:spacing w:line="400" w:lineRule="exact"/>
        <w:ind w:left="0" w:leftChars="0" w:firstLine="480" w:firstLineChars="200"/>
        <w:rPr>
          <w:rFonts w:hint="default" w:eastAsia="宋体"/>
          <w:sz w:val="24"/>
        </w:rPr>
      </w:pPr>
      <w:r>
        <w:rPr>
          <w:rFonts w:hint="default" w:eastAsia="宋体"/>
          <w:sz w:val="24"/>
        </w:rPr>
        <w:t>异常处理</w:t>
      </w:r>
    </w:p>
    <w:p>
      <w:pPr>
        <w:numPr>
          <w:numId w:val="0"/>
        </w:numPr>
        <w:spacing w:line="400" w:lineRule="exact"/>
        <w:ind w:leftChars="200"/>
        <w:rPr>
          <w:rFonts w:hint="default" w:eastAsia="宋体"/>
          <w:sz w:val="24"/>
        </w:rPr>
      </w:pPr>
      <w:r>
        <w:rPr>
          <w:rFonts w:hint="default" w:eastAsia="宋体"/>
          <w:sz w:val="24"/>
        </w:rPr>
        <w:t>在清结算处理流程中，可能由于网络不稳定、商户配置不正确等原因导致清结算主流程失败，因此需要对异常事件进行重试或人工等异常处理操作，提高系统的健壮性。</w:t>
      </w:r>
    </w:p>
    <w:p>
      <w:pPr>
        <w:numPr>
          <w:numId w:val="0"/>
        </w:numPr>
        <w:spacing w:line="400" w:lineRule="exact"/>
        <w:ind w:leftChars="200"/>
        <w:rPr>
          <w:rFonts w:hint="default" w:eastAsia="宋体"/>
          <w:sz w:val="24"/>
        </w:rPr>
      </w:pPr>
      <w:r>
        <w:rPr>
          <w:rFonts w:hint="default" w:eastAsia="宋体"/>
          <w:sz w:val="24"/>
        </w:rPr>
        <w:t>清结算系统各阶段业务时序图如图3-4所示</w:t>
      </w: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numPr>
          <w:numId w:val="0"/>
        </w:numPr>
        <w:spacing w:line="400" w:lineRule="exact"/>
        <w:ind w:leftChars="200"/>
        <w:rPr>
          <w:rFonts w:hint="default" w:eastAsia="宋体"/>
          <w:sz w:val="24"/>
        </w:rPr>
      </w:pPr>
    </w:p>
    <w:p>
      <w:pPr>
        <w:widowControl/>
        <w:spacing w:before="240" w:after="120"/>
        <w:jc w:val="both"/>
        <w:outlineLvl w:val="2"/>
        <w:rPr>
          <w:rFonts w:hint="eastAsia" w:eastAsia="黑体" w:cs="黑体"/>
          <w:color w:val="000000"/>
          <w:kern w:val="0"/>
          <w:sz w:val="26"/>
          <w:lang w:bidi="ar"/>
        </w:rPr>
      </w:pPr>
      <w:bookmarkStart w:id="23" w:name="_Toc748"/>
      <w:r>
        <w:rPr>
          <w:color w:val="000000"/>
        </w:rPr>
        <w:drawing>
          <wp:inline distT="0" distB="0" distL="114300" distR="114300">
            <wp:extent cx="5161915" cy="5890895"/>
            <wp:effectExtent l="0" t="0" r="19685" b="190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49"/>
                    <a:stretch>
                      <a:fillRect/>
                    </a:stretch>
                  </pic:blipFill>
                  <pic:spPr>
                    <a:xfrm>
                      <a:off x="0" y="0"/>
                      <a:ext cx="5161915" cy="5890895"/>
                    </a:xfrm>
                    <a:prstGeom prst="rect">
                      <a:avLst/>
                    </a:prstGeom>
                    <a:noFill/>
                    <a:ln>
                      <a:noFill/>
                    </a:ln>
                  </pic:spPr>
                </pic:pic>
              </a:graphicData>
            </a:graphic>
          </wp:inline>
        </w:drawing>
      </w:r>
    </w:p>
    <w:p>
      <w:pPr>
        <w:spacing w:line="400" w:lineRule="exact"/>
        <w:ind w:firstLine="480" w:firstLineChars="200"/>
        <w:jc w:val="center"/>
        <w:rPr>
          <w:rFonts w:hint="eastAsia" w:eastAsia="宋体"/>
          <w:sz w:val="24"/>
        </w:rPr>
      </w:pPr>
      <w:r>
        <w:rPr>
          <w:rFonts w:hint="default" w:eastAsia="宋体"/>
          <w:sz w:val="24"/>
        </w:rPr>
        <w:t>清结算系统业务序列图</w:t>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3.2.2  </w:t>
      </w:r>
      <w:bookmarkEnd w:id="23"/>
      <w:r>
        <w:rPr>
          <w:rFonts w:hint="eastAsia" w:eastAsia="黑体" w:cs="黑体"/>
          <w:color w:val="000000"/>
          <w:kern w:val="0"/>
          <w:sz w:val="26"/>
          <w:lang w:bidi="ar"/>
        </w:rPr>
        <w:t>领域核心特征需求</w:t>
      </w:r>
    </w:p>
    <w:p>
      <w:pPr>
        <w:numPr>
          <w:numId w:val="0"/>
        </w:numPr>
        <w:spacing w:line="400" w:lineRule="exact"/>
        <w:ind w:firstLine="420" w:firstLineChars="0"/>
        <w:rPr>
          <w:rFonts w:hint="default" w:eastAsia="宋体"/>
          <w:sz w:val="24"/>
        </w:rPr>
      </w:pPr>
      <w:r>
        <w:rPr>
          <w:rFonts w:hint="default" w:eastAsia="宋体"/>
          <w:sz w:val="24"/>
        </w:rPr>
        <w:t>清结</w:t>
      </w:r>
      <w:r>
        <w:rPr>
          <w:rFonts w:hint="default" w:eastAsia="宋体"/>
          <w:sz w:val="24"/>
        </w:rPr>
        <w:t>算系统需要准确多样的计算手续费，核心特性需求如下：</w:t>
      </w:r>
    </w:p>
    <w:p>
      <w:pPr>
        <w:numPr>
          <w:ilvl w:val="0"/>
          <w:numId w:val="12"/>
        </w:numPr>
        <w:spacing w:line="400" w:lineRule="exact"/>
        <w:ind w:firstLine="420" w:firstLineChars="0"/>
        <w:rPr>
          <w:rFonts w:hint="default" w:eastAsia="宋体"/>
          <w:sz w:val="24"/>
        </w:rPr>
      </w:pPr>
      <w:r>
        <w:rPr>
          <w:rFonts w:hint="default" w:eastAsia="宋体"/>
          <w:sz w:val="24"/>
        </w:rPr>
        <w:t>数据过滤：根据交易类型对交易数据进行条件过滤，只保留满足清算条件的交易数据。比如对于支付类交易，清算条件为交易成功且是外部商户。</w:t>
      </w:r>
    </w:p>
    <w:p>
      <w:pPr>
        <w:numPr>
          <w:ilvl w:val="0"/>
          <w:numId w:val="12"/>
        </w:numPr>
        <w:spacing w:line="400" w:lineRule="exact"/>
        <w:ind w:firstLine="420" w:firstLineChars="0"/>
        <w:rPr>
          <w:rFonts w:hint="default" w:eastAsia="宋体"/>
          <w:sz w:val="24"/>
        </w:rPr>
      </w:pPr>
      <w:r>
        <w:rPr>
          <w:rFonts w:hint="default" w:eastAsia="宋体"/>
          <w:sz w:val="24"/>
        </w:rPr>
        <w:t>数据校验解析：根据交易类型对交易数据进行合法性校验，并组装清分实体落库。</w:t>
      </w:r>
    </w:p>
    <w:p>
      <w:pPr>
        <w:numPr>
          <w:ilvl w:val="0"/>
          <w:numId w:val="12"/>
        </w:numPr>
        <w:spacing w:line="400" w:lineRule="exact"/>
        <w:ind w:firstLine="420" w:firstLineChars="0"/>
        <w:rPr>
          <w:rFonts w:hint="default" w:eastAsia="宋体"/>
          <w:sz w:val="24"/>
        </w:rPr>
      </w:pPr>
      <w:r>
        <w:rPr>
          <w:rFonts w:hint="default" w:eastAsia="宋体"/>
          <w:sz w:val="24"/>
        </w:rPr>
        <w:t>计费记账：根据交易类型计算手续费、净额并更新清分实体，调用账户中心，进行手续费和净额记账。</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净额清算：根据交易类型累加结算明细(净额)，生成净额汇总单。</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手续费清算：根据手续费类型累加结算明细(手续费)，生成手续费汇总单。</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汇总结算：对结算配置为周期结算的交易，定期汇总已清分记账的清算单，生成付款结算单和收费结算单并调用账务系统记账。</w:t>
      </w:r>
    </w:p>
    <w:p>
      <w:pPr>
        <w:numPr>
          <w:ilvl w:val="0"/>
          <w:numId w:val="12"/>
        </w:numPr>
        <w:spacing w:line="400" w:lineRule="exact"/>
        <w:ind w:firstLine="420" w:firstLineChars="0"/>
        <w:rPr>
          <w:rFonts w:hint="eastAsia" w:eastAsia="黑体" w:cs="黑体"/>
          <w:color w:val="000000"/>
          <w:kern w:val="0"/>
          <w:sz w:val="26"/>
          <w:lang w:bidi="ar"/>
        </w:rPr>
      </w:pPr>
      <w:r>
        <w:rPr>
          <w:rFonts w:hint="default" w:eastAsia="宋体"/>
          <w:sz w:val="24"/>
        </w:rPr>
        <w:t>异常处理：对清结算流程中发生异常的单号进行自动重试或人工处理。</w:t>
      </w:r>
    </w:p>
    <w:p>
      <w:pPr>
        <w:widowControl/>
        <w:spacing w:before="240" w:after="120"/>
        <w:jc w:val="left"/>
        <w:outlineLvl w:val="2"/>
        <w:rPr>
          <w:rFonts w:hint="eastAsia" w:eastAsia="黑体" w:cs="黑体"/>
          <w:color w:val="000000"/>
          <w:kern w:val="0"/>
          <w:sz w:val="26"/>
          <w:lang w:bidi="ar"/>
        </w:rPr>
      </w:pPr>
      <w:bookmarkStart w:id="24" w:name="_Toc9748"/>
      <w:r>
        <w:rPr>
          <w:rFonts w:hint="eastAsia" w:eastAsia="黑体" w:cs="黑体"/>
          <w:color w:val="000000"/>
          <w:kern w:val="0"/>
          <w:sz w:val="26"/>
          <w:lang w:bidi="ar"/>
        </w:rPr>
        <w:t xml:space="preserve">3.2.3  </w:t>
      </w:r>
      <w:bookmarkEnd w:id="24"/>
      <w:r>
        <w:rPr>
          <w:rFonts w:hint="eastAsia" w:eastAsia="黑体" w:cs="黑体"/>
          <w:color w:val="000000"/>
          <w:kern w:val="0"/>
          <w:sz w:val="26"/>
          <w:lang w:bidi="ar"/>
        </w:rPr>
        <w:t>业务用例分析</w:t>
      </w:r>
    </w:p>
    <w:p>
      <w:pPr>
        <w:spacing w:line="400" w:lineRule="exact"/>
        <w:ind w:firstLine="480" w:firstLineChars="200"/>
        <w:rPr>
          <w:rFonts w:hint="eastAsia" w:eastAsia="宋体"/>
          <w:sz w:val="24"/>
        </w:rPr>
      </w:pPr>
      <w:r>
        <w:rPr>
          <w:rFonts w:hint="default" w:eastAsia="宋体"/>
          <w:sz w:val="24"/>
        </w:rPr>
        <w:t>清结算系统和商户系统以及账户系统紧密相关，从系统角度</w:t>
      </w:r>
      <w:r>
        <w:rPr>
          <w:rFonts w:hint="eastAsia" w:eastAsia="宋体"/>
          <w:sz w:val="24"/>
        </w:rPr>
        <w:t>可以识别系统包含</w:t>
      </w:r>
      <w:r>
        <w:rPr>
          <w:rFonts w:hint="default" w:eastAsia="宋体"/>
          <w:sz w:val="24"/>
        </w:rPr>
        <w:t>7个</w:t>
      </w:r>
      <w:r>
        <w:rPr>
          <w:rFonts w:hint="eastAsia" w:eastAsia="宋体"/>
          <w:sz w:val="24"/>
        </w:rPr>
        <w:t>业务用例，分别</w:t>
      </w:r>
      <w:r>
        <w:rPr>
          <w:rFonts w:hint="default" w:eastAsia="宋体"/>
          <w:sz w:val="24"/>
        </w:rPr>
        <w:t>是结算配置管理、交易数据解析、清分计费、费项记账、汇总结算、净额提现和异常处理</w:t>
      </w:r>
      <w:r>
        <w:rPr>
          <w:rFonts w:hint="eastAsia" w:eastAsia="宋体"/>
          <w:sz w:val="24"/>
        </w:rPr>
        <w:t>。清结算系统的业务用例图见图3-5，各业务用例图描述见表3-1至表3-4。</w:t>
      </w:r>
    </w:p>
    <w:p>
      <w:pPr>
        <w:spacing w:line="240" w:lineRule="auto"/>
        <w:jc w:val="center"/>
        <w:rPr>
          <w:rFonts w:hint="eastAsia"/>
          <w:sz w:val="24"/>
        </w:rPr>
      </w:pPr>
      <w:r>
        <w:rPr>
          <w:rFonts w:hint="default" w:eastAsia="宋体"/>
          <w:sz w:val="24"/>
        </w:rPr>
        <w:drawing>
          <wp:inline distT="0" distB="0" distL="114300" distR="114300">
            <wp:extent cx="4121150" cy="4597400"/>
            <wp:effectExtent l="0" t="0" r="19050" b="0"/>
            <wp:docPr id="30" name="Picture 30" descr="Picsee-20230529155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icsee-20230529155307"/>
                    <pic:cNvPicPr>
                      <a:picLocks noChangeAspect="1"/>
                    </pic:cNvPicPr>
                  </pic:nvPicPr>
                  <pic:blipFill>
                    <a:blip r:embed="rId50"/>
                    <a:stretch>
                      <a:fillRect/>
                    </a:stretch>
                  </pic:blipFill>
                  <pic:spPr>
                    <a:xfrm>
                      <a:off x="0" y="0"/>
                      <a:ext cx="4121150" cy="4597400"/>
                    </a:xfrm>
                    <a:prstGeom prst="rect">
                      <a:avLst/>
                    </a:prstGeom>
                  </pic:spPr>
                </pic:pic>
              </a:graphicData>
            </a:graphic>
          </wp:inline>
        </w:drawing>
      </w:r>
    </w:p>
    <w:p>
      <w:pPr>
        <w:spacing w:line="400" w:lineRule="exact"/>
        <w:ind w:firstLine="480" w:firstLineChars="200"/>
        <w:rPr>
          <w:rFonts w:hint="eastAsia"/>
          <w:sz w:val="24"/>
        </w:rPr>
      </w:pPr>
    </w:p>
    <w:p>
      <w:pPr>
        <w:spacing w:line="400" w:lineRule="exact"/>
        <w:rPr>
          <w:rFonts w:hint="eastAsia"/>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 xml:space="preserve">表3-1 </w:t>
      </w:r>
      <w:r>
        <w:rPr>
          <w:rFonts w:hint="default" w:eastAsia="宋体"/>
          <w:color w:val="000000"/>
          <w:sz w:val="24"/>
          <w:szCs w:val="24"/>
          <w:vertAlign w:val="baseline"/>
        </w:rPr>
        <w:t>结算配置管理</w:t>
      </w:r>
      <w:r>
        <w:rPr>
          <w:rFonts w:hint="default" w:eastAsia="宋体"/>
          <w:color w:val="000000"/>
          <w:sz w:val="24"/>
          <w:szCs w:val="24"/>
          <w:vertAlign w:val="baseline"/>
        </w:rPr>
        <w:t>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UC-01</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结算配置管理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w:t>
            </w:r>
            <w:r>
              <w:rPr>
                <w:rFonts w:hint="default" w:eastAsia="宋体"/>
                <w:color w:val="000000"/>
                <w:sz w:val="24"/>
                <w:szCs w:val="24"/>
                <w:vertAlign w:val="baseline"/>
              </w:rPr>
              <w:t>商户</w:t>
            </w:r>
            <w:r>
              <w:rPr>
                <w:rFonts w:hint="default" w:eastAsia="宋体"/>
                <w:color w:val="000000"/>
                <w:sz w:val="24"/>
                <w:szCs w:val="24"/>
                <w:vertAlign w:val="baseline"/>
              </w:rPr>
              <w:t>系统，我想在商户入驻流程中，新增商户结算相关配置，包括结算类型，结算日期，分期结算，提现等规则，为清结算系统初始化相关配置。</w:t>
            </w: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在</w:t>
            </w:r>
            <w:r>
              <w:rPr>
                <w:rFonts w:hint="default" w:eastAsia="宋体"/>
                <w:color w:val="000000"/>
                <w:sz w:val="24"/>
                <w:szCs w:val="24"/>
                <w:vertAlign w:val="baseline"/>
              </w:rPr>
              <w:t>作为清结算系统，我想要系统</w:t>
            </w:r>
            <w:r>
              <w:rPr>
                <w:rFonts w:hint="default" w:eastAsia="宋体"/>
                <w:color w:val="000000"/>
                <w:sz w:val="24"/>
                <w:szCs w:val="24"/>
                <w:vertAlign w:val="baseline"/>
              </w:rPr>
              <w:t>在清分计费、结算和提现流程中根据商户平台的结算配置进行相应逻辑处理。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3"/>
              </w:numPr>
              <w:spacing w:before="156" w:beforeLines="50"/>
              <w:jc w:val="both"/>
              <w:rPr>
                <w:rFonts w:hint="eastAsia" w:eastAsia="宋体"/>
                <w:color w:val="000000"/>
                <w:sz w:val="24"/>
                <w:szCs w:val="24"/>
                <w:vertAlign w:val="baseline"/>
                <w:lang w:val="en-US" w:eastAsia="zh-Hans"/>
              </w:rPr>
            </w:pPr>
            <w:r>
              <w:rPr>
                <w:rFonts w:hint="default" w:eastAsia="宋体"/>
                <w:color w:val="000000"/>
                <w:sz w:val="24"/>
                <w:szCs w:val="24"/>
                <w:vertAlign w:val="baseline"/>
                <w:lang w:eastAsia="zh-Hans"/>
              </w:rPr>
              <w:t>商户系统在商户入驻时根据合同规定手续费费率配置、结算提现配置新增到数据库中</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商户平台根据合同日期激活配置</w:t>
            </w:r>
          </w:p>
          <w:p>
            <w:pPr>
              <w:widowControl w:val="0"/>
              <w:numPr>
                <w:ilvl w:val="0"/>
                <w:numId w:val="13"/>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lang w:eastAsia="zh-Hans"/>
              </w:rPr>
              <w:t>清结算在业务流程中查询配置，根据配置进行逻辑处理</w:t>
            </w:r>
          </w:p>
        </w:tc>
      </w:tr>
      <w:tr>
        <w:tc>
          <w:tcPr>
            <w:tcW w:w="1321" w:type="dxa"/>
            <w:tcBorders>
              <w:tl2br w:val="nil"/>
              <w:tr2bl w:val="nil"/>
            </w:tcBorders>
            <w:noWrap w:val="0"/>
            <w:vAlign w:val="top"/>
          </w:tcPr>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numId w:val="0"/>
              </w:numPr>
              <w:spacing w:before="156" w:beforeLines="50"/>
              <w:ind w:leftChars="0"/>
              <w:jc w:val="both"/>
              <w:rPr>
                <w:rFonts w:hint="default" w:eastAsia="宋体"/>
                <w:color w:val="000000"/>
                <w:sz w:val="24"/>
                <w:szCs w:val="24"/>
                <w:vertAlign w:val="baseline"/>
              </w:rPr>
            </w:pPr>
            <w:r>
              <w:rPr>
                <w:rFonts w:hint="default" w:eastAsia="宋体"/>
                <w:color w:val="000000"/>
                <w:sz w:val="24"/>
                <w:szCs w:val="24"/>
                <w:vertAlign w:val="baseline"/>
              </w:rPr>
              <w:t>若清结算获取的配置不合法，如不存在、未激活、校验失败等，记录异常信息，中断业务流程，并发起重试逻辑</w:t>
            </w:r>
          </w:p>
        </w:tc>
      </w:tr>
    </w:tbl>
    <w:p>
      <w:pPr>
        <w:widowControl w:val="0"/>
        <w:numPr>
          <w:numId w:val="0"/>
        </w:numPr>
        <w:spacing w:before="156" w:beforeLines="50"/>
        <w:jc w:val="both"/>
        <w:rPr>
          <w:rFonts w:hint="default" w:eastAsia="宋体"/>
          <w:color w:val="000000"/>
          <w:sz w:val="24"/>
          <w:szCs w:val="24"/>
          <w:vertAlign w:val="baseline"/>
        </w:rPr>
      </w:pPr>
    </w:p>
    <w:p>
      <w:pPr>
        <w:widowControl w:val="0"/>
        <w:numPr>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 xml:space="preserve">表3-1 </w:t>
      </w:r>
      <w:r>
        <w:rPr>
          <w:rFonts w:hint="default" w:eastAsia="宋体"/>
          <w:color w:val="000000"/>
          <w:sz w:val="24"/>
          <w:szCs w:val="24"/>
          <w:vertAlign w:val="baseline"/>
        </w:rPr>
        <w:t>交易数据处理</w:t>
      </w:r>
      <w:r>
        <w:rPr>
          <w:rFonts w:hint="default" w:eastAsia="宋体"/>
          <w:color w:val="000000"/>
          <w:sz w:val="24"/>
          <w:szCs w:val="24"/>
          <w:vertAlign w:val="baseline"/>
        </w:rPr>
        <w:t>业务用例规约表</w:t>
      </w:r>
    </w:p>
    <w:tbl>
      <w:tblPr>
        <w:tblStyle w:val="17"/>
        <w:tblW w:w="8361" w:type="dxa"/>
        <w:tblInd w:w="3"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CellMar>
          <w:top w:w="0" w:type="dxa"/>
          <w:left w:w="108" w:type="dxa"/>
          <w:bottom w:w="0" w:type="dxa"/>
          <w:right w:w="108" w:type="dxa"/>
        </w:tblCellMar>
      </w:tblPr>
      <w:tblGrid>
        <w:gridCol w:w="1321"/>
        <w:gridCol w:w="7040"/>
      </w:tblGrid>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用例编号</w:t>
            </w:r>
          </w:p>
        </w:tc>
        <w:tc>
          <w:tcPr>
            <w:tcW w:w="7040"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UC-0</w:t>
            </w:r>
            <w:r>
              <w:rPr>
                <w:rFonts w:hint="default" w:eastAsia="宋体"/>
                <w:color w:val="000000"/>
                <w:sz w:val="24"/>
                <w:szCs w:val="24"/>
                <w:vertAlign w:val="baseline"/>
              </w:rPr>
              <w:t>2</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用例名</w:t>
            </w:r>
          </w:p>
        </w:tc>
        <w:tc>
          <w:tcPr>
            <w:tcW w:w="7040"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交易数据处理</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用例级别</w:t>
            </w:r>
          </w:p>
        </w:tc>
        <w:tc>
          <w:tcPr>
            <w:tcW w:w="7040"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业务用例</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用例描述</w:t>
            </w:r>
          </w:p>
        </w:tc>
        <w:tc>
          <w:tcPr>
            <w:tcW w:w="7040"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作为清结算系统，我想要系统能够获取交易数据</w:t>
            </w:r>
            <w:r>
              <w:rPr>
                <w:rFonts w:hint="default" w:eastAsia="宋体"/>
                <w:color w:val="000000"/>
                <w:sz w:val="24"/>
                <w:szCs w:val="24"/>
                <w:vertAlign w:val="baseline"/>
              </w:rPr>
              <w:t>，进行数据解析和校验，保证数据的合法性</w:t>
            </w:r>
            <w:r>
              <w:rPr>
                <w:rFonts w:hint="default" w:eastAsia="宋体"/>
                <w:color w:val="000000"/>
                <w:sz w:val="24"/>
                <w:szCs w:val="24"/>
                <w:vertAlign w:val="baseline"/>
              </w:rPr>
              <w:t>，以便为清算流程做好数据准备。</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基本流程</w:t>
            </w:r>
          </w:p>
        </w:tc>
        <w:tc>
          <w:tcPr>
            <w:tcW w:w="7040" w:type="dxa"/>
            <w:tcBorders>
              <w:tl2br w:val="nil"/>
              <w:tr2bl w:val="nil"/>
            </w:tcBorders>
            <w:noWrap w:val="0"/>
            <w:vAlign w:val="top"/>
          </w:tcPr>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交易系统将交易</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w:t>
            </w:r>
            <w:r>
              <w:rPr>
                <w:rFonts w:hint="default" w:eastAsia="宋体"/>
                <w:color w:val="000000"/>
                <w:sz w:val="24"/>
                <w:szCs w:val="24"/>
                <w:vertAlign w:val="baseline"/>
                <w:lang w:eastAsia="zh-Hans"/>
              </w:rPr>
              <w:t>n</w:t>
            </w:r>
            <w:r>
              <w:rPr>
                <w:rFonts w:hint="eastAsia" w:eastAsia="宋体"/>
                <w:color w:val="000000"/>
                <w:sz w:val="24"/>
                <w:szCs w:val="24"/>
                <w:vertAlign w:val="baseline"/>
                <w:lang w:val="en-US" w:eastAsia="zh-Hans"/>
              </w:rPr>
              <w:t>l</w:t>
            </w:r>
            <w:r>
              <w:rPr>
                <w:rFonts w:hint="default" w:eastAsia="宋体"/>
                <w:color w:val="000000"/>
                <w:sz w:val="24"/>
                <w:szCs w:val="24"/>
                <w:vertAlign w:val="baseline"/>
                <w:lang w:eastAsia="zh-Hans"/>
              </w:rPr>
              <w:t xml:space="preserve">og </w:t>
            </w:r>
            <w:r>
              <w:rPr>
                <w:rFonts w:hint="eastAsia" w:eastAsia="宋体"/>
                <w:color w:val="000000"/>
                <w:sz w:val="24"/>
                <w:szCs w:val="24"/>
                <w:vertAlign w:val="baseline"/>
                <w:lang w:val="en-US" w:eastAsia="zh-Hans"/>
              </w:rPr>
              <w:t>通过</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ca</w:t>
            </w:r>
            <w:r>
              <w:rPr>
                <w:rFonts w:hint="default" w:eastAsia="宋体"/>
                <w:color w:val="000000"/>
                <w:sz w:val="24"/>
                <w:szCs w:val="24"/>
                <w:vertAlign w:val="baseline"/>
                <w:lang w:eastAsia="zh-Hans"/>
              </w:rPr>
              <w:t xml:space="preserve">nal </w:t>
            </w:r>
            <w:r>
              <w:rPr>
                <w:rFonts w:hint="eastAsia" w:eastAsia="宋体"/>
                <w:color w:val="000000"/>
                <w:sz w:val="24"/>
                <w:szCs w:val="24"/>
                <w:vertAlign w:val="baseline"/>
                <w:lang w:val="en-US" w:eastAsia="zh-Hans"/>
              </w:rPr>
              <w:t>同步到</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ro</w:t>
            </w:r>
            <w:r>
              <w:rPr>
                <w:rFonts w:hint="default" w:eastAsia="宋体"/>
                <w:color w:val="000000"/>
                <w:sz w:val="24"/>
                <w:szCs w:val="24"/>
                <w:vertAlign w:val="baseline"/>
                <w:lang w:eastAsia="zh-Hans"/>
              </w:rPr>
              <w:t xml:space="preserve">cketmq </w:t>
            </w:r>
            <w:r>
              <w:rPr>
                <w:rFonts w:hint="eastAsia" w:eastAsia="宋体"/>
                <w:color w:val="000000"/>
                <w:sz w:val="24"/>
                <w:szCs w:val="24"/>
                <w:vertAlign w:val="baseline"/>
                <w:lang w:val="en-US" w:eastAsia="zh-Hans"/>
              </w:rPr>
              <w:t>生产者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w:t>
            </w:r>
            <w:r>
              <w:rPr>
                <w:rFonts w:hint="default" w:eastAsia="宋体"/>
                <w:color w:val="000000"/>
                <w:sz w:val="24"/>
                <w:szCs w:val="24"/>
                <w:vertAlign w:val="baseline"/>
                <w:lang w:eastAsia="zh-Hans"/>
              </w:rPr>
              <w:t xml:space="preserve">roup </w:t>
            </w:r>
            <w:r>
              <w:rPr>
                <w:rFonts w:hint="eastAsia" w:eastAsia="宋体"/>
                <w:color w:val="000000"/>
                <w:sz w:val="24"/>
                <w:szCs w:val="24"/>
                <w:vertAlign w:val="baseline"/>
                <w:lang w:val="en-US" w:eastAsia="zh-Hans"/>
              </w:rPr>
              <w:t>中</w:t>
            </w:r>
          </w:p>
          <w:p>
            <w:pPr>
              <w:widowControl w:val="0"/>
              <w:numPr>
                <w:ilvl w:val="0"/>
                <w:numId w:val="14"/>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清结算消费组订阅</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group</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接受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bin</w:t>
            </w:r>
            <w:r>
              <w:rPr>
                <w:rFonts w:hint="default" w:eastAsia="宋体"/>
                <w:color w:val="000000"/>
                <w:sz w:val="24"/>
                <w:szCs w:val="24"/>
                <w:vertAlign w:val="baseline"/>
                <w:lang w:eastAsia="zh-Hans"/>
              </w:rPr>
              <w:t xml:space="preserve">log </w:t>
            </w:r>
            <w:r>
              <w:rPr>
                <w:rFonts w:hint="eastAsia" w:eastAsia="宋体"/>
                <w:color w:val="000000"/>
                <w:sz w:val="24"/>
                <w:szCs w:val="24"/>
                <w:vertAlign w:val="baseline"/>
                <w:lang w:val="en-US" w:eastAsia="zh-Hans"/>
              </w:rPr>
              <w:t>消息</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将binlog消息转换为binlog实体</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根据binlog实体中的交易表名称匹配对应的表handler</w:t>
            </w:r>
          </w:p>
          <w:p>
            <w:pPr>
              <w:widowControl w:val="0"/>
              <w:numPr>
                <w:ilvl w:val="0"/>
                <w:numId w:val="14"/>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handler判断binlog实体是否满足清分条件</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default" w:eastAsia="宋体"/>
                <w:color w:val="000000"/>
                <w:sz w:val="24"/>
                <w:szCs w:val="24"/>
                <w:vertAlign w:val="baseline"/>
              </w:rPr>
              <w:t>handler 对binlog实体进行参数校验、组装清分实体</w:t>
            </w:r>
          </w:p>
          <w:p>
            <w:pPr>
              <w:widowControl w:val="0"/>
              <w:numPr>
                <w:ilvl w:val="0"/>
                <w:numId w:val="14"/>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调用清分</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service</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启动清分计费流程</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业务规则</w:t>
            </w:r>
          </w:p>
        </w:tc>
        <w:tc>
          <w:tcPr>
            <w:tcW w:w="7040" w:type="dxa"/>
            <w:tcBorders>
              <w:tl2br w:val="nil"/>
              <w:tr2bl w:val="nil"/>
            </w:tcBorders>
            <w:noWrap w:val="0"/>
            <w:vAlign w:val="top"/>
          </w:tcPr>
          <w:p>
            <w:pPr>
              <w:widowControl w:val="0"/>
              <w:numPr>
                <w:ilvl w:val="0"/>
                <w:numId w:val="15"/>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若binlog实体没有匹配到handler，则不处理</w:t>
            </w:r>
          </w:p>
          <w:p>
            <w:pPr>
              <w:widowControl w:val="0"/>
              <w:numPr>
                <w:ilvl w:val="0"/>
                <w:numId w:val="15"/>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若binlog实体不满足清分条件，则不处理</w:t>
            </w:r>
          </w:p>
        </w:tc>
      </w:tr>
      <w:tr>
        <w:tc>
          <w:tcPr>
            <w:tcW w:w="1321" w:type="dxa"/>
            <w:tcBorders>
              <w:tl2br w:val="nil"/>
              <w:tr2bl w:val="nil"/>
            </w:tcBorders>
            <w:noWrap w:val="0"/>
            <w:vAlign w:val="top"/>
          </w:tcPr>
          <w:p>
            <w:pPr>
              <w:widowControl w:val="0"/>
              <w:numPr>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异常处理</w:t>
            </w:r>
          </w:p>
        </w:tc>
        <w:tc>
          <w:tcPr>
            <w:tcW w:w="7040" w:type="dxa"/>
            <w:tcBorders>
              <w:tl2br w:val="nil"/>
              <w:tr2bl w:val="nil"/>
            </w:tcBorders>
            <w:noWrap w:val="0"/>
            <w:vAlign w:val="top"/>
          </w:tcPr>
          <w:p>
            <w:pPr>
              <w:widowControl w:val="0"/>
              <w:numPr>
                <w:ilvl w:val="0"/>
                <w:numId w:val="16"/>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若biglog实体参数校验失败，则抛出具体异常信息</w:t>
            </w:r>
          </w:p>
          <w:p>
            <w:pPr>
              <w:widowControl w:val="0"/>
              <w:numPr>
                <w:ilvl w:val="0"/>
                <w:numId w:val="16"/>
              </w:numPr>
              <w:spacing w:before="156" w:beforeLines="50"/>
              <w:ind w:left="0" w:leftChars="0" w:firstLine="0" w:firstLineChars="0"/>
              <w:jc w:val="both"/>
              <w:rPr>
                <w:rFonts w:hint="default" w:eastAsia="宋体"/>
                <w:color w:val="000000"/>
                <w:sz w:val="24"/>
                <w:szCs w:val="24"/>
                <w:vertAlign w:val="baseline"/>
              </w:rPr>
            </w:pPr>
            <w:r>
              <w:rPr>
                <w:rFonts w:hint="default" w:eastAsia="宋体"/>
                <w:color w:val="000000"/>
                <w:sz w:val="24"/>
                <w:szCs w:val="24"/>
                <w:vertAlign w:val="baseline"/>
              </w:rPr>
              <w:t>若清分实体为null，则将binlog实体落异常表</w:t>
            </w:r>
          </w:p>
        </w:tc>
      </w:tr>
    </w:tbl>
    <w:p>
      <w:pPr>
        <w:spacing w:line="400" w:lineRule="exact"/>
        <w:rPr>
          <w:rFonts w:hint="default" w:eastAsia="宋体"/>
          <w:sz w:val="24"/>
        </w:rPr>
      </w:pPr>
    </w:p>
    <w:p>
      <w:pPr>
        <w:spacing w:line="400" w:lineRule="exact"/>
        <w:rPr>
          <w:rFonts w:hint="default" w:eastAsia="宋体"/>
          <w:sz w:val="24"/>
        </w:rPr>
      </w:pPr>
    </w:p>
    <w:p>
      <w:pPr>
        <w:spacing w:line="400" w:lineRule="exact"/>
        <w:ind w:firstLine="2150" w:firstLineChars="896"/>
        <w:rPr>
          <w:rFonts w:hint="default" w:eastAsia="宋体"/>
          <w:sz w:val="24"/>
        </w:rPr>
      </w:pPr>
      <w:r>
        <w:rPr>
          <w:rFonts w:hint="default" w:eastAsia="宋体"/>
          <w:sz w:val="24"/>
        </w:rPr>
        <w:t>表3-2清分计费业务用例规约表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UC-02</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清分计费</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作为清结算系统，我想要系统根据交易类型和计费配置，对商户计算交易手续费和交易净额</w:t>
            </w:r>
          </w:p>
        </w:tc>
      </w:tr>
      <w:tr>
        <w:tc>
          <w:tcPr>
            <w:tcW w:w="1329" w:type="dxa"/>
            <w:noWrap w:val="0"/>
            <w:vAlign w:val="top"/>
          </w:tcPr>
          <w:p>
            <w:pPr>
              <w:widowControl w:val="0"/>
              <w:numPr>
                <w:ilvl w:val="0"/>
                <w:numId w:val="0"/>
              </w:numPr>
              <w:spacing w:before="156" w:beforeLines="50"/>
              <w:jc w:val="center"/>
              <w:rPr>
                <w:rFonts w:hint="default"/>
                <w:color w:val="000000"/>
                <w:vertAlign w:val="baseline"/>
              </w:rPr>
            </w:pPr>
            <w:r>
              <w:rPr>
                <w:rFonts w:hint="default" w:eastAsia="宋体"/>
                <w:color w:val="000000"/>
                <w:sz w:val="24"/>
                <w:szCs w:val="24"/>
                <w:vertAlign w:val="baseline"/>
                <w:lang w:val="en-US" w:eastAsia="zh-Hans"/>
              </w:rPr>
              <w:t>基本流程</w:t>
            </w:r>
          </w:p>
        </w:tc>
        <w:tc>
          <w:tcPr>
            <w:tcW w:w="7032" w:type="dxa"/>
            <w:noWrap w:val="0"/>
            <w:vAlign w:val="top"/>
          </w:tcPr>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lang w:val="en-US" w:eastAsia="zh-Hans"/>
              </w:rPr>
              <w:t>根据清分实体中的tradeId和tradeType进行幂等性校验（清分表唯一索引为tradeId&amp;tradeType），将清分实体落清分表</w:t>
            </w:r>
          </w:p>
          <w:p>
            <w:pPr>
              <w:widowControl w:val="0"/>
              <w:numPr>
                <w:ilvl w:val="0"/>
                <w:numId w:val="17"/>
              </w:numPr>
              <w:spacing w:before="156" w:beforeLines="50"/>
              <w:jc w:val="both"/>
              <w:rPr>
                <w:rFonts w:hint="eastAsia" w:eastAsia="宋体"/>
                <w:color w:val="000000"/>
                <w:sz w:val="24"/>
                <w:szCs w:val="24"/>
                <w:vertAlign w:val="baseline"/>
                <w:lang w:val="en-US" w:eastAsia="zh-Hans"/>
              </w:rPr>
            </w:pPr>
            <w:r>
              <w:rPr>
                <w:rFonts w:hint="eastAsia" w:eastAsia="宋体"/>
                <w:color w:val="000000"/>
                <w:sz w:val="24"/>
                <w:szCs w:val="24"/>
                <w:vertAlign w:val="baseline"/>
                <w:lang w:val="en-US" w:eastAsia="zh-Hans"/>
              </w:rPr>
              <w:t>启动清分状态机，通过清分状态推动处理清分流程</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组装计费参数，调用计费</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计算交易手续费和净额</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校验计算结果，更新清分实体状态为清分成功</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进行交易记账</w:t>
            </w:r>
          </w:p>
          <w:p>
            <w:pPr>
              <w:widowControl w:val="0"/>
              <w:numPr>
                <w:ilvl w:val="0"/>
                <w:numId w:val="17"/>
              </w:numPr>
              <w:spacing w:before="156" w:beforeLines="50"/>
              <w:jc w:val="both"/>
              <w:rPr>
                <w:rFonts w:hint="default" w:eastAsia="宋体"/>
                <w:color w:val="000000"/>
                <w:sz w:val="24"/>
                <w:szCs w:val="24"/>
                <w:vertAlign w:val="baseline"/>
              </w:rPr>
            </w:pPr>
            <w:r>
              <w:rPr>
                <w:rFonts w:hint="eastAsia" w:eastAsia="宋体"/>
                <w:color w:val="000000"/>
                <w:sz w:val="24"/>
                <w:szCs w:val="24"/>
                <w:vertAlign w:val="baseline"/>
                <w:lang w:val="en-US" w:eastAsia="zh-Hans"/>
              </w:rPr>
              <w:t>判断结算模式，如果是实时结算，则实时结算手续费、净额；如果是周期结算，则累计各项费用，等待结算周期</w:t>
            </w:r>
            <w:r>
              <w:rPr>
                <w:rFonts w:hint="default" w:eastAsia="宋体"/>
                <w:color w:val="000000"/>
                <w:sz w:val="24"/>
                <w:szCs w:val="24"/>
                <w:vertAlign w:val="baseline"/>
                <w:lang w:eastAsia="zh-Hans"/>
              </w:rPr>
              <w:t>再</w:t>
            </w:r>
            <w:r>
              <w:rPr>
                <w:rFonts w:hint="eastAsia" w:eastAsia="宋体"/>
                <w:color w:val="000000"/>
                <w:sz w:val="24"/>
                <w:szCs w:val="24"/>
                <w:vertAlign w:val="baseline"/>
                <w:lang w:val="en-US" w:eastAsia="zh-Hans"/>
              </w:rPr>
              <w:t>汇总结算</w:t>
            </w:r>
          </w:p>
          <w:p>
            <w:pPr>
              <w:widowControl w:val="0"/>
              <w:numPr>
                <w:ilvl w:val="0"/>
                <w:numId w:val="17"/>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更新清分实体中的手续费、净额和状态数据，更新数据库</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费项累计</w:t>
            </w:r>
          </w:p>
          <w:p>
            <w:pPr>
              <w:widowControl w:val="0"/>
              <w:numPr>
                <w:ilvl w:val="0"/>
                <w:numId w:val="17"/>
              </w:numPr>
              <w:spacing w:before="156" w:beforeLines="50"/>
              <w:jc w:val="both"/>
              <w:rPr>
                <w:rFonts w:hint="default" w:eastAsia="宋体"/>
                <w:color w:val="000000"/>
                <w:sz w:val="24"/>
                <w:szCs w:val="24"/>
                <w:vertAlign w:val="baseline"/>
                <w:lang w:val="en-US" w:eastAsia="zh-Hans"/>
              </w:rPr>
            </w:pPr>
            <w:r>
              <w:rPr>
                <w:rFonts w:hint="eastAsia" w:eastAsia="宋体"/>
                <w:color w:val="000000"/>
                <w:sz w:val="24"/>
                <w:szCs w:val="24"/>
                <w:vertAlign w:val="baseline"/>
                <w:lang w:val="en-US" w:eastAsia="zh-Hans"/>
              </w:rPr>
              <w:t>调用结算</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ser</w:t>
            </w:r>
            <w:r>
              <w:rPr>
                <w:rFonts w:hint="default" w:eastAsia="宋体"/>
                <w:color w:val="000000"/>
                <w:sz w:val="24"/>
                <w:szCs w:val="24"/>
                <w:vertAlign w:val="baseline"/>
                <w:lang w:eastAsia="zh-Hans"/>
              </w:rPr>
              <w:t xml:space="preserve">vice </w:t>
            </w:r>
            <w:r>
              <w:rPr>
                <w:rFonts w:hint="eastAsia" w:eastAsia="宋体"/>
                <w:color w:val="000000"/>
                <w:sz w:val="24"/>
                <w:szCs w:val="24"/>
                <w:vertAlign w:val="baseline"/>
                <w:lang w:val="en-US" w:eastAsia="zh-Hans"/>
              </w:rPr>
              <w:t>获取结算单号</w:t>
            </w:r>
          </w:p>
          <w:p>
            <w:pPr>
              <w:widowControl w:val="0"/>
              <w:numPr>
                <w:ilvl w:val="0"/>
                <w:numId w:val="17"/>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根据</w:t>
            </w:r>
            <w:r>
              <w:rPr>
                <w:rFonts w:hint="default" w:eastAsia="宋体"/>
                <w:color w:val="000000"/>
                <w:sz w:val="24"/>
                <w:szCs w:val="24"/>
                <w:vertAlign w:val="baseline"/>
                <w:lang w:eastAsia="zh-Hans"/>
              </w:rPr>
              <w:t xml:space="preserve"> </w:t>
            </w:r>
            <w:r>
              <w:rPr>
                <w:rFonts w:hint="eastAsia" w:eastAsia="宋体"/>
                <w:color w:val="000000"/>
                <w:sz w:val="24"/>
                <w:szCs w:val="24"/>
                <w:vertAlign w:val="baseline"/>
                <w:lang w:val="en-US" w:eastAsia="zh-Hans"/>
              </w:rPr>
              <w:t>user</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Id</w:t>
            </w:r>
            <w:r>
              <w:rPr>
                <w:rFonts w:hint="eastAsia" w:eastAsia="宋体"/>
                <w:color w:val="000000"/>
                <w:sz w:val="24"/>
                <w:szCs w:val="24"/>
                <w:vertAlign w:val="baseline"/>
                <w:lang w:eastAsia="zh-Hans"/>
              </w:rPr>
              <w:t>、</w:t>
            </w:r>
            <w:r>
              <w:rPr>
                <w:rFonts w:hint="eastAsia" w:eastAsia="宋体"/>
                <w:color w:val="000000"/>
                <w:sz w:val="24"/>
                <w:szCs w:val="24"/>
                <w:vertAlign w:val="baseline"/>
                <w:lang w:val="en-US" w:eastAsia="zh-Hans"/>
              </w:rPr>
              <w:t>trade</w:t>
            </w:r>
            <w:r>
              <w:rPr>
                <w:rFonts w:hint="default" w:eastAsia="宋体"/>
                <w:color w:val="000000"/>
                <w:sz w:val="24"/>
                <w:szCs w:val="24"/>
                <w:vertAlign w:val="baseline"/>
                <w:lang w:eastAsia="zh-Hans"/>
              </w:rPr>
              <w:t>Type</w:t>
            </w:r>
            <w:r>
              <w:rPr>
                <w:rFonts w:hint="eastAsia" w:eastAsia="宋体"/>
                <w:color w:val="000000"/>
                <w:sz w:val="24"/>
                <w:szCs w:val="24"/>
                <w:vertAlign w:val="baseline"/>
                <w:lang w:val="en-US" w:eastAsia="zh-Hans"/>
              </w:rPr>
              <w:t>查询清分索引表，如果索引不存在，则创建结算实体，将清分费用累加到结算实体，更新结算表和清分索引</w:t>
            </w:r>
          </w:p>
          <w:p>
            <w:pPr>
              <w:widowControl w:val="0"/>
              <w:numPr>
                <w:ilvl w:val="0"/>
                <w:numId w:val="17"/>
              </w:numPr>
              <w:spacing w:before="156" w:beforeLines="50"/>
              <w:jc w:val="both"/>
              <w:rPr>
                <w:rFonts w:hint="default"/>
                <w:color w:val="000000"/>
                <w:vertAlign w:val="baseline"/>
                <w:lang w:val="en-US" w:eastAsia="zh-Hans"/>
              </w:rPr>
            </w:pPr>
            <w:r>
              <w:rPr>
                <w:rFonts w:hint="eastAsia" w:eastAsia="宋体"/>
                <w:color w:val="000000"/>
                <w:sz w:val="24"/>
                <w:szCs w:val="24"/>
                <w:vertAlign w:val="baseline"/>
                <w:lang w:val="en-US" w:eastAsia="zh-Hans"/>
              </w:rPr>
              <w:t>更新清分状态为净额清算成功</w:t>
            </w:r>
          </w:p>
        </w:tc>
      </w:tr>
      <w:tr>
        <w:tc>
          <w:tcPr>
            <w:tcW w:w="1329" w:type="dxa"/>
            <w:noWrap w:val="0"/>
            <w:vAlign w:val="top"/>
          </w:tcPr>
          <w:p>
            <w:pPr>
              <w:widowControl w:val="0"/>
              <w:numPr>
                <w:ilvl w:val="0"/>
                <w:numId w:val="0"/>
              </w:numPr>
              <w:spacing w:before="156" w:beforeLines="50"/>
              <w:jc w:val="both"/>
              <w:rPr>
                <w:rFonts w:hint="default"/>
                <w:color w:val="000000"/>
                <w:sz w:val="24"/>
                <w:szCs w:val="24"/>
                <w:vertAlign w:val="baseline"/>
              </w:rPr>
            </w:pPr>
            <w:r>
              <w:rPr>
                <w:rFonts w:hint="default"/>
                <w:color w:val="000000"/>
                <w:sz w:val="24"/>
                <w:szCs w:val="24"/>
                <w:vertAlign w:val="baseline"/>
              </w:rPr>
              <w:t xml:space="preserve"> 异常处理</w:t>
            </w:r>
          </w:p>
        </w:tc>
        <w:tc>
          <w:tcPr>
            <w:tcW w:w="7032" w:type="dxa"/>
            <w:noWrap w:val="0"/>
            <w:vAlign w:val="top"/>
          </w:tcPr>
          <w:p>
            <w:pPr>
              <w:widowControl w:val="0"/>
              <w:numPr>
                <w:ilvl w:val="0"/>
                <w:numId w:val="18"/>
              </w:numPr>
              <w:spacing w:before="156" w:beforeLines="50"/>
              <w:jc w:val="both"/>
              <w:rPr>
                <w:rFonts w:hint="default"/>
                <w:color w:val="000000"/>
                <w:sz w:val="24"/>
                <w:szCs w:val="24"/>
                <w:vertAlign w:val="baseline"/>
              </w:rPr>
            </w:pPr>
            <w:r>
              <w:rPr>
                <w:rFonts w:hint="default"/>
                <w:color w:val="000000"/>
                <w:sz w:val="24"/>
                <w:szCs w:val="24"/>
                <w:vertAlign w:val="baseline"/>
              </w:rPr>
              <w:t>若清算找不到计费规则，记录日志</w:t>
            </w:r>
          </w:p>
          <w:p>
            <w:pPr>
              <w:widowControl w:val="0"/>
              <w:numPr>
                <w:ilvl w:val="0"/>
                <w:numId w:val="18"/>
              </w:numPr>
              <w:spacing w:before="156" w:beforeLines="50"/>
              <w:jc w:val="both"/>
              <w:rPr>
                <w:rFonts w:hint="default"/>
                <w:color w:val="000000"/>
                <w:sz w:val="24"/>
                <w:szCs w:val="24"/>
                <w:vertAlign w:val="baseline"/>
              </w:rPr>
            </w:pPr>
            <w:r>
              <w:rPr>
                <w:rFonts w:hint="default"/>
                <w:color w:val="000000"/>
                <w:sz w:val="24"/>
                <w:szCs w:val="24"/>
                <w:vertAlign w:val="baseline"/>
              </w:rPr>
              <w:t>若清算金额异常，如净额、手续费为空或者净额加手续费不等于交易总额，记录日志</w:t>
            </w:r>
          </w:p>
          <w:p>
            <w:pPr>
              <w:widowControl w:val="0"/>
              <w:numPr>
                <w:ilvl w:val="0"/>
                <w:numId w:val="18"/>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若计费流程参数非法异常，记录日志</w:t>
            </w:r>
          </w:p>
          <w:p>
            <w:pPr>
              <w:widowControl w:val="0"/>
              <w:numPr>
                <w:ilvl w:val="0"/>
                <w:numId w:val="18"/>
              </w:numPr>
              <w:spacing w:before="156" w:beforeLines="50"/>
              <w:jc w:val="both"/>
              <w:rPr>
                <w:rFonts w:hint="default"/>
                <w:color w:val="000000"/>
                <w:sz w:val="24"/>
                <w:szCs w:val="24"/>
                <w:vertAlign w:val="baseline"/>
              </w:rPr>
            </w:pPr>
            <w:r>
              <w:rPr>
                <w:rFonts w:hint="eastAsia"/>
                <w:color w:val="000000"/>
                <w:sz w:val="24"/>
                <w:szCs w:val="24"/>
                <w:vertAlign w:val="baseline"/>
                <w:lang w:val="en-US" w:eastAsia="zh-Hans"/>
              </w:rPr>
              <w:t>若调用账户模块记账服务异常，记录日志</w:t>
            </w:r>
          </w:p>
        </w:tc>
      </w:tr>
    </w:tbl>
    <w:p>
      <w:pPr>
        <w:widowControl w:val="0"/>
        <w:numPr>
          <w:ilvl w:val="0"/>
          <w:numId w:val="0"/>
        </w:numPr>
        <w:spacing w:before="156" w:beforeLines="50"/>
        <w:jc w:val="both"/>
        <w:rPr>
          <w:rFonts w:hint="default"/>
          <w:color w:val="000000"/>
        </w:rPr>
      </w:pPr>
    </w:p>
    <w:p>
      <w:pPr>
        <w:spacing w:line="400" w:lineRule="exact"/>
        <w:ind w:firstLine="480" w:firstLineChars="200"/>
        <w:rPr>
          <w:rFonts w:hint="default" w:eastAsia="宋体"/>
          <w:sz w:val="24"/>
        </w:rPr>
      </w:pPr>
    </w:p>
    <w:p>
      <w:pPr>
        <w:spacing w:line="400" w:lineRule="exact"/>
        <w:ind w:firstLine="2568" w:firstLineChars="1070"/>
        <w:rPr>
          <w:rFonts w:hint="default" w:eastAsia="宋体"/>
          <w:sz w:val="24"/>
        </w:rPr>
      </w:pPr>
      <w:r>
        <w:rPr>
          <w:rFonts w:hint="default" w:eastAsia="宋体"/>
          <w:sz w:val="24"/>
        </w:rPr>
        <w:t>表3-3</w:t>
      </w:r>
      <w:r>
        <w:rPr>
          <w:rFonts w:hint="default" w:eastAsia="宋体"/>
          <w:sz w:val="24"/>
        </w:rPr>
        <w:t>费项</w:t>
      </w:r>
      <w:r>
        <w:rPr>
          <w:rFonts w:hint="default" w:eastAsia="宋体"/>
          <w:sz w:val="24"/>
        </w:rPr>
        <w:t>记账业务用例规约表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spacing w:line="400" w:lineRule="exact"/>
              <w:rPr>
                <w:rFonts w:hint="default" w:eastAsia="宋体"/>
                <w:sz w:val="24"/>
              </w:rPr>
            </w:pPr>
            <w:r>
              <w:rPr>
                <w:rFonts w:hint="default" w:eastAsia="宋体"/>
                <w:sz w:val="24"/>
              </w:rPr>
              <w:t>用例编号</w:t>
            </w:r>
          </w:p>
        </w:tc>
        <w:tc>
          <w:tcPr>
            <w:tcW w:w="7032" w:type="dxa"/>
            <w:noWrap w:val="0"/>
            <w:vAlign w:val="top"/>
          </w:tcPr>
          <w:p>
            <w:pPr>
              <w:spacing w:line="400" w:lineRule="exact"/>
              <w:rPr>
                <w:rFonts w:hint="default" w:eastAsia="宋体"/>
                <w:sz w:val="24"/>
              </w:rPr>
            </w:pPr>
            <w:r>
              <w:rPr>
                <w:rFonts w:hint="default" w:eastAsia="宋体"/>
                <w:sz w:val="24"/>
              </w:rPr>
              <w:t>UC-03</w:t>
            </w:r>
          </w:p>
        </w:tc>
      </w:tr>
      <w:tr>
        <w:tc>
          <w:tcPr>
            <w:tcW w:w="1329" w:type="dxa"/>
            <w:noWrap w:val="0"/>
            <w:vAlign w:val="top"/>
          </w:tcPr>
          <w:p>
            <w:pPr>
              <w:spacing w:line="400" w:lineRule="exact"/>
              <w:rPr>
                <w:rFonts w:hint="default" w:eastAsia="宋体"/>
                <w:sz w:val="24"/>
              </w:rPr>
            </w:pPr>
            <w:r>
              <w:rPr>
                <w:rFonts w:hint="default" w:eastAsia="宋体"/>
                <w:sz w:val="24"/>
              </w:rPr>
              <w:t>用例名</w:t>
            </w:r>
          </w:p>
        </w:tc>
        <w:tc>
          <w:tcPr>
            <w:tcW w:w="7032" w:type="dxa"/>
            <w:noWrap w:val="0"/>
            <w:vAlign w:val="top"/>
          </w:tcPr>
          <w:p>
            <w:pPr>
              <w:spacing w:line="400" w:lineRule="exact"/>
              <w:rPr>
                <w:rFonts w:hint="default" w:eastAsia="宋体"/>
                <w:sz w:val="24"/>
              </w:rPr>
            </w:pPr>
            <w:r>
              <w:rPr>
                <w:rFonts w:hint="default" w:eastAsia="宋体"/>
                <w:sz w:val="24"/>
              </w:rPr>
              <w:t>费项</w:t>
            </w:r>
            <w:r>
              <w:rPr>
                <w:rFonts w:hint="default" w:eastAsia="宋体"/>
                <w:sz w:val="24"/>
              </w:rPr>
              <w:t>记账</w:t>
            </w:r>
          </w:p>
        </w:tc>
      </w:tr>
      <w:tr>
        <w:tc>
          <w:tcPr>
            <w:tcW w:w="1329" w:type="dxa"/>
            <w:noWrap w:val="0"/>
            <w:vAlign w:val="top"/>
          </w:tcPr>
          <w:p>
            <w:pPr>
              <w:spacing w:line="400" w:lineRule="exact"/>
              <w:rPr>
                <w:rFonts w:hint="default" w:eastAsia="宋体"/>
                <w:sz w:val="24"/>
              </w:rPr>
            </w:pPr>
            <w:r>
              <w:rPr>
                <w:rFonts w:hint="default" w:eastAsia="宋体"/>
                <w:sz w:val="24"/>
              </w:rPr>
              <w:t>用例级别</w:t>
            </w:r>
          </w:p>
        </w:tc>
        <w:tc>
          <w:tcPr>
            <w:tcW w:w="7032" w:type="dxa"/>
            <w:noWrap w:val="0"/>
            <w:vAlign w:val="top"/>
          </w:tcPr>
          <w:p>
            <w:pPr>
              <w:spacing w:line="400" w:lineRule="exact"/>
              <w:rPr>
                <w:rFonts w:hint="default" w:eastAsia="宋体"/>
                <w:sz w:val="24"/>
              </w:rPr>
            </w:pPr>
            <w:r>
              <w:rPr>
                <w:rFonts w:hint="default" w:eastAsia="宋体"/>
                <w:sz w:val="24"/>
              </w:rPr>
              <w:t>业务用例</w:t>
            </w:r>
          </w:p>
        </w:tc>
      </w:tr>
      <w:tr>
        <w:tc>
          <w:tcPr>
            <w:tcW w:w="1329" w:type="dxa"/>
            <w:noWrap w:val="0"/>
            <w:vAlign w:val="top"/>
          </w:tcPr>
          <w:p>
            <w:pPr>
              <w:spacing w:line="400" w:lineRule="exact"/>
              <w:rPr>
                <w:rFonts w:hint="default" w:eastAsia="宋体"/>
                <w:sz w:val="24"/>
              </w:rPr>
            </w:pPr>
            <w:r>
              <w:rPr>
                <w:rFonts w:hint="default" w:eastAsia="宋体"/>
                <w:sz w:val="24"/>
              </w:rPr>
              <w:t>用例描述</w:t>
            </w:r>
          </w:p>
        </w:tc>
        <w:tc>
          <w:tcPr>
            <w:tcW w:w="7032" w:type="dxa"/>
            <w:noWrap w:val="0"/>
            <w:vAlign w:val="top"/>
          </w:tcPr>
          <w:p>
            <w:pPr>
              <w:spacing w:line="400" w:lineRule="exact"/>
              <w:rPr>
                <w:rFonts w:hint="default" w:eastAsia="宋体"/>
                <w:sz w:val="24"/>
              </w:rPr>
            </w:pPr>
            <w:r>
              <w:rPr>
                <w:rFonts w:hint="default" w:eastAsia="宋体"/>
                <w:sz w:val="24"/>
              </w:rPr>
              <w:t>作为清结算系统，我想要在计费完成后，调用账户中心完成净额和手续费</w:t>
            </w:r>
            <w:r>
              <w:rPr>
                <w:rFonts w:hint="default" w:eastAsia="宋体"/>
                <w:sz w:val="24"/>
              </w:rPr>
              <w:t>等费项的</w:t>
            </w:r>
            <w:r>
              <w:rPr>
                <w:rFonts w:hint="default" w:eastAsia="宋体"/>
                <w:sz w:val="24"/>
              </w:rPr>
              <w:t>记账，更新</w:t>
            </w:r>
            <w:r>
              <w:rPr>
                <w:rFonts w:hint="default" w:eastAsia="宋体"/>
                <w:sz w:val="24"/>
              </w:rPr>
              <w:t>商户和平台相关</w:t>
            </w:r>
            <w:r>
              <w:rPr>
                <w:rFonts w:hint="default" w:eastAsia="宋体"/>
                <w:sz w:val="24"/>
              </w:rPr>
              <w:t>账户余额</w:t>
            </w:r>
          </w:p>
        </w:tc>
      </w:tr>
      <w:tr>
        <w:tc>
          <w:tcPr>
            <w:tcW w:w="1329" w:type="dxa"/>
            <w:noWrap w:val="0"/>
            <w:vAlign w:val="top"/>
          </w:tcPr>
          <w:p>
            <w:p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19"/>
              </w:numPr>
              <w:spacing w:line="400" w:lineRule="exact"/>
              <w:rPr>
                <w:rFonts w:hint="default" w:eastAsia="宋体"/>
                <w:sz w:val="24"/>
              </w:rPr>
            </w:pPr>
            <w:r>
              <w:rPr>
                <w:rFonts w:hint="default" w:eastAsia="宋体"/>
                <w:sz w:val="24"/>
              </w:rPr>
              <w:t>净额记账</w:t>
            </w:r>
          </w:p>
          <w:p>
            <w:pPr>
              <w:numPr>
                <w:ilvl w:val="0"/>
                <w:numId w:val="19"/>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校验，只有计费成功后才能净额记账</w:t>
            </w:r>
          </w:p>
          <w:p>
            <w:pPr>
              <w:numPr>
                <w:ilvl w:val="0"/>
                <w:numId w:val="19"/>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9"/>
              </w:numPr>
              <w:spacing w:line="400" w:lineRule="exact"/>
              <w:rPr>
                <w:rFonts w:hint="default" w:eastAsia="宋体"/>
                <w:sz w:val="24"/>
              </w:rPr>
            </w:pPr>
            <w:r>
              <w:rPr>
                <w:rFonts w:hint="default" w:eastAsia="宋体"/>
                <w:sz w:val="24"/>
              </w:rPr>
              <w:t>更新清分实体的状态为净额记账成功，更新数据库</w:t>
            </w:r>
          </w:p>
          <w:p>
            <w:pPr>
              <w:numPr>
                <w:ilvl w:val="0"/>
                <w:numId w:val="19"/>
              </w:numPr>
              <w:spacing w:line="400" w:lineRule="exact"/>
              <w:rPr>
                <w:rFonts w:hint="default" w:eastAsia="宋体"/>
                <w:sz w:val="24"/>
              </w:rPr>
            </w:pPr>
            <w:r>
              <w:rPr>
                <w:rFonts w:hint="default" w:eastAsia="宋体"/>
                <w:sz w:val="24"/>
              </w:rPr>
              <w:t>手续费记账</w:t>
            </w:r>
          </w:p>
          <w:p>
            <w:pPr>
              <w:numPr>
                <w:ilvl w:val="0"/>
                <w:numId w:val="19"/>
              </w:numPr>
              <w:spacing w:line="400" w:lineRule="exact"/>
              <w:rPr>
                <w:rFonts w:hint="default" w:eastAsia="宋体"/>
                <w:sz w:val="24"/>
              </w:rPr>
            </w:pPr>
            <w:r>
              <w:rPr>
                <w:rFonts w:hint="default" w:eastAsia="宋体"/>
                <w:sz w:val="24"/>
              </w:rPr>
              <w:t>对清分实体的状态进行</w:t>
            </w:r>
            <w:r>
              <w:rPr>
                <w:rFonts w:hint="eastAsia" w:eastAsia="宋体"/>
                <w:sz w:val="24"/>
                <w:lang w:val="en-US" w:eastAsia="zh-Hans"/>
              </w:rPr>
              <w:t>前置</w:t>
            </w:r>
            <w:r>
              <w:rPr>
                <w:rFonts w:hint="default" w:eastAsia="宋体"/>
                <w:sz w:val="24"/>
              </w:rPr>
              <w:t>校验，只有净额记账成功后才能手续费记账</w:t>
            </w:r>
          </w:p>
          <w:p>
            <w:pPr>
              <w:numPr>
                <w:ilvl w:val="0"/>
                <w:numId w:val="19"/>
              </w:numPr>
              <w:spacing w:line="400" w:lineRule="exact"/>
              <w:rPr>
                <w:rFonts w:hint="default" w:eastAsia="宋体"/>
                <w:sz w:val="24"/>
              </w:rPr>
            </w:pPr>
            <w:r>
              <w:rPr>
                <w:rFonts w:hint="default" w:eastAsia="宋体"/>
                <w:sz w:val="24"/>
              </w:rPr>
              <w:t>清分实体组装记账请求对象，根据交易类型调用对应的记账接口</w:t>
            </w:r>
          </w:p>
          <w:p>
            <w:pPr>
              <w:numPr>
                <w:ilvl w:val="0"/>
                <w:numId w:val="19"/>
              </w:numPr>
              <w:spacing w:line="400" w:lineRule="exact"/>
              <w:rPr>
                <w:rFonts w:hint="default" w:eastAsia="宋体"/>
                <w:sz w:val="24"/>
              </w:rPr>
            </w:pPr>
            <w:r>
              <w:rPr>
                <w:rFonts w:hint="default" w:eastAsia="宋体"/>
                <w:sz w:val="24"/>
              </w:rPr>
              <w:t>更新清分实体的状态为手续费记账成功，更新数据库</w:t>
            </w:r>
          </w:p>
        </w:tc>
      </w:tr>
      <w:tr>
        <w:tc>
          <w:tcPr>
            <w:tcW w:w="1329" w:type="dxa"/>
            <w:noWrap w:val="0"/>
            <w:vAlign w:val="top"/>
          </w:tcPr>
          <w:p>
            <w:pPr>
              <w:spacing w:line="400" w:lineRule="exact"/>
              <w:rPr>
                <w:rFonts w:hint="default" w:eastAsia="宋体"/>
                <w:sz w:val="24"/>
              </w:rPr>
            </w:pPr>
            <w:r>
              <w:rPr>
                <w:rFonts w:hint="default" w:eastAsia="宋体"/>
                <w:sz w:val="24"/>
              </w:rPr>
              <w:t>异常处理</w:t>
            </w:r>
          </w:p>
        </w:tc>
        <w:tc>
          <w:tcPr>
            <w:tcW w:w="7032" w:type="dxa"/>
            <w:noWrap w:val="0"/>
            <w:vAlign w:val="top"/>
          </w:tcPr>
          <w:p>
            <w:pPr>
              <w:numPr>
                <w:ilvl w:val="0"/>
                <w:numId w:val="20"/>
              </w:numPr>
              <w:spacing w:line="400" w:lineRule="exact"/>
              <w:rPr>
                <w:rFonts w:hint="default" w:eastAsia="宋体"/>
                <w:sz w:val="24"/>
              </w:rPr>
            </w:pPr>
            <w:r>
              <w:rPr>
                <w:rFonts w:hint="default" w:eastAsia="宋体"/>
                <w:sz w:val="24"/>
              </w:rPr>
              <w:t>若记账前置状态错误，返回错误对象</w:t>
            </w:r>
          </w:p>
          <w:p>
            <w:pPr>
              <w:numPr>
                <w:ilvl w:val="0"/>
                <w:numId w:val="20"/>
              </w:numPr>
              <w:spacing w:line="400" w:lineRule="exact"/>
              <w:rPr>
                <w:rFonts w:hint="default" w:eastAsia="宋体"/>
                <w:sz w:val="24"/>
              </w:rPr>
            </w:pPr>
            <w:r>
              <w:rPr>
                <w:rFonts w:hint="default" w:eastAsia="宋体"/>
                <w:sz w:val="24"/>
              </w:rPr>
              <w:t>若rpc记账接口异常，抛出记账异常</w:t>
            </w:r>
          </w:p>
          <w:p>
            <w:pPr>
              <w:numPr>
                <w:ilvl w:val="0"/>
                <w:numId w:val="20"/>
              </w:numPr>
              <w:spacing w:line="400" w:lineRule="exact"/>
              <w:rPr>
                <w:rFonts w:hint="default" w:eastAsia="宋体"/>
                <w:sz w:val="24"/>
              </w:rPr>
            </w:pPr>
            <w:r>
              <w:rPr>
                <w:rFonts w:hint="default" w:eastAsia="宋体"/>
                <w:sz w:val="24"/>
              </w:rPr>
              <w:t>若数据库更新清分实体状态失败，抛出数据库异常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numPr>
          <w:numId w:val="0"/>
        </w:numPr>
        <w:spacing w:line="400" w:lineRule="exact"/>
        <w:ind w:left="1680" w:leftChars="0" w:firstLine="420" w:firstLineChars="0"/>
        <w:rPr>
          <w:rFonts w:hint="default" w:eastAsia="宋体"/>
          <w:sz w:val="24"/>
        </w:rPr>
      </w:pPr>
      <w:r>
        <w:rPr>
          <w:rFonts w:hint="default" w:eastAsia="宋体"/>
          <w:sz w:val="24"/>
        </w:rPr>
        <w:t>表3-4汇总结算业务用例规约表</w:t>
      </w:r>
    </w:p>
    <w:tbl>
      <w:tblPr>
        <w:tblStyle w:val="17"/>
        <w:tblW w:w="83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9"/>
        <w:gridCol w:w="7032"/>
      </w:tblGrid>
      <w:tr>
        <w:tc>
          <w:tcPr>
            <w:tcW w:w="1329" w:type="dxa"/>
            <w:noWrap w:val="0"/>
            <w:vAlign w:val="top"/>
          </w:tcPr>
          <w:p>
            <w:pPr>
              <w:numPr>
                <w:numId w:val="0"/>
              </w:numPr>
              <w:spacing w:line="400" w:lineRule="exact"/>
              <w:rPr>
                <w:rFonts w:hint="default" w:eastAsia="宋体"/>
                <w:sz w:val="24"/>
              </w:rPr>
            </w:pPr>
            <w:r>
              <w:rPr>
                <w:rFonts w:hint="default" w:eastAsia="宋体"/>
                <w:sz w:val="24"/>
              </w:rPr>
              <w:t>用例编号</w:t>
            </w:r>
          </w:p>
        </w:tc>
        <w:tc>
          <w:tcPr>
            <w:tcW w:w="7032" w:type="dxa"/>
            <w:noWrap w:val="0"/>
            <w:vAlign w:val="top"/>
          </w:tcPr>
          <w:p>
            <w:pPr>
              <w:numPr>
                <w:numId w:val="0"/>
              </w:numPr>
              <w:spacing w:line="400" w:lineRule="exact"/>
              <w:rPr>
                <w:rFonts w:hint="default" w:eastAsia="宋体"/>
                <w:sz w:val="24"/>
              </w:rPr>
            </w:pPr>
            <w:r>
              <w:rPr>
                <w:rFonts w:hint="default" w:eastAsia="宋体"/>
                <w:sz w:val="24"/>
              </w:rPr>
              <w:t>UC-04</w:t>
            </w:r>
          </w:p>
        </w:tc>
      </w:tr>
      <w:tr>
        <w:tc>
          <w:tcPr>
            <w:tcW w:w="1329" w:type="dxa"/>
            <w:noWrap w:val="0"/>
            <w:vAlign w:val="top"/>
          </w:tcPr>
          <w:p>
            <w:pPr>
              <w:numPr>
                <w:numId w:val="0"/>
              </w:numPr>
              <w:spacing w:line="400" w:lineRule="exact"/>
              <w:rPr>
                <w:rFonts w:hint="default" w:eastAsia="宋体"/>
                <w:sz w:val="24"/>
              </w:rPr>
            </w:pPr>
            <w:r>
              <w:rPr>
                <w:rFonts w:hint="default" w:eastAsia="宋体"/>
                <w:sz w:val="24"/>
              </w:rPr>
              <w:t>用例名</w:t>
            </w:r>
          </w:p>
        </w:tc>
        <w:tc>
          <w:tcPr>
            <w:tcW w:w="7032" w:type="dxa"/>
            <w:noWrap w:val="0"/>
            <w:vAlign w:val="top"/>
          </w:tcPr>
          <w:p>
            <w:pPr>
              <w:numPr>
                <w:numId w:val="0"/>
              </w:numPr>
              <w:spacing w:line="400" w:lineRule="exact"/>
              <w:rPr>
                <w:rFonts w:hint="default" w:eastAsia="宋体"/>
                <w:sz w:val="24"/>
              </w:rPr>
            </w:pPr>
            <w:r>
              <w:rPr>
                <w:rFonts w:hint="default" w:eastAsia="宋体"/>
                <w:sz w:val="24"/>
              </w:rPr>
              <w:t>汇总结算</w:t>
            </w:r>
          </w:p>
        </w:tc>
      </w:tr>
      <w:tr>
        <w:tc>
          <w:tcPr>
            <w:tcW w:w="1329" w:type="dxa"/>
            <w:noWrap w:val="0"/>
            <w:vAlign w:val="top"/>
          </w:tcPr>
          <w:p>
            <w:pPr>
              <w:numPr>
                <w:numId w:val="0"/>
              </w:numPr>
              <w:spacing w:line="400" w:lineRule="exact"/>
              <w:rPr>
                <w:rFonts w:hint="default" w:eastAsia="宋体"/>
                <w:sz w:val="24"/>
              </w:rPr>
            </w:pPr>
            <w:r>
              <w:rPr>
                <w:rFonts w:hint="default" w:eastAsia="宋体"/>
                <w:sz w:val="24"/>
              </w:rPr>
              <w:t>用例级别</w:t>
            </w:r>
          </w:p>
        </w:tc>
        <w:tc>
          <w:tcPr>
            <w:tcW w:w="7032" w:type="dxa"/>
            <w:noWrap w:val="0"/>
            <w:vAlign w:val="top"/>
          </w:tcPr>
          <w:p>
            <w:pPr>
              <w:numPr>
                <w:numId w:val="0"/>
              </w:numPr>
              <w:spacing w:line="400" w:lineRule="exact"/>
              <w:rPr>
                <w:rFonts w:hint="default" w:eastAsia="宋体"/>
                <w:sz w:val="24"/>
              </w:rPr>
            </w:pPr>
            <w:r>
              <w:rPr>
                <w:rFonts w:hint="default" w:eastAsia="宋体"/>
                <w:sz w:val="24"/>
              </w:rPr>
              <w:t>业务用例</w:t>
            </w:r>
          </w:p>
        </w:tc>
      </w:tr>
      <w:tr>
        <w:tc>
          <w:tcPr>
            <w:tcW w:w="1329" w:type="dxa"/>
            <w:noWrap w:val="0"/>
            <w:vAlign w:val="top"/>
          </w:tcPr>
          <w:p>
            <w:pPr>
              <w:numPr>
                <w:numId w:val="0"/>
              </w:numPr>
              <w:spacing w:line="400" w:lineRule="exact"/>
              <w:rPr>
                <w:rFonts w:hint="default" w:eastAsia="宋体"/>
                <w:sz w:val="24"/>
              </w:rPr>
            </w:pPr>
            <w:r>
              <w:rPr>
                <w:rFonts w:hint="default" w:eastAsia="宋体"/>
                <w:sz w:val="24"/>
              </w:rPr>
              <w:t>用例描述</w:t>
            </w:r>
          </w:p>
        </w:tc>
        <w:tc>
          <w:tcPr>
            <w:tcW w:w="7032" w:type="dxa"/>
            <w:noWrap w:val="0"/>
            <w:vAlign w:val="top"/>
          </w:tcPr>
          <w:p>
            <w:pPr>
              <w:numPr>
                <w:numId w:val="0"/>
              </w:numPr>
              <w:spacing w:line="400" w:lineRule="exact"/>
              <w:rPr>
                <w:rFonts w:hint="default" w:eastAsia="宋体"/>
                <w:sz w:val="24"/>
              </w:rPr>
            </w:pPr>
            <w:r>
              <w:rPr>
                <w:rFonts w:hint="default" w:eastAsia="宋体"/>
                <w:sz w:val="24"/>
              </w:rPr>
              <w:t>作为清结算系统，我想要</w:t>
            </w:r>
            <w:r>
              <w:rPr>
                <w:rFonts w:hint="default" w:eastAsia="宋体"/>
                <w:sz w:val="24"/>
              </w:rPr>
              <w:t>定期</w:t>
            </w:r>
            <w:r>
              <w:rPr>
                <w:rFonts w:hint="default" w:eastAsia="宋体"/>
                <w:sz w:val="24"/>
              </w:rPr>
              <w:t>汇总清分单，生成结算单并记账</w:t>
            </w:r>
          </w:p>
        </w:tc>
      </w:tr>
      <w:tr>
        <w:tc>
          <w:tcPr>
            <w:tcW w:w="1329" w:type="dxa"/>
            <w:noWrap w:val="0"/>
            <w:vAlign w:val="top"/>
          </w:tcPr>
          <w:p>
            <w:pPr>
              <w:numPr>
                <w:numId w:val="0"/>
              </w:numPr>
              <w:spacing w:line="400" w:lineRule="exact"/>
              <w:rPr>
                <w:rFonts w:hint="default" w:eastAsia="宋体"/>
                <w:sz w:val="24"/>
              </w:rPr>
            </w:pPr>
            <w:r>
              <w:rPr>
                <w:rFonts w:hint="default" w:eastAsia="宋体"/>
                <w:sz w:val="24"/>
              </w:rPr>
              <w:t>基本流程</w:t>
            </w:r>
          </w:p>
        </w:tc>
        <w:tc>
          <w:tcPr>
            <w:tcW w:w="7032" w:type="dxa"/>
            <w:noWrap w:val="0"/>
            <w:vAlign w:val="top"/>
          </w:tcPr>
          <w:p>
            <w:pPr>
              <w:numPr>
                <w:ilvl w:val="0"/>
                <w:numId w:val="21"/>
              </w:numPr>
              <w:spacing w:line="400" w:lineRule="exact"/>
              <w:rPr>
                <w:rFonts w:hint="default" w:eastAsia="宋体"/>
                <w:sz w:val="24"/>
                <w:lang w:val="en-US" w:eastAsia="zh-Hans"/>
              </w:rPr>
            </w:pPr>
            <w:r>
              <w:rPr>
                <w:rFonts w:hint="default" w:eastAsia="宋体"/>
                <w:sz w:val="24"/>
              </w:rPr>
              <w:t>定期</w:t>
            </w:r>
            <w:r>
              <w:rPr>
                <w:rFonts w:hint="eastAsia" w:eastAsia="宋体"/>
                <w:sz w:val="24"/>
                <w:lang w:val="en-US" w:eastAsia="zh-Hans"/>
              </w:rPr>
              <w:t>绑定</w:t>
            </w:r>
            <w:r>
              <w:rPr>
                <w:rFonts w:hint="default" w:eastAsia="宋体"/>
                <w:sz w:val="24"/>
              </w:rPr>
              <w:t>已清分记账的清算单</w:t>
            </w:r>
            <w:r>
              <w:rPr>
                <w:rFonts w:hint="default" w:eastAsia="宋体"/>
                <w:sz w:val="24"/>
              </w:rPr>
              <w:t>到结算单</w:t>
            </w:r>
          </w:p>
          <w:p>
            <w:pPr>
              <w:numPr>
                <w:ilvl w:val="0"/>
                <w:numId w:val="21"/>
              </w:numPr>
              <w:spacing w:line="400" w:lineRule="exact"/>
              <w:rPr>
                <w:rFonts w:hint="default" w:eastAsia="宋体"/>
                <w:sz w:val="24"/>
                <w:lang w:val="en-US" w:eastAsia="zh-Hans"/>
              </w:rPr>
            </w:pPr>
            <w:r>
              <w:rPr>
                <w:rFonts w:hint="default" w:eastAsia="宋体"/>
                <w:sz w:val="24"/>
                <w:lang w:eastAsia="zh-Hans"/>
              </w:rPr>
              <w:t>XXL-JOB</w:t>
            </w:r>
            <w:r>
              <w:rPr>
                <w:rFonts w:hint="eastAsia" w:eastAsia="宋体"/>
                <w:sz w:val="24"/>
                <w:lang w:val="en-US" w:eastAsia="zh-Hans"/>
              </w:rPr>
              <w:t>每小时检查是否为用户创建结算单，如果创建结算单，则更新数据库结算表</w:t>
            </w:r>
          </w:p>
          <w:p>
            <w:pPr>
              <w:numPr>
                <w:ilvl w:val="0"/>
                <w:numId w:val="21"/>
              </w:numPr>
              <w:spacing w:line="400" w:lineRule="exact"/>
              <w:rPr>
                <w:rFonts w:hint="default" w:eastAsia="宋体"/>
                <w:sz w:val="24"/>
                <w:lang w:val="en-US" w:eastAsia="zh-Hans"/>
              </w:rPr>
            </w:pPr>
            <w:r>
              <w:rPr>
                <w:rFonts w:hint="default" w:eastAsia="宋体"/>
                <w:sz w:val="24"/>
                <w:lang w:eastAsia="zh-Hans"/>
              </w:rPr>
              <w:t>XXL-JOB</w:t>
            </w:r>
            <w:r>
              <w:rPr>
                <w:rFonts w:hint="default" w:eastAsia="宋体"/>
                <w:sz w:val="24"/>
                <w:lang w:eastAsia="zh-Hans"/>
              </w:rPr>
              <w:t xml:space="preserve"> </w:t>
            </w:r>
            <w:r>
              <w:rPr>
                <w:rFonts w:hint="eastAsia" w:eastAsia="宋体"/>
                <w:sz w:val="24"/>
                <w:lang w:val="en-US" w:eastAsia="zh-Hans"/>
              </w:rPr>
              <w:t>每小时将用户所有清算单到关联到用户的结算单</w:t>
            </w:r>
          </w:p>
          <w:p>
            <w:pPr>
              <w:numPr>
                <w:ilvl w:val="0"/>
                <w:numId w:val="21"/>
              </w:numPr>
              <w:spacing w:line="400" w:lineRule="exact"/>
              <w:rPr>
                <w:rFonts w:hint="default" w:eastAsia="宋体"/>
                <w:sz w:val="24"/>
              </w:rPr>
            </w:pPr>
            <w:r>
              <w:rPr>
                <w:rFonts w:hint="eastAsia" w:eastAsia="宋体"/>
                <w:sz w:val="24"/>
                <w:lang w:val="en-US" w:eastAsia="zh-Hans"/>
              </w:rPr>
              <w:t>更新结算实体状态为累计中，更新该批次清算单的结算单号字段</w:t>
            </w:r>
          </w:p>
          <w:p>
            <w:pPr>
              <w:numPr>
                <w:ilvl w:val="0"/>
                <w:numId w:val="21"/>
              </w:numPr>
              <w:spacing w:line="400" w:lineRule="exact"/>
              <w:rPr>
                <w:rFonts w:hint="default" w:eastAsia="宋体"/>
                <w:sz w:val="24"/>
                <w:lang w:eastAsia="zh-Hans"/>
              </w:rPr>
            </w:pPr>
            <w:r>
              <w:rPr>
                <w:rFonts w:hint="default" w:eastAsia="宋体"/>
                <w:sz w:val="24"/>
              </w:rPr>
              <w:t>生成付款结算单和收费结算单</w:t>
            </w:r>
          </w:p>
          <w:p>
            <w:pPr>
              <w:numPr>
                <w:ilvl w:val="0"/>
                <w:numId w:val="21"/>
              </w:numPr>
              <w:spacing w:line="400" w:lineRule="exact"/>
              <w:rPr>
                <w:rFonts w:hint="default" w:eastAsia="宋体"/>
                <w:sz w:val="24"/>
                <w:lang w:eastAsia="zh-Hans"/>
              </w:rPr>
            </w:pPr>
            <w:r>
              <w:rPr>
                <w:rFonts w:hint="eastAsia" w:eastAsia="宋体"/>
                <w:sz w:val="24"/>
                <w:lang w:val="en-US" w:eastAsia="zh-Hans"/>
              </w:rPr>
              <w:t>每小时检查用户结算单，进入结算流程（in</w:t>
            </w:r>
            <w:r>
              <w:rPr>
                <w:rFonts w:hint="default" w:eastAsia="宋体"/>
                <w:sz w:val="24"/>
                <w:lang w:eastAsia="zh-Hans"/>
              </w:rPr>
              <w:t>it-&gt;</w:t>
            </w:r>
            <w:r>
              <w:rPr>
                <w:rFonts w:hint="eastAsia" w:eastAsia="宋体"/>
                <w:sz w:val="24"/>
                <w:lang w:val="en-US" w:eastAsia="zh-Hans"/>
              </w:rPr>
              <w:t>累计</w:t>
            </w:r>
            <w:r>
              <w:rPr>
                <w:rFonts w:hint="default" w:eastAsia="宋体"/>
                <w:sz w:val="24"/>
                <w:lang w:eastAsia="zh-Hans"/>
              </w:rPr>
              <w:t>-&gt;</w:t>
            </w:r>
            <w:r>
              <w:rPr>
                <w:rFonts w:hint="eastAsia" w:eastAsia="宋体"/>
                <w:sz w:val="24"/>
                <w:lang w:val="en-US" w:eastAsia="zh-Hans"/>
              </w:rPr>
              <w:t>风控</w:t>
            </w:r>
            <w:r>
              <w:rPr>
                <w:rFonts w:hint="default" w:eastAsia="宋体"/>
                <w:sz w:val="24"/>
                <w:lang w:eastAsia="zh-Hans"/>
              </w:rPr>
              <w:t>-&gt;</w:t>
            </w:r>
            <w:r>
              <w:rPr>
                <w:rFonts w:hint="eastAsia" w:eastAsia="宋体"/>
                <w:sz w:val="24"/>
                <w:lang w:val="en-US" w:eastAsia="zh-Hans"/>
              </w:rPr>
              <w:t>清算</w:t>
            </w:r>
            <w:r>
              <w:rPr>
                <w:rFonts w:hint="default" w:eastAsia="宋体"/>
                <w:sz w:val="24"/>
                <w:lang w:eastAsia="zh-Hans"/>
              </w:rPr>
              <w:t>-&gt;</w:t>
            </w:r>
            <w:r>
              <w:rPr>
                <w:rFonts w:hint="eastAsia" w:eastAsia="宋体"/>
                <w:sz w:val="24"/>
                <w:lang w:val="en-US" w:eastAsia="zh-Hans"/>
              </w:rPr>
              <w:t>手续费结算</w:t>
            </w:r>
            <w:r>
              <w:rPr>
                <w:rFonts w:hint="default" w:eastAsia="宋体"/>
                <w:sz w:val="24"/>
                <w:lang w:eastAsia="zh-Hans"/>
              </w:rPr>
              <w:t>-&gt;</w:t>
            </w:r>
            <w:r>
              <w:rPr>
                <w:rFonts w:hint="eastAsia" w:eastAsia="宋体"/>
                <w:sz w:val="24"/>
                <w:lang w:val="en-US" w:eastAsia="zh-Hans"/>
              </w:rPr>
              <w:t>税费结算</w:t>
            </w:r>
            <w:r>
              <w:rPr>
                <w:rFonts w:hint="default" w:eastAsia="宋体"/>
                <w:sz w:val="24"/>
                <w:lang w:eastAsia="zh-Hans"/>
              </w:rPr>
              <w:t>-&gt;</w:t>
            </w:r>
            <w:r>
              <w:rPr>
                <w:rFonts w:hint="eastAsia" w:eastAsia="宋体"/>
                <w:sz w:val="24"/>
                <w:lang w:val="en-US" w:eastAsia="zh-Hans"/>
              </w:rPr>
              <w:t>净额结算</w:t>
            </w:r>
            <w:r>
              <w:rPr>
                <w:rFonts w:hint="default" w:eastAsia="宋体"/>
                <w:sz w:val="24"/>
                <w:lang w:eastAsia="zh-Hans"/>
              </w:rPr>
              <w:t>-&gt;</w:t>
            </w:r>
            <w:r>
              <w:rPr>
                <w:rFonts w:hint="eastAsia" w:eastAsia="宋体"/>
                <w:sz w:val="24"/>
                <w:lang w:val="en-US" w:eastAsia="zh-Hans"/>
              </w:rPr>
              <w:t>结算完成</w:t>
            </w:r>
            <w:r>
              <w:rPr>
                <w:rFonts w:hint="default" w:eastAsia="宋体"/>
                <w:sz w:val="24"/>
                <w:lang w:eastAsia="zh-Hans"/>
              </w:rPr>
              <w:t>)</w:t>
            </w:r>
          </w:p>
          <w:p>
            <w:pPr>
              <w:numPr>
                <w:ilvl w:val="0"/>
                <w:numId w:val="21"/>
              </w:numPr>
              <w:spacing w:line="400" w:lineRule="exact"/>
              <w:rPr>
                <w:rFonts w:hint="default" w:eastAsia="宋体"/>
                <w:sz w:val="24"/>
              </w:rPr>
            </w:pPr>
            <w:r>
              <w:rPr>
                <w:rFonts w:hint="eastAsia" w:eastAsia="宋体"/>
                <w:sz w:val="24"/>
                <w:lang w:val="en-US" w:eastAsia="zh-Hans"/>
              </w:rPr>
              <w:t>采用职责链设计模式将各结算流程绑定到一起，依次进行各阶段处理</w:t>
            </w:r>
          </w:p>
          <w:p>
            <w:pPr>
              <w:numPr>
                <w:ilvl w:val="0"/>
                <w:numId w:val="21"/>
              </w:numPr>
              <w:spacing w:line="400" w:lineRule="exact"/>
              <w:rPr>
                <w:rFonts w:hint="default" w:eastAsia="宋体"/>
                <w:sz w:val="24"/>
              </w:rPr>
            </w:pPr>
            <w:r>
              <w:rPr>
                <w:rFonts w:hint="default" w:eastAsia="宋体"/>
                <w:sz w:val="24"/>
              </w:rPr>
              <w:t>调用账务系统记账</w:t>
            </w:r>
          </w:p>
        </w:tc>
      </w:tr>
      <w:tr>
        <w:tc>
          <w:tcPr>
            <w:tcW w:w="1329" w:type="dxa"/>
            <w:noWrap w:val="0"/>
            <w:vAlign w:val="top"/>
          </w:tcPr>
          <w:p>
            <w:pPr>
              <w:numPr>
                <w:numId w:val="0"/>
              </w:numPr>
              <w:spacing w:line="400" w:lineRule="exact"/>
              <w:rPr>
                <w:rFonts w:hint="default" w:eastAsia="宋体"/>
                <w:sz w:val="24"/>
              </w:rPr>
            </w:pPr>
            <w:bookmarkStart w:id="93" w:name="_GoBack"/>
            <w:bookmarkEnd w:id="93"/>
            <w:r>
              <w:rPr>
                <w:rFonts w:hint="default" w:eastAsia="宋体"/>
                <w:sz w:val="24"/>
              </w:rPr>
              <w:t>异常处理</w:t>
            </w:r>
          </w:p>
        </w:tc>
        <w:tc>
          <w:tcPr>
            <w:tcW w:w="7032" w:type="dxa"/>
            <w:noWrap w:val="0"/>
            <w:vAlign w:val="top"/>
          </w:tcPr>
          <w:p>
            <w:pPr>
              <w:numPr>
                <w:ilvl w:val="0"/>
                <w:numId w:val="22"/>
              </w:numPr>
              <w:spacing w:line="400" w:lineRule="exact"/>
              <w:rPr>
                <w:rFonts w:hint="default" w:eastAsia="宋体"/>
                <w:sz w:val="24"/>
              </w:rPr>
            </w:pPr>
            <w:r>
              <w:rPr>
                <w:rFonts w:hint="default" w:eastAsia="宋体"/>
                <w:sz w:val="24"/>
              </w:rPr>
              <w:t>结算周期内无清算单，结束流程</w:t>
            </w:r>
          </w:p>
          <w:p>
            <w:pPr>
              <w:numPr>
                <w:ilvl w:val="0"/>
                <w:numId w:val="22"/>
              </w:numPr>
              <w:spacing w:line="400" w:lineRule="exact"/>
              <w:rPr>
                <w:rFonts w:hint="default" w:eastAsia="宋体"/>
                <w:sz w:val="24"/>
              </w:rPr>
            </w:pPr>
            <w:r>
              <w:rPr>
                <w:rFonts w:hint="default" w:eastAsia="宋体"/>
                <w:sz w:val="24"/>
              </w:rPr>
              <w:t>若rpc记账接口异常，抛出记账异常</w:t>
            </w:r>
          </w:p>
        </w:tc>
      </w:tr>
    </w:tbl>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rFonts w:hint="eastAsia"/>
          <w:sz w:val="24"/>
        </w:rPr>
      </w:pPr>
    </w:p>
    <w:p>
      <w:pPr>
        <w:spacing w:line="400" w:lineRule="exact"/>
        <w:ind w:firstLine="480" w:firstLineChars="200"/>
        <w:rPr>
          <w:sz w:val="24"/>
        </w:rPr>
      </w:pPr>
      <w:r>
        <w:rPr>
          <w:rFonts w:hint="eastAsia"/>
          <w:sz w:val="24"/>
        </w:rPr>
        <w:t>业务人员主要分为审计员和业务员。其中业务员负责关键的认证业务及相关信息管理，属于系统的核心角色。</w:t>
      </w:r>
    </w:p>
    <w:p>
      <w:pPr>
        <w:spacing w:line="400" w:lineRule="exact"/>
        <w:ind w:firstLine="480" w:firstLineChars="200"/>
        <w:rPr>
          <w:sz w:val="24"/>
        </w:rPr>
      </w:pPr>
      <w:r>
        <w:rPr>
          <w:rFonts w:hint="eastAsia"/>
          <w:sz w:val="24"/>
        </w:rPr>
        <w:t>（1）审计员在</w:t>
      </w:r>
      <w:r>
        <w:rPr>
          <w:sz w:val="24"/>
        </w:rPr>
        <w:t>CA</w:t>
      </w:r>
      <w:r>
        <w:rPr>
          <w:rFonts w:hint="eastAsia"/>
          <w:sz w:val="24"/>
        </w:rPr>
        <w:t>系统中对日志信息进行管理。在管理员进行管理操作和业务模块处理业务请求的时候，都会产生相应的日志审计员可以查看系统中生成的各项日志。日志中包含的各项信息，如操作者、操作类型等对审计员应当都是公开的，以便审计员可以确认日志状态。审计员需要对系统生成的大量日志进行审理，判断系统记录是否出错以及相关人员操作是否合规。对于审计通过的日志则可进行归档操作。根据所选的时间段进行归档，被归档的日志需要从日志表和审计表中删除，日志信息和审计信息全部转移到归档表中，作为历史日志留存。对于需要另作用途的或是需要保存到磁盘的日志，审计员可以利用系统将相关文件下载到计算机里，以便在离线状态进行查看和分享。</w:t>
      </w:r>
    </w:p>
    <w:p>
      <w:pPr>
        <w:spacing w:line="400" w:lineRule="exact"/>
        <w:ind w:firstLine="480" w:firstLineChars="200"/>
        <w:rPr>
          <w:sz w:val="24"/>
        </w:rPr>
      </w:pPr>
      <w:r>
        <w:rPr>
          <w:rFonts w:hint="eastAsia"/>
          <w:sz w:val="24"/>
        </w:rPr>
        <w:t>（2）业务员是整个安全认证业务的关键角色之一，和安全管理员一样需要承担整个安全认证系统中最核心的工作内容。业务员</w:t>
      </w:r>
      <w:r>
        <w:rPr>
          <w:sz w:val="24"/>
        </w:rPr>
        <w:t>RA</w:t>
      </w:r>
      <w:r>
        <w:rPr>
          <w:rFonts w:hint="eastAsia"/>
          <w:sz w:val="24"/>
        </w:rPr>
        <w:t>管理的基本操作包括对</w:t>
      </w:r>
      <w:r>
        <w:rPr>
          <w:sz w:val="24"/>
        </w:rPr>
        <w:t>RA</w:t>
      </w:r>
      <w:r>
        <w:rPr>
          <w:rFonts w:hint="eastAsia"/>
          <w:sz w:val="24"/>
        </w:rPr>
        <w:t>的增删改查，此外，业务员可以对</w:t>
      </w:r>
      <w:r>
        <w:rPr>
          <w:sz w:val="24"/>
        </w:rPr>
        <w:t>RA</w:t>
      </w:r>
      <w:r>
        <w:rPr>
          <w:rFonts w:hint="eastAsia"/>
          <w:sz w:val="24"/>
        </w:rPr>
        <w:t>进行权限授予与收回，还能启用</w:t>
      </w:r>
      <w:r>
        <w:rPr>
          <w:sz w:val="24"/>
        </w:rPr>
        <w:t>/</w:t>
      </w:r>
      <w:r>
        <w:rPr>
          <w:rFonts w:hint="eastAsia"/>
          <w:sz w:val="24"/>
        </w:rPr>
        <w:t>停用任一</w:t>
      </w:r>
      <w:r>
        <w:rPr>
          <w:sz w:val="24"/>
        </w:rPr>
        <w:t>RA</w:t>
      </w:r>
      <w:r>
        <w:rPr>
          <w:rFonts w:hint="eastAsia"/>
          <w:sz w:val="24"/>
        </w:rPr>
        <w:t>。业务员可以对终端证书进行查询与作废操作。终端证书由安全管理员进行签发，业务员可查询其相关信息，在终端证书出现问题的情况下可将其作废。根据实际需求，业务员可对系统中的模板进行管理操作，以便业务的顺利推进。业务员还承担了车联网平台中系统间互联信息的管理工作。业务员应当能够对相关互联信息进行增加、删除、修改和查找等操作。此外，业务员还可通过系统配置业务</w:t>
      </w:r>
      <w:r>
        <w:rPr>
          <w:sz w:val="24"/>
        </w:rPr>
        <w:t>CA</w:t>
      </w:r>
      <w:r>
        <w:rPr>
          <w:rFonts w:hint="eastAsia"/>
          <w:sz w:val="24"/>
        </w:rPr>
        <w:t>的</w:t>
      </w:r>
      <w:r>
        <w:rPr>
          <w:sz w:val="24"/>
        </w:rPr>
        <w:t>CRL</w:t>
      </w:r>
      <w:r>
        <w:rPr>
          <w:rFonts w:hint="eastAsia"/>
          <w:sz w:val="24"/>
        </w:rPr>
        <w:t>、对业务</w:t>
      </w:r>
      <w:r>
        <w:rPr>
          <w:sz w:val="24"/>
        </w:rPr>
        <w:t>CA</w:t>
      </w:r>
      <w:r>
        <w:rPr>
          <w:rFonts w:hint="eastAsia"/>
          <w:sz w:val="24"/>
        </w:rPr>
        <w:t>的证书归档策略进行选择与配置等。</w:t>
      </w:r>
    </w:p>
    <w:p>
      <w:pPr>
        <w:widowControl/>
        <w:spacing w:before="240" w:after="120"/>
        <w:jc w:val="left"/>
        <w:outlineLvl w:val="2"/>
        <w:rPr>
          <w:rFonts w:eastAsia="黑体" w:cs="黑体"/>
          <w:color w:val="000000"/>
          <w:kern w:val="0"/>
          <w:sz w:val="26"/>
          <w:lang w:bidi="ar"/>
        </w:rPr>
      </w:pPr>
      <w:bookmarkStart w:id="25" w:name="_Toc7357"/>
      <w:r>
        <w:rPr>
          <w:rFonts w:hint="eastAsia" w:eastAsia="黑体" w:cs="黑体"/>
          <w:color w:val="000000"/>
          <w:kern w:val="0"/>
          <w:sz w:val="26"/>
          <w:lang w:bidi="ar"/>
        </w:rPr>
        <w:t>3.2.4  业务对象需求导出</w:t>
      </w:r>
      <w:bookmarkEnd w:id="25"/>
    </w:p>
    <w:p>
      <w:pPr>
        <w:spacing w:line="400" w:lineRule="exact"/>
        <w:ind w:firstLine="480" w:firstLineChars="200"/>
        <w:rPr>
          <w:sz w:val="24"/>
        </w:rPr>
      </w:pPr>
      <w:r>
        <w:rPr>
          <w:rFonts w:hint="eastAsia"/>
          <w:sz w:val="24"/>
        </w:rPr>
        <w:t>本系统的业务对象指的是需要得到系统认证并进行业务执行的各类实体，如注册审批机构、异常行为机构等。业务对象不能直接操作并使用系统，但是它们是系统核心业务的服务对象，故而其需求应当成为系统开发时着重考虑的因素。当前业务对象对车联网安全认证管理系统的核心需求如下：</w:t>
      </w:r>
    </w:p>
    <w:p>
      <w:pPr>
        <w:numPr>
          <w:ilvl w:val="0"/>
          <w:numId w:val="23"/>
        </w:numPr>
        <w:spacing w:line="400" w:lineRule="exact"/>
        <w:ind w:firstLine="480" w:firstLineChars="200"/>
        <w:rPr>
          <w:sz w:val="24"/>
        </w:rPr>
      </w:pPr>
      <w:r>
        <w:rPr>
          <w:rFonts w:hint="eastAsia"/>
          <w:sz w:val="24"/>
        </w:rPr>
        <w:t>证书种类：根据车联网信息安全的制度，本系统需要为业务对象提供注册证书、假名证书、身份证书和应用证书这四类数字证书，从而满足智能设备在车联网体系中安全通信和数据交互的需求；</w:t>
      </w:r>
    </w:p>
    <w:p>
      <w:pPr>
        <w:numPr>
          <w:ilvl w:val="0"/>
          <w:numId w:val="23"/>
        </w:numPr>
        <w:spacing w:line="400" w:lineRule="exact"/>
        <w:ind w:firstLine="480" w:firstLineChars="200"/>
        <w:rPr>
          <w:sz w:val="24"/>
        </w:rPr>
      </w:pPr>
      <w:r>
        <w:rPr>
          <w:rFonts w:hint="eastAsia"/>
          <w:sz w:val="24"/>
        </w:rPr>
        <w:t>证书服务：对上文提到的四种证书，系统应提供签发、申请下载、更新下载、违规作废以及详细资料查询的相关服务接口，同时还应对签发后的证书做资料留存，以便必要时进行安全核验。</w:t>
      </w:r>
    </w:p>
    <w:p>
      <w:pPr>
        <w:spacing w:before="480" w:after="120"/>
        <w:outlineLvl w:val="1"/>
        <w:rPr>
          <w:rFonts w:ascii="黑体" w:hAnsi="宋体" w:eastAsia="黑体"/>
          <w:color w:val="000000"/>
          <w:sz w:val="28"/>
          <w:szCs w:val="28"/>
        </w:rPr>
      </w:pPr>
      <w:bookmarkStart w:id="26" w:name="_Toc4243"/>
      <w:r>
        <w:rPr>
          <w:rFonts w:hint="eastAsia" w:ascii="黑体" w:hAnsi="宋体" w:eastAsia="黑体"/>
          <w:color w:val="000000"/>
          <w:sz w:val="28"/>
          <w:szCs w:val="28"/>
        </w:rPr>
        <w:t>3.3  功能性需求</w:t>
      </w:r>
      <w:bookmarkEnd w:id="26"/>
    </w:p>
    <w:p>
      <w:pPr>
        <w:spacing w:line="400" w:lineRule="exact"/>
        <w:ind w:firstLine="480" w:firstLineChars="200"/>
        <w:rPr>
          <w:sz w:val="24"/>
        </w:rPr>
      </w:pPr>
      <w:r>
        <w:rPr>
          <w:rFonts w:hint="eastAsia"/>
          <w:sz w:val="24"/>
        </w:rPr>
        <w:t>根据上一部分对系统的需求进行初步分析与导出，整个车联网安全认证管理系统的核心业务在于管理员对系统的管理、业务员对系统主要功能的日常操作以及系统向外部业务对象提供安全认证业务。本节围绕着安全认证管理的核心业务描述系统的功能性需求。</w:t>
      </w:r>
    </w:p>
    <w:p>
      <w:pPr>
        <w:spacing w:line="400" w:lineRule="exact"/>
        <w:ind w:firstLine="480" w:firstLineChars="200"/>
        <w:rPr>
          <w:sz w:val="24"/>
        </w:rPr>
      </w:pPr>
      <w:r>
        <w:rPr>
          <w:rFonts w:hint="eastAsia"/>
          <w:sz w:val="24"/>
        </w:rPr>
        <w:t>首先可得出核心需求描述列表如表3.1所示。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.1 </w:t>
      </w:r>
      <w:r>
        <w:rPr>
          <w:rFonts w:hint="eastAsia" w:ascii="黑体" w:hAnsi="黑体" w:eastAsia="黑体" w:cs="黑体"/>
          <w:szCs w:val="21"/>
        </w:rPr>
        <w:t>核心</w:t>
      </w:r>
      <w:r>
        <w:rPr>
          <w:rFonts w:hint="eastAsia" w:ascii="黑体" w:hAnsi="黑体" w:eastAsia="黑体" w:cs="黑体"/>
          <w:szCs w:val="21"/>
          <w:lang w:eastAsia="zh-Hans"/>
        </w:rPr>
        <w:t>需求描述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1930"/>
        <w:gridCol w:w="1357"/>
        <w:gridCol w:w="3938"/>
      </w:tblGrid>
      <w:tr>
        <w:trPr>
          <w:tblHeader/>
        </w:trPr>
        <w:tc>
          <w:tcPr>
            <w:tcW w:w="129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需求编号</w:t>
            </w:r>
          </w:p>
        </w:tc>
        <w:tc>
          <w:tcPr>
            <w:tcW w:w="1930"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名称</w:t>
            </w:r>
          </w:p>
        </w:tc>
        <w:tc>
          <w:tcPr>
            <w:tcW w:w="135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参与者</w:t>
            </w:r>
          </w:p>
        </w:tc>
        <w:tc>
          <w:tcPr>
            <w:tcW w:w="3938"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说明</w:t>
            </w:r>
          </w:p>
        </w:tc>
      </w:tr>
      <w:tr>
        <w:tc>
          <w:tcPr>
            <w:tcW w:w="1297" w:type="dxa"/>
            <w:tcBorders>
              <w:top w:val="single" w:color="auto" w:sz="4" w:space="0"/>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R1</w:t>
            </w:r>
          </w:p>
        </w:tc>
        <w:tc>
          <w:tcPr>
            <w:tcW w:w="1930"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MCA管理</w:t>
            </w:r>
          </w:p>
        </w:tc>
        <w:tc>
          <w:tcPr>
            <w:tcW w:w="135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安全管理员</w:t>
            </w:r>
          </w:p>
        </w:tc>
        <w:tc>
          <w:tcPr>
            <w:tcW w:w="3938" w:type="dxa"/>
            <w:tcBorders>
              <w:top w:val="single" w:color="auto" w:sz="4" w:space="0"/>
              <w:tl2br w:val="nil"/>
              <w:tr2bl w:val="nil"/>
            </w:tcBorders>
          </w:tcPr>
          <w:p>
            <w:pPr>
              <w:spacing w:line="360" w:lineRule="auto"/>
              <w:rPr>
                <w:rFonts w:ascii="宋体" w:hAnsi="宋体" w:cs="宋体"/>
              </w:rPr>
            </w:pPr>
            <w:r>
              <w:rPr>
                <w:rFonts w:hint="eastAsia" w:ascii="宋体" w:hAnsi="宋体" w:cs="宋体"/>
              </w:rPr>
              <w:t>对MCA的信息进行管理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R2</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用户证书管理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对用户证书主题、内容等进行管理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R3</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业务CA管理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对业务CA进行签发、导入等操作</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R4</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其他管理功能</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口令更新、系统激活等其他安全相关的业务</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R5</w:t>
            </w:r>
          </w:p>
        </w:tc>
        <w:tc>
          <w:tcPr>
            <w:tcW w:w="1930"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RA</w:t>
            </w:r>
            <w:r>
              <w:rPr>
                <w:rFonts w:hint="eastAsia" w:ascii="宋体" w:hAnsi="宋体" w:cs="宋体"/>
                <w:lang w:eastAsia="zh-Hans"/>
              </w:rPr>
              <w:t>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对RA信息进行业务处理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R6</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终端证书管理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管理已有的终端证书</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R7</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证书模板管理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管理系统现有证书模板</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R8</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互联信息管理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管理车联网各系统间互联信息</w:t>
            </w:r>
          </w:p>
        </w:tc>
      </w:tr>
    </w:tbl>
    <w:p>
      <w:pPr>
        <w:spacing w:before="120" w:after="120"/>
        <w:jc w:val="center"/>
        <w:rPr>
          <w:rFonts w:ascii="黑体" w:hAnsi="黑体" w:eastAsia="黑体" w:cs="黑体"/>
          <w:szCs w:val="21"/>
          <w:lang w:eastAsia="zh-Hans"/>
        </w:rPr>
      </w:pPr>
      <w:bookmarkStart w:id="27" w:name="_Toc31238"/>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.1 </w:t>
      </w:r>
      <w:r>
        <w:rPr>
          <w:rFonts w:hint="eastAsia" w:ascii="黑体" w:hAnsi="黑体" w:eastAsia="黑体" w:cs="黑体"/>
          <w:szCs w:val="21"/>
        </w:rPr>
        <w:t>核心</w:t>
      </w:r>
      <w:r>
        <w:rPr>
          <w:rFonts w:hint="eastAsia" w:ascii="黑体" w:hAnsi="黑体" w:eastAsia="黑体" w:cs="黑体"/>
          <w:szCs w:val="21"/>
          <w:lang w:eastAsia="zh-Hans"/>
        </w:rPr>
        <w:t>需求描述</w:t>
      </w:r>
      <w:bookmarkEnd w:id="27"/>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1930"/>
        <w:gridCol w:w="1357"/>
        <w:gridCol w:w="3938"/>
      </w:tblGrid>
      <w:tr>
        <w:tc>
          <w:tcPr>
            <w:tcW w:w="1297"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需求编号</w:t>
            </w:r>
          </w:p>
        </w:tc>
        <w:tc>
          <w:tcPr>
            <w:tcW w:w="1930"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名称</w:t>
            </w:r>
          </w:p>
        </w:tc>
        <w:tc>
          <w:tcPr>
            <w:tcW w:w="135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参与者</w:t>
            </w:r>
          </w:p>
        </w:tc>
        <w:tc>
          <w:tcPr>
            <w:tcW w:w="3938"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说明</w:t>
            </w:r>
          </w:p>
        </w:tc>
      </w:tr>
      <w:tr>
        <w:tc>
          <w:tcPr>
            <w:tcW w:w="129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R9</w:t>
            </w:r>
          </w:p>
        </w:tc>
        <w:tc>
          <w:tcPr>
            <w:tcW w:w="1930"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其他功能</w:t>
            </w:r>
          </w:p>
        </w:tc>
        <w:tc>
          <w:tcPr>
            <w:tcW w:w="135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业务</w:t>
            </w:r>
            <w:r>
              <w:rPr>
                <w:rFonts w:hint="eastAsia" w:ascii="宋体" w:hAnsi="宋体" w:cs="宋体"/>
                <w:lang w:eastAsia="zh-Hans"/>
              </w:rPr>
              <w:t>员</w:t>
            </w:r>
          </w:p>
        </w:tc>
        <w:tc>
          <w:tcPr>
            <w:tcW w:w="3938" w:type="dxa"/>
            <w:tcBorders>
              <w:top w:val="single" w:color="auto" w:sz="4" w:space="0"/>
              <w:tl2br w:val="nil"/>
              <w:tr2bl w:val="nil"/>
            </w:tcBorders>
          </w:tcPr>
          <w:p>
            <w:pPr>
              <w:spacing w:line="360" w:lineRule="auto"/>
              <w:rPr>
                <w:rFonts w:ascii="宋体" w:hAnsi="宋体" w:cs="宋体"/>
              </w:rPr>
            </w:pPr>
            <w:r>
              <w:rPr>
                <w:rFonts w:hint="eastAsia" w:ascii="宋体" w:hAnsi="宋体" w:cs="宋体"/>
              </w:rPr>
              <w:t>CRL配置、硬件信息等其他业务功能</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R10</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证书申请下载</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申请签发相关证书并下载保存</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R11</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证书更新下载</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下载更新后的注册证书</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R12</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证书作废</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作废过期或不合法的证书</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R13</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证书查询</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业务对象查询证书相关信息</w:t>
            </w:r>
          </w:p>
        </w:tc>
      </w:tr>
    </w:tbl>
    <w:p>
      <w:pPr>
        <w:widowControl/>
        <w:spacing w:before="240" w:after="120"/>
        <w:jc w:val="left"/>
        <w:outlineLvl w:val="2"/>
        <w:rPr>
          <w:rFonts w:eastAsia="黑体" w:cs="黑体"/>
          <w:color w:val="000000"/>
          <w:kern w:val="0"/>
          <w:sz w:val="26"/>
          <w:lang w:bidi="ar"/>
        </w:rPr>
      </w:pPr>
      <w:bookmarkStart w:id="28" w:name="_Toc1297"/>
      <w:r>
        <w:rPr>
          <w:rFonts w:hint="eastAsia" w:eastAsia="黑体" w:cs="黑体"/>
          <w:color w:val="000000"/>
          <w:kern w:val="0"/>
          <w:sz w:val="26"/>
          <w:lang w:bidi="ar"/>
        </w:rPr>
        <w:t>3.3.1  安全管理员核心用例</w:t>
      </w:r>
      <w:bookmarkEnd w:id="28"/>
    </w:p>
    <w:p>
      <w:pPr>
        <w:spacing w:line="400" w:lineRule="exact"/>
        <w:ind w:firstLine="480" w:firstLineChars="200"/>
        <w:rPr>
          <w:sz w:val="24"/>
        </w:rPr>
      </w:pPr>
      <w:r>
        <w:rPr>
          <w:rFonts w:hint="eastAsia"/>
          <w:sz w:val="24"/>
        </w:rPr>
        <w:t>安全管理员是整个安全认证业务的关键角色之一，通过指定的特殊登录入口登入系统，管理用户证书等安全相关数据，同时还可以进行口令更改、系统激活等重要操作。经过前期的调研，其主要需求可罗列如下：</w:t>
      </w:r>
    </w:p>
    <w:p>
      <w:pPr>
        <w:spacing w:line="400" w:lineRule="exact"/>
        <w:ind w:firstLine="480" w:firstLineChars="200"/>
        <w:rPr>
          <w:sz w:val="24"/>
        </w:rPr>
      </w:pPr>
      <w:r>
        <w:rPr>
          <w:rFonts w:hint="eastAsia"/>
          <w:sz w:val="24"/>
        </w:rPr>
        <w:t>（</w:t>
      </w:r>
      <w:r>
        <w:rPr>
          <w:sz w:val="24"/>
        </w:rPr>
        <w:t>1</w:t>
      </w:r>
      <w:r>
        <w:rPr>
          <w:rFonts w:hint="eastAsia"/>
          <w:sz w:val="24"/>
        </w:rPr>
        <w:t>）</w:t>
      </w:r>
      <w:r>
        <w:rPr>
          <w:sz w:val="24"/>
        </w:rPr>
        <w:t>MCA</w:t>
      </w:r>
      <w:r>
        <w:rPr>
          <w:rFonts w:hint="eastAsia"/>
          <w:sz w:val="24"/>
        </w:rPr>
        <w:t>管理：安全管理员可以对</w:t>
      </w:r>
      <w:r>
        <w:rPr>
          <w:sz w:val="24"/>
        </w:rPr>
        <w:t>MCA</w:t>
      </w:r>
      <w:r>
        <w:rPr>
          <w:rFonts w:hint="eastAsia"/>
          <w:sz w:val="24"/>
        </w:rPr>
        <w:t>信息进行更新操作，同时可更新一些基本信息，如是否对响应签名，以及可选更新根证书、更新有效期、可选更新更证书密钥，但不可以对算法进行修改。此外，还可以更新</w:t>
      </w:r>
      <w:r>
        <w:rPr>
          <w:sz w:val="24"/>
        </w:rPr>
        <w:t>MCA</w:t>
      </w:r>
      <w:r>
        <w:rPr>
          <w:rFonts w:hint="eastAsia"/>
          <w:sz w:val="24"/>
        </w:rPr>
        <w:t xml:space="preserve">身份证书信息，可进行身份证书有效期更新、密钥更新，算法不可更新。新的身份证书采用 </w:t>
      </w:r>
      <w:r>
        <w:rPr>
          <w:sz w:val="24"/>
        </w:rPr>
        <w:t xml:space="preserve">MCA </w:t>
      </w:r>
      <w:r>
        <w:rPr>
          <w:rFonts w:hint="eastAsia"/>
          <w:sz w:val="24"/>
        </w:rPr>
        <w:t>根证书签发，且需校验根证书有效性。</w:t>
      </w:r>
    </w:p>
    <w:p>
      <w:pPr>
        <w:spacing w:line="400" w:lineRule="exact"/>
        <w:ind w:firstLine="480" w:firstLineChars="200"/>
        <w:rPr>
          <w:sz w:val="24"/>
        </w:rPr>
      </w:pPr>
      <w:r>
        <w:rPr>
          <w:rFonts w:hint="eastAsia"/>
          <w:sz w:val="24"/>
        </w:rPr>
        <w:t>（</w:t>
      </w:r>
      <w:r>
        <w:rPr>
          <w:sz w:val="24"/>
        </w:rPr>
        <w:t>2</w:t>
      </w:r>
      <w:r>
        <w:rPr>
          <w:rFonts w:hint="eastAsia"/>
          <w:sz w:val="24"/>
        </w:rPr>
        <w:t>）用户证书管理：安全管理员可以对用户证书进行增删改查的基础操作。新增时用户证书使用</w:t>
      </w:r>
      <w:r>
        <w:rPr>
          <w:sz w:val="24"/>
        </w:rPr>
        <w:t>MCA</w:t>
      </w:r>
      <w:r>
        <w:rPr>
          <w:rFonts w:hint="eastAsia"/>
          <w:sz w:val="24"/>
        </w:rPr>
        <w:t>根证书签发，用户证书有效期不能大于根证书，且证书类型分为系统证书和登录证书，系统证书为</w:t>
      </w:r>
      <w:r>
        <w:rPr>
          <w:sz w:val="24"/>
        </w:rPr>
        <w:t>RA</w:t>
      </w:r>
      <w:r>
        <w:rPr>
          <w:rFonts w:hint="eastAsia"/>
          <w:sz w:val="24"/>
        </w:rPr>
        <w:t>使用，登录证书为管理员使用；查询时可对用户证书信息以列表方式进行结果查询；修改时除证书主题、用途外，可对任一信息进行更改；删除时删除用户证书信息后删除其作为登录证书赋予的角色，同时删除作为系统证书关联的</w:t>
      </w:r>
      <w:r>
        <w:rPr>
          <w:sz w:val="24"/>
        </w:rPr>
        <w:t>RA</w:t>
      </w:r>
      <w:r>
        <w:rPr>
          <w:rFonts w:hint="eastAsia"/>
          <w:sz w:val="24"/>
        </w:rPr>
        <w:t>。</w:t>
      </w:r>
    </w:p>
    <w:p>
      <w:pPr>
        <w:spacing w:line="400" w:lineRule="exact"/>
        <w:ind w:firstLine="480" w:firstLineChars="200"/>
        <w:rPr>
          <w:sz w:val="24"/>
        </w:rPr>
      </w:pPr>
      <w:r>
        <w:rPr>
          <w:rFonts w:hint="eastAsia"/>
          <w:sz w:val="24"/>
        </w:rPr>
        <w:t>（</w:t>
      </w:r>
      <w:r>
        <w:rPr>
          <w:sz w:val="24"/>
        </w:rPr>
        <w:t>3</w:t>
      </w:r>
      <w:r>
        <w:rPr>
          <w:rFonts w:hint="eastAsia"/>
          <w:sz w:val="24"/>
        </w:rPr>
        <w:t>）业务</w:t>
      </w:r>
      <w:r>
        <w:rPr>
          <w:sz w:val="24"/>
        </w:rPr>
        <w:t>CA</w:t>
      </w:r>
      <w:r>
        <w:rPr>
          <w:rFonts w:hint="eastAsia"/>
          <w:sz w:val="24"/>
        </w:rPr>
        <w:t>管理：安全管理员可通过系统对业务</w:t>
      </w:r>
      <w:r>
        <w:rPr>
          <w:sz w:val="24"/>
        </w:rPr>
        <w:t>CA</w:t>
      </w:r>
      <w:r>
        <w:rPr>
          <w:rFonts w:hint="eastAsia"/>
          <w:sz w:val="24"/>
        </w:rPr>
        <w:t>进行签发、导入、查询及其他基础操作。签发业务</w:t>
      </w:r>
      <w:r>
        <w:rPr>
          <w:sz w:val="24"/>
        </w:rPr>
        <w:t>CA</w:t>
      </w:r>
      <w:r>
        <w:rPr>
          <w:rFonts w:hint="eastAsia"/>
          <w:sz w:val="24"/>
        </w:rPr>
        <w:t>时，证书模板类型需要与所选的</w:t>
      </w:r>
      <w:r>
        <w:rPr>
          <w:sz w:val="24"/>
        </w:rPr>
        <w:t>CA</w:t>
      </w:r>
      <w:r>
        <w:rPr>
          <w:rFonts w:hint="eastAsia"/>
          <w:sz w:val="24"/>
        </w:rPr>
        <w:t xml:space="preserve">类型对应，模板需要初始化之后，后台预置到数据库中，且需要配置好其超级管理员和审计管理员；导入证书时，导入的证书需要与该 </w:t>
      </w:r>
      <w:r>
        <w:rPr>
          <w:sz w:val="24"/>
        </w:rPr>
        <w:t xml:space="preserve">CA </w:t>
      </w:r>
      <w:r>
        <w:rPr>
          <w:rFonts w:hint="eastAsia"/>
          <w:sz w:val="24"/>
        </w:rPr>
        <w:t>匹配，主题名相同，类型相同，该</w:t>
      </w:r>
      <w:r>
        <w:rPr>
          <w:sz w:val="24"/>
        </w:rPr>
        <w:t>CA</w:t>
      </w:r>
      <w:r>
        <w:rPr>
          <w:rFonts w:hint="eastAsia"/>
          <w:sz w:val="24"/>
        </w:rPr>
        <w:t>的私钥签名，导入的证书的公钥能验签；查询证书时可对</w:t>
      </w:r>
      <w:r>
        <w:rPr>
          <w:sz w:val="24"/>
        </w:rPr>
        <w:t>CA</w:t>
      </w:r>
      <w:r>
        <w:rPr>
          <w:rFonts w:hint="eastAsia"/>
          <w:sz w:val="24"/>
        </w:rPr>
        <w:t>证书信息以列表方式进行结果查询；此外，还能对证书进行更新、作废等基础操作。</w:t>
      </w:r>
    </w:p>
    <w:p>
      <w:pPr>
        <w:spacing w:line="400" w:lineRule="exact"/>
        <w:ind w:firstLine="480" w:firstLineChars="200"/>
        <w:rPr>
          <w:rFonts w:ascii="宋体" w:hAnsi="宋体" w:cs="宋体"/>
          <w:sz w:val="24"/>
          <w:szCs w:val="21"/>
        </w:rPr>
      </w:pPr>
      <w:r>
        <w:rPr>
          <w:rFonts w:hint="eastAsia"/>
          <w:sz w:val="24"/>
        </w:rPr>
        <w:t>（</w:t>
      </w:r>
      <w:r>
        <w:rPr>
          <w:sz w:val="24"/>
        </w:rPr>
        <w:t>4</w:t>
      </w:r>
      <w:r>
        <w:rPr>
          <w:rFonts w:hint="eastAsia"/>
          <w:sz w:val="24"/>
        </w:rPr>
        <w:t>）系统安全功能需求：在得到旧持有者的确认下，</w:t>
      </w:r>
      <w:r>
        <w:rPr>
          <w:sz w:val="24"/>
        </w:rPr>
        <w:t>CA</w:t>
      </w:r>
      <w:r>
        <w:rPr>
          <w:rFonts w:hint="eastAsia"/>
          <w:sz w:val="24"/>
        </w:rPr>
        <w:t>管理端安全管理员可以对密钥持有者进行更新；安全管理员还可以更新安全口令来确保系统的安全；此外，安全管理员是唯一一个可以在系统未激活情况下进行登录的操作员，在密钥持有者的配合下可以进行系统的激活操作。</w:t>
      </w:r>
    </w:p>
    <w:p>
      <w:pPr>
        <w:spacing w:line="400" w:lineRule="exact"/>
        <w:ind w:firstLine="480" w:firstLineChars="200"/>
        <w:rPr>
          <w:rFonts w:ascii="宋体" w:hAnsi="宋体" w:cs="宋体"/>
          <w:szCs w:val="21"/>
        </w:rPr>
      </w:pPr>
      <w:r>
        <w:rPr>
          <w:rFonts w:hint="eastAsia" w:ascii="宋体" w:hAnsi="宋体" w:cs="宋体"/>
          <w:sz w:val="24"/>
          <w:szCs w:val="21"/>
        </w:rPr>
        <w:t>根据上文内容，绘出安全管理员核心用例图如图3.1所示。</w:t>
      </w:r>
    </w:p>
    <w:p>
      <w:pPr>
        <w:spacing w:before="120" w:after="240"/>
        <w:jc w:val="center"/>
        <w:rPr>
          <w:rFonts w:ascii="宋体" w:hAnsi="宋体" w:cs="宋体"/>
          <w:szCs w:val="21"/>
        </w:rPr>
      </w:pPr>
      <w:r>
        <w:rPr>
          <w:rFonts w:hint="eastAsia" w:ascii="宋体" w:hAnsi="宋体" w:cs="宋体"/>
          <w:szCs w:val="21"/>
        </w:rPr>
        <w:drawing>
          <wp:inline distT="0" distB="0" distL="114300" distR="114300">
            <wp:extent cx="5090160" cy="4785360"/>
            <wp:effectExtent l="0" t="0" r="15240" b="15240"/>
            <wp:docPr id="8" name="图片 8" descr="安全管理员用例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安全管理员用例图 新"/>
                    <pic:cNvPicPr>
                      <a:picLocks noChangeAspect="1"/>
                    </pic:cNvPicPr>
                  </pic:nvPicPr>
                  <pic:blipFill>
                    <a:blip r:embed="rId51"/>
                    <a:stretch>
                      <a:fillRect/>
                    </a:stretch>
                  </pic:blipFill>
                  <pic:spPr>
                    <a:xfrm>
                      <a:off x="0" y="0"/>
                      <a:ext cx="5090160" cy="478536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图3.1 安全管理员用例图</w:t>
      </w:r>
    </w:p>
    <w:p>
      <w:pPr>
        <w:spacing w:line="400" w:lineRule="exact"/>
        <w:ind w:firstLine="480" w:firstLineChars="200"/>
        <w:rPr>
          <w:rFonts w:cs="宋体"/>
          <w:sz w:val="24"/>
          <w:szCs w:val="21"/>
        </w:rPr>
      </w:pPr>
      <w:r>
        <w:rPr>
          <w:rFonts w:hint="eastAsia" w:cs="宋体"/>
          <w:sz w:val="24"/>
          <w:szCs w:val="21"/>
        </w:rPr>
        <w:t>接下来以业务CA管理为例进行此角色的用例说明，安全管理员的需求进行用例描述如表3.2所示。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.2 </w:t>
      </w:r>
      <w:r>
        <w:rPr>
          <w:rFonts w:hint="eastAsia" w:ascii="黑体" w:hAnsi="黑体" w:eastAsia="黑体" w:cs="黑体"/>
          <w:szCs w:val="21"/>
        </w:rPr>
        <w:t>业务CA管理</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业务CA管理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安全</w:t>
            </w:r>
            <w:r>
              <w:rPr>
                <w:rFonts w:hint="eastAsia" w:ascii="宋体" w:hAnsi="宋体" w:cs="宋体"/>
                <w:szCs w:val="21"/>
                <w:lang w:eastAsia="zh-Hans"/>
              </w:rPr>
              <w:t>管理员</w:t>
            </w:r>
            <w:r>
              <w:rPr>
                <w:rFonts w:hint="eastAsia" w:ascii="宋体" w:hAnsi="宋体" w:cs="宋体"/>
                <w:szCs w:val="21"/>
              </w:rPr>
              <w:t>管理业务CA</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安全</w:t>
            </w:r>
            <w:r>
              <w:rPr>
                <w:rFonts w:hint="eastAsia" w:ascii="宋体" w:hAnsi="宋体" w:cs="宋体"/>
                <w:szCs w:val="21"/>
                <w:lang w:eastAsia="zh-Hans"/>
              </w:rPr>
              <w:t>管理员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lang w:eastAsia="zh-Hans"/>
              </w:rPr>
              <w:t>管理员点击</w:t>
            </w:r>
            <w:r>
              <w:rPr>
                <w:rFonts w:hint="eastAsia" w:ascii="宋体" w:hAnsi="宋体" w:cs="宋体"/>
                <w:szCs w:val="21"/>
              </w:rPr>
              <w:t>管理界面相应按钮</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lang w:eastAsia="zh-Hans"/>
              </w:rPr>
              <w:t>进入</w:t>
            </w:r>
            <w:r>
              <w:rPr>
                <w:rFonts w:hint="eastAsia" w:ascii="宋体" w:hAnsi="宋体" w:cs="宋体"/>
                <w:szCs w:val="21"/>
              </w:rPr>
              <w:t>业务CA界面</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color w:val="000000"/>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（1）管理员选择要操作的业务CA</w:t>
            </w:r>
          </w:p>
          <w:p>
            <w:pPr>
              <w:rPr>
                <w:rFonts w:ascii="宋体" w:hAnsi="宋体" w:cs="宋体"/>
                <w:szCs w:val="21"/>
                <w:lang w:eastAsia="zh-Hans"/>
              </w:rPr>
            </w:pPr>
            <w:r>
              <w:rPr>
                <w:rFonts w:hint="eastAsia" w:ascii="宋体" w:hAnsi="宋体" w:cs="宋体"/>
                <w:szCs w:val="21"/>
              </w:rPr>
              <w:t>（2）</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（3）填写必要字段补足信息</w:t>
            </w:r>
          </w:p>
          <w:p>
            <w:pPr>
              <w:rPr>
                <w:rFonts w:ascii="宋体" w:hAnsi="宋体" w:cs="宋体"/>
                <w:szCs w:val="21"/>
                <w:lang w:eastAsia="zh-Hans"/>
              </w:rPr>
            </w:pPr>
            <w:r>
              <w:rPr>
                <w:rFonts w:hint="eastAsia" w:ascii="宋体" w:hAnsi="宋体" w:cs="宋体"/>
                <w:szCs w:val="21"/>
              </w:rPr>
              <w:t>（4）点击确认</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目标CA异常</w:t>
            </w:r>
            <w:r>
              <w:rPr>
                <w:rFonts w:hint="eastAsia" w:ascii="宋体" w:hAnsi="宋体" w:cs="宋体"/>
                <w:szCs w:val="21"/>
                <w:lang w:eastAsia="zh-Hans"/>
              </w:rPr>
              <w:t>，无法</w:t>
            </w:r>
            <w:r>
              <w:rPr>
                <w:rFonts w:hint="eastAsia" w:ascii="宋体" w:hAnsi="宋体" w:cs="宋体"/>
                <w:szCs w:val="21"/>
              </w:rPr>
              <w:t>执行业务</w:t>
            </w:r>
          </w:p>
        </w:tc>
      </w:tr>
    </w:tbl>
    <w:p>
      <w:pPr>
        <w:widowControl/>
        <w:spacing w:before="240" w:after="120"/>
        <w:jc w:val="left"/>
        <w:outlineLvl w:val="2"/>
        <w:rPr>
          <w:rFonts w:eastAsia="黑体" w:cs="黑体"/>
          <w:color w:val="000000"/>
          <w:kern w:val="0"/>
          <w:sz w:val="26"/>
          <w:lang w:bidi="ar"/>
        </w:rPr>
      </w:pPr>
      <w:bookmarkStart w:id="29" w:name="_Toc28992"/>
      <w:r>
        <w:rPr>
          <w:rFonts w:hint="eastAsia" w:eastAsia="黑体" w:cs="黑体"/>
          <w:color w:val="000000"/>
          <w:kern w:val="0"/>
          <w:sz w:val="26"/>
          <w:lang w:bidi="ar"/>
        </w:rPr>
        <w:t>3.3.2  业务员核心用例</w:t>
      </w:r>
      <w:bookmarkEnd w:id="29"/>
    </w:p>
    <w:p>
      <w:pPr>
        <w:spacing w:line="400" w:lineRule="exact"/>
        <w:ind w:firstLine="480" w:firstLineChars="200"/>
        <w:rPr>
          <w:sz w:val="24"/>
        </w:rPr>
      </w:pPr>
      <w:r>
        <w:rPr>
          <w:rFonts w:hint="eastAsia"/>
          <w:sz w:val="24"/>
        </w:rPr>
        <w:t>业务员是整个安全认证业务的关键角色之一，可以在</w:t>
      </w:r>
      <w:r>
        <w:rPr>
          <w:sz w:val="24"/>
        </w:rPr>
        <w:t>CA</w:t>
      </w:r>
      <w:r>
        <w:rPr>
          <w:rFonts w:hint="eastAsia"/>
          <w:sz w:val="24"/>
        </w:rPr>
        <w:t>系统中对</w:t>
      </w:r>
      <w:r>
        <w:rPr>
          <w:sz w:val="24"/>
        </w:rPr>
        <w:t>RA</w:t>
      </w:r>
      <w:r>
        <w:rPr>
          <w:rFonts w:hint="eastAsia"/>
          <w:sz w:val="24"/>
        </w:rPr>
        <w:t>，终端证书，证书模板，互联系统及其他事务进行管理。业务员和安全管理员一样需要承担整个安全认证系统中最核心的工作内容。业务员的核心功能需求在下面列出：</w:t>
      </w:r>
    </w:p>
    <w:p>
      <w:pPr>
        <w:spacing w:line="400" w:lineRule="exact"/>
        <w:ind w:firstLine="480" w:firstLineChars="200"/>
        <w:rPr>
          <w:sz w:val="24"/>
        </w:rPr>
      </w:pPr>
      <w:r>
        <w:rPr>
          <w:rFonts w:hint="eastAsia"/>
          <w:sz w:val="24"/>
        </w:rPr>
        <w:t>（</w:t>
      </w:r>
      <w:r>
        <w:rPr>
          <w:sz w:val="24"/>
        </w:rPr>
        <w:t>1</w:t>
      </w:r>
      <w:r>
        <w:rPr>
          <w:rFonts w:hint="eastAsia"/>
          <w:sz w:val="24"/>
        </w:rPr>
        <w:t>）</w:t>
      </w:r>
      <w:r>
        <w:rPr>
          <w:sz w:val="24"/>
        </w:rPr>
        <w:t xml:space="preserve">RA </w:t>
      </w:r>
      <w:r>
        <w:rPr>
          <w:rFonts w:hint="eastAsia"/>
          <w:sz w:val="24"/>
        </w:rPr>
        <w:t>管理：</w:t>
      </w:r>
      <w:r>
        <w:rPr>
          <w:sz w:val="24"/>
        </w:rPr>
        <w:t>RA</w:t>
      </w:r>
      <w:r>
        <w:rPr>
          <w:rFonts w:hint="eastAsia"/>
          <w:sz w:val="24"/>
        </w:rPr>
        <w:t>管理的基本操作包括对</w:t>
      </w:r>
      <w:r>
        <w:rPr>
          <w:sz w:val="24"/>
        </w:rPr>
        <w:t>RA</w:t>
      </w:r>
      <w:r>
        <w:rPr>
          <w:rFonts w:hint="eastAsia"/>
          <w:sz w:val="24"/>
        </w:rPr>
        <w:t>的增删改查。新增</w:t>
      </w:r>
      <w:r>
        <w:rPr>
          <w:sz w:val="24"/>
        </w:rPr>
        <w:t>RA</w:t>
      </w:r>
      <w:r>
        <w:rPr>
          <w:rFonts w:hint="eastAsia"/>
          <w:sz w:val="24"/>
        </w:rPr>
        <w:t>时，为其配置一张安全管理员新增的用户证书中可选类型的身份证书；删除</w:t>
      </w:r>
      <w:r>
        <w:rPr>
          <w:sz w:val="24"/>
        </w:rPr>
        <w:t>RA</w:t>
      </w:r>
      <w:r>
        <w:rPr>
          <w:rFonts w:hint="eastAsia"/>
          <w:sz w:val="24"/>
        </w:rPr>
        <w:t>时，可清空</w:t>
      </w:r>
      <w:r>
        <w:rPr>
          <w:sz w:val="24"/>
        </w:rPr>
        <w:t>RA</w:t>
      </w:r>
      <w:r>
        <w:rPr>
          <w:rFonts w:hint="eastAsia"/>
          <w:sz w:val="24"/>
        </w:rPr>
        <w:t>的全部信息，但不删除该用户证书信息；修改</w:t>
      </w:r>
      <w:r>
        <w:rPr>
          <w:sz w:val="24"/>
        </w:rPr>
        <w:t>RA</w:t>
      </w:r>
      <w:r>
        <w:rPr>
          <w:rFonts w:hint="eastAsia"/>
          <w:sz w:val="24"/>
        </w:rPr>
        <w:t>时，</w:t>
      </w:r>
      <w:r>
        <w:rPr>
          <w:sz w:val="24"/>
        </w:rPr>
        <w:t>RA</w:t>
      </w:r>
      <w:r>
        <w:rPr>
          <w:rFonts w:hint="eastAsia"/>
          <w:sz w:val="24"/>
        </w:rPr>
        <w:t>名称，证书主题，证书序列号等关键信息不可修改；查询</w:t>
      </w:r>
      <w:r>
        <w:rPr>
          <w:sz w:val="24"/>
        </w:rPr>
        <w:t>RA</w:t>
      </w:r>
      <w:r>
        <w:rPr>
          <w:rFonts w:hint="eastAsia"/>
          <w:sz w:val="24"/>
        </w:rPr>
        <w:t>时，检查结果以列表形式呈现。此外，业务员可以对</w:t>
      </w:r>
      <w:r>
        <w:rPr>
          <w:sz w:val="24"/>
        </w:rPr>
        <w:t>RA</w:t>
      </w:r>
      <w:r>
        <w:rPr>
          <w:rFonts w:hint="eastAsia"/>
          <w:sz w:val="24"/>
        </w:rPr>
        <w:t>进行权限授予与收回，还能启用</w:t>
      </w:r>
      <w:r>
        <w:rPr>
          <w:sz w:val="24"/>
        </w:rPr>
        <w:t>/</w:t>
      </w:r>
      <w:r>
        <w:rPr>
          <w:rFonts w:hint="eastAsia"/>
          <w:sz w:val="24"/>
        </w:rPr>
        <w:t>停用任一</w:t>
      </w:r>
      <w:r>
        <w:rPr>
          <w:sz w:val="24"/>
        </w:rPr>
        <w:t>RA</w:t>
      </w:r>
      <w:r>
        <w:rPr>
          <w:rFonts w:hint="eastAsia"/>
          <w:sz w:val="24"/>
        </w:rPr>
        <w:t>。</w:t>
      </w:r>
    </w:p>
    <w:p>
      <w:pPr>
        <w:spacing w:line="400" w:lineRule="exact"/>
        <w:ind w:firstLine="480" w:firstLineChars="200"/>
        <w:rPr>
          <w:sz w:val="24"/>
        </w:rPr>
      </w:pPr>
      <w:r>
        <w:rPr>
          <w:rFonts w:hint="eastAsia"/>
          <w:sz w:val="24"/>
        </w:rPr>
        <w:t>（</w:t>
      </w:r>
      <w:r>
        <w:rPr>
          <w:sz w:val="24"/>
        </w:rPr>
        <w:t>2</w:t>
      </w:r>
      <w:r>
        <w:rPr>
          <w:rFonts w:hint="eastAsia"/>
          <w:sz w:val="24"/>
        </w:rPr>
        <w:t>）终端证书管理：业务员可以对终端证书进行查询与作废操作。终端证书由安全管理员进行签发，业务员可查询其相关信息，在终端证书出现问题的情况下可将其作废。</w:t>
      </w:r>
    </w:p>
    <w:p>
      <w:pPr>
        <w:spacing w:line="400" w:lineRule="exact"/>
        <w:ind w:firstLine="480" w:firstLineChars="200"/>
        <w:rPr>
          <w:sz w:val="24"/>
        </w:rPr>
      </w:pPr>
      <w:r>
        <w:rPr>
          <w:rFonts w:hint="eastAsia"/>
          <w:sz w:val="24"/>
        </w:rPr>
        <w:t>（</w:t>
      </w:r>
      <w:r>
        <w:rPr>
          <w:sz w:val="24"/>
        </w:rPr>
        <w:t>3</w:t>
      </w:r>
      <w:r>
        <w:rPr>
          <w:rFonts w:hint="eastAsia"/>
          <w:sz w:val="24"/>
        </w:rPr>
        <w:t>）证书模板管理：证书的签发时，新证书是根据模板进行生成的，故而业务员需要对证书模板进行管理。根据实际需求，业务员可对系统中的模板进行添加、查询、修改和删除操作，以便业务的顺利推进。</w:t>
      </w:r>
    </w:p>
    <w:p>
      <w:pPr>
        <w:spacing w:line="400" w:lineRule="exact"/>
        <w:ind w:firstLine="480" w:firstLineChars="200"/>
        <w:rPr>
          <w:sz w:val="24"/>
        </w:rPr>
      </w:pPr>
      <w:r>
        <w:rPr>
          <w:rFonts w:hint="eastAsia"/>
          <w:sz w:val="24"/>
        </w:rPr>
        <w:t>（</w:t>
      </w:r>
      <w:r>
        <w:rPr>
          <w:sz w:val="24"/>
        </w:rPr>
        <w:t>4</w:t>
      </w:r>
      <w:r>
        <w:rPr>
          <w:rFonts w:hint="eastAsia"/>
          <w:sz w:val="24"/>
        </w:rPr>
        <w:t>）互联信息管理：</w:t>
      </w:r>
      <w:r>
        <w:rPr>
          <w:sz w:val="24"/>
        </w:rPr>
        <w:t>CA</w:t>
      </w:r>
      <w:r>
        <w:rPr>
          <w:rFonts w:hint="eastAsia"/>
          <w:sz w:val="24"/>
        </w:rPr>
        <w:t>系统应当能和车联网中其他系统进行互联互认。因此，业务员还承担了车联网平台中系统间互联信息的管理工作。业务员应当能够对相关互联信息进行增加、删除、修改和查找等操作。</w:t>
      </w:r>
    </w:p>
    <w:p>
      <w:pPr>
        <w:spacing w:line="400" w:lineRule="exact"/>
        <w:ind w:firstLine="480" w:firstLineChars="200"/>
        <w:rPr>
          <w:sz w:val="24"/>
        </w:rPr>
      </w:pPr>
      <w:r>
        <w:rPr>
          <w:rFonts w:hint="eastAsia"/>
          <w:sz w:val="24"/>
        </w:rPr>
        <w:t>（</w:t>
      </w:r>
      <w:r>
        <w:rPr>
          <w:sz w:val="24"/>
        </w:rPr>
        <w:t>5</w:t>
      </w:r>
      <w:r>
        <w:rPr>
          <w:rFonts w:hint="eastAsia"/>
          <w:sz w:val="24"/>
        </w:rPr>
        <w:t>）系统业务功能需求：业务员可通过系统配置业务</w:t>
      </w:r>
      <w:r>
        <w:rPr>
          <w:sz w:val="24"/>
        </w:rPr>
        <w:t>CA</w:t>
      </w:r>
      <w:r>
        <w:rPr>
          <w:rFonts w:hint="eastAsia"/>
          <w:sz w:val="24"/>
        </w:rPr>
        <w:t>的</w:t>
      </w:r>
      <w:r>
        <w:rPr>
          <w:sz w:val="24"/>
        </w:rPr>
        <w:t>CRL</w:t>
      </w:r>
      <w:r>
        <w:rPr>
          <w:rFonts w:hint="eastAsia"/>
          <w:sz w:val="24"/>
        </w:rPr>
        <w:t>；可以对业务</w:t>
      </w:r>
      <w:r>
        <w:rPr>
          <w:sz w:val="24"/>
        </w:rPr>
        <w:t>CA</w:t>
      </w:r>
      <w:r>
        <w:rPr>
          <w:rFonts w:hint="eastAsia"/>
          <w:sz w:val="24"/>
        </w:rPr>
        <w:t>的证书归档策略进行选择与配置；可以查询终端证书的数量统计图、实现饼图等统计结果；还可以查询到本业务中的管理员和其他业务员信息。</w:t>
      </w:r>
    </w:p>
    <w:p>
      <w:pPr>
        <w:spacing w:line="400" w:lineRule="exact"/>
        <w:ind w:firstLine="480" w:firstLineChars="200"/>
        <w:rPr>
          <w:rFonts w:cs="宋体"/>
          <w:sz w:val="24"/>
          <w:szCs w:val="21"/>
        </w:rPr>
      </w:pPr>
      <w:r>
        <w:rPr>
          <w:rFonts w:hint="eastAsia" w:cs="宋体"/>
          <w:sz w:val="24"/>
          <w:szCs w:val="21"/>
        </w:rPr>
        <w:t>接下来以RA信息的管理为例对业务员的需求进行用例描述如表3.3所示。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RA管理</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RA管理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业务</w:t>
            </w:r>
            <w:r>
              <w:rPr>
                <w:rFonts w:hint="eastAsia" w:ascii="宋体" w:hAnsi="宋体" w:cs="宋体"/>
                <w:szCs w:val="21"/>
                <w:lang w:eastAsia="zh-Hans"/>
              </w:rPr>
              <w:t>员</w:t>
            </w:r>
            <w:r>
              <w:rPr>
                <w:rFonts w:hint="eastAsia" w:ascii="宋体" w:hAnsi="宋体" w:cs="宋体"/>
                <w:szCs w:val="21"/>
              </w:rPr>
              <w:t>管理RA相关信息</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业务</w:t>
            </w:r>
            <w:r>
              <w:rPr>
                <w:rFonts w:hint="eastAsia" w:ascii="宋体" w:hAnsi="宋体" w:cs="宋体"/>
                <w:szCs w:val="21"/>
                <w:lang w:eastAsia="zh-Hans"/>
              </w:rPr>
              <w:t>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rPr>
              <w:t>业务</w:t>
            </w:r>
            <w:r>
              <w:rPr>
                <w:rFonts w:hint="eastAsia" w:ascii="宋体" w:hAnsi="宋体" w:cs="宋体"/>
                <w:szCs w:val="21"/>
                <w:lang w:eastAsia="zh-Hans"/>
              </w:rPr>
              <w:t>员</w:t>
            </w:r>
            <w:r>
              <w:rPr>
                <w:rFonts w:hint="eastAsia" w:ascii="宋体" w:hAnsi="宋体" w:cs="宋体"/>
                <w:szCs w:val="21"/>
              </w:rPr>
              <w:t>登录认证管理系统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rPr>
              <w:t>默认</w:t>
            </w:r>
            <w:r>
              <w:rPr>
                <w:rFonts w:hint="eastAsia" w:ascii="宋体" w:hAnsi="宋体" w:cs="宋体"/>
                <w:szCs w:val="21"/>
                <w:lang w:eastAsia="zh-Hans"/>
              </w:rPr>
              <w:t>进入</w:t>
            </w:r>
            <w:r>
              <w:rPr>
                <w:rFonts w:hint="eastAsia" w:ascii="宋体" w:hAnsi="宋体" w:cs="宋体"/>
                <w:szCs w:val="21"/>
              </w:rPr>
              <w:t>RA管理界面</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（2）填写必要字段补足信息</w:t>
            </w:r>
          </w:p>
          <w:p>
            <w:pPr>
              <w:rPr>
                <w:rFonts w:ascii="宋体" w:hAnsi="宋体" w:cs="宋体"/>
                <w:szCs w:val="21"/>
                <w:lang w:eastAsia="zh-Hans"/>
              </w:rPr>
            </w:pPr>
            <w:r>
              <w:rPr>
                <w:rFonts w:hint="eastAsia" w:ascii="宋体" w:hAnsi="宋体" w:cs="宋体"/>
                <w:szCs w:val="21"/>
              </w:rPr>
              <w:t>（3）点击确认</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（1）服务器异常，无法执行操作</w:t>
            </w:r>
          </w:p>
          <w:p>
            <w:pPr>
              <w:rPr>
                <w:rFonts w:ascii="宋体" w:hAnsi="宋体" w:cs="宋体"/>
                <w:szCs w:val="21"/>
              </w:rPr>
            </w:pPr>
            <w:r>
              <w:rPr>
                <w:rFonts w:hint="eastAsia" w:ascii="宋体" w:hAnsi="宋体" w:cs="宋体"/>
                <w:szCs w:val="21"/>
              </w:rPr>
              <w:t>（2）操作不合规，无法获取结果</w:t>
            </w:r>
          </w:p>
        </w:tc>
      </w:tr>
    </w:tbl>
    <w:p>
      <w:pPr>
        <w:spacing w:line="400" w:lineRule="exact"/>
        <w:ind w:firstLine="480" w:firstLineChars="200"/>
        <w:rPr>
          <w:rFonts w:cs="宋体"/>
          <w:sz w:val="24"/>
          <w:szCs w:val="21"/>
        </w:rPr>
      </w:pPr>
      <w:r>
        <w:rPr>
          <w:rFonts w:hint="eastAsia" w:cs="宋体"/>
          <w:sz w:val="24"/>
          <w:szCs w:val="21"/>
        </w:rPr>
        <w:t>根据上文内容，绘出业务员核心用例图如图3.2所示。</w:t>
      </w:r>
    </w:p>
    <w:p>
      <w:pPr>
        <w:spacing w:line="360" w:lineRule="auto"/>
        <w:jc w:val="center"/>
        <w:rPr>
          <w:rFonts w:ascii="宋体" w:hAnsi="宋体" w:cs="宋体"/>
          <w:sz w:val="24"/>
          <w:szCs w:val="21"/>
        </w:rPr>
      </w:pPr>
      <w:r>
        <w:rPr>
          <w:rFonts w:hint="eastAsia" w:ascii="宋体" w:hAnsi="宋体" w:cs="宋体"/>
          <w:sz w:val="24"/>
          <w:szCs w:val="21"/>
        </w:rPr>
        <w:drawing>
          <wp:inline distT="0" distB="0" distL="114300" distR="114300">
            <wp:extent cx="5018405" cy="4968240"/>
            <wp:effectExtent l="0" t="0" r="10795" b="3810"/>
            <wp:docPr id="14" name="图片 14" descr="业务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业务员用例图"/>
                    <pic:cNvPicPr>
                      <a:picLocks noChangeAspect="1"/>
                    </pic:cNvPicPr>
                  </pic:nvPicPr>
                  <pic:blipFill>
                    <a:blip r:embed="rId52"/>
                    <a:stretch>
                      <a:fillRect/>
                    </a:stretch>
                  </pic:blipFill>
                  <pic:spPr>
                    <a:xfrm>
                      <a:off x="0" y="0"/>
                      <a:ext cx="5018405" cy="496824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图3.2 业务员用例图</w:t>
      </w:r>
    </w:p>
    <w:p>
      <w:pPr>
        <w:widowControl/>
        <w:spacing w:before="240" w:after="120"/>
        <w:jc w:val="left"/>
        <w:outlineLvl w:val="2"/>
        <w:rPr>
          <w:rFonts w:eastAsia="黑体" w:cs="黑体"/>
          <w:color w:val="000000"/>
          <w:kern w:val="0"/>
          <w:sz w:val="26"/>
          <w:lang w:bidi="ar"/>
        </w:rPr>
      </w:pPr>
      <w:bookmarkStart w:id="30" w:name="_Toc25261"/>
      <w:r>
        <w:rPr>
          <w:rFonts w:hint="eastAsia" w:eastAsia="黑体" w:cs="黑体"/>
          <w:color w:val="000000"/>
          <w:kern w:val="0"/>
          <w:sz w:val="26"/>
          <w:lang w:bidi="ar"/>
        </w:rPr>
        <w:t>3.3.3  业务对象核心用例</w:t>
      </w:r>
      <w:bookmarkEnd w:id="30"/>
    </w:p>
    <w:p>
      <w:pPr>
        <w:spacing w:line="400" w:lineRule="exact"/>
        <w:ind w:firstLine="480" w:firstLineChars="200"/>
        <w:rPr>
          <w:sz w:val="24"/>
        </w:rPr>
      </w:pPr>
      <w:r>
        <w:rPr>
          <w:rFonts w:hint="eastAsia" w:cs="宋体"/>
          <w:sz w:val="24"/>
          <w:szCs w:val="21"/>
        </w:rPr>
        <w:t>业务对象是整个车联网安全认证业务的服务目标，它的实体不一，可能是智能网联汽车，也可能是路侧设备等其他被认可的车联网构成要素，所共同的地方在于它们的业务请求要通过注册审批机构的审核后由其代向CA申请。</w:t>
      </w:r>
      <w:r>
        <w:rPr>
          <w:rFonts w:hint="eastAsia"/>
          <w:sz w:val="24"/>
        </w:rPr>
        <w:t>业务对象的核心功能需求在下面列出：</w:t>
      </w:r>
    </w:p>
    <w:p>
      <w:pPr>
        <w:spacing w:line="400" w:lineRule="exact"/>
        <w:ind w:firstLine="480" w:firstLineChars="200"/>
        <w:rPr>
          <w:rFonts w:cs="宋体"/>
          <w:sz w:val="24"/>
          <w:szCs w:val="21"/>
        </w:rPr>
      </w:pPr>
      <w:r>
        <w:rPr>
          <w:rFonts w:hint="eastAsia" w:cs="宋体"/>
          <w:sz w:val="24"/>
          <w:szCs w:val="21"/>
        </w:rPr>
        <w:t>（1）证书的申请下载：RA代业务对象向系统提出证书申请请求，系统首先校验参数是否合法、申请方的身份证书是否过期，核查通过之后再检查注册CA的状态以及有效的证书实体信息以及是否不存在此种申请。当这些检查都通过后则进入签发阶段，检查数据库保存的证书公钥是否唯一、处理有效期与模板信息是否合法，一切正常则生成注册证书并返回成功结果。</w:t>
      </w:r>
    </w:p>
    <w:p>
      <w:pPr>
        <w:spacing w:line="400" w:lineRule="exact"/>
        <w:ind w:firstLine="480" w:firstLineChars="200"/>
        <w:rPr>
          <w:rFonts w:cs="宋体"/>
          <w:sz w:val="24"/>
          <w:szCs w:val="21"/>
        </w:rPr>
      </w:pPr>
      <w:r>
        <w:rPr>
          <w:rFonts w:hint="eastAsia" w:cs="宋体"/>
          <w:sz w:val="24"/>
          <w:szCs w:val="21"/>
        </w:rPr>
        <w:t>（2）证书的更新下载：RA代业务对象向系统提出证书更新请求，当收到证书申请请求后，系统首先会校验参数是否合法、申请方的身份证书是否过期，核查通过之后再检查注册CA的状态以及有效的证书实体信息以及是否存在此种申请。当这些检查都通过后则进入签发阶段，检查数据库保存的证书公钥是否唯一、处理有效期与模板信息是否合法，一切正常则生成注册证书并返回成功结果。</w:t>
      </w:r>
    </w:p>
    <w:p>
      <w:pPr>
        <w:spacing w:line="400" w:lineRule="exact"/>
        <w:ind w:firstLine="480" w:firstLineChars="200"/>
        <w:rPr>
          <w:rFonts w:cs="宋体"/>
          <w:sz w:val="24"/>
          <w:szCs w:val="21"/>
        </w:rPr>
      </w:pPr>
      <w:r>
        <w:rPr>
          <w:rFonts w:hint="eastAsia" w:cs="宋体"/>
          <w:sz w:val="24"/>
          <w:szCs w:val="21"/>
        </w:rPr>
        <w:t>（3）证书的作废：在系统收到RA提出的证书作废申请后，在校验过参数无误之后检查注册CA的状态以及有效的证书实体信息以及是否存在此种申请。当这些检查都通过后则将作废信息写入数据库，并生成响应数据反馈给RA。业务中任意环节审查不通过则返回失败结果。</w:t>
      </w:r>
    </w:p>
    <w:p>
      <w:pPr>
        <w:spacing w:line="400" w:lineRule="exact"/>
        <w:ind w:firstLine="480" w:firstLineChars="200"/>
        <w:rPr>
          <w:rFonts w:cs="宋体"/>
          <w:sz w:val="24"/>
          <w:szCs w:val="21"/>
        </w:rPr>
      </w:pPr>
      <w:r>
        <w:rPr>
          <w:rFonts w:hint="eastAsia" w:cs="宋体"/>
          <w:sz w:val="24"/>
          <w:szCs w:val="21"/>
        </w:rPr>
        <w:t>（4）证书的验证：系统收到验证证书的申请后，校验请求是否来自认证的RA，确认无误后根据其查询的对象反馈给其相关验证结果，即此证书是否为本系统所颁发与相关细节。</w:t>
      </w:r>
    </w:p>
    <w:p>
      <w:pPr>
        <w:spacing w:line="400" w:lineRule="exact"/>
        <w:ind w:firstLine="480" w:firstLineChars="200"/>
        <w:rPr>
          <w:rFonts w:cs="宋体"/>
          <w:sz w:val="24"/>
          <w:szCs w:val="21"/>
        </w:rPr>
      </w:pPr>
      <w:r>
        <w:rPr>
          <w:rFonts w:hint="eastAsia" w:cs="宋体"/>
          <w:sz w:val="24"/>
          <w:szCs w:val="21"/>
        </w:rPr>
        <w:t>根据上文内容，绘出业务对象核心用例图如图3.3所示。</w:t>
      </w:r>
    </w:p>
    <w:p>
      <w:pPr>
        <w:jc w:val="center"/>
        <w:rPr>
          <w:rFonts w:ascii="宋体" w:hAnsi="宋体" w:cs="宋体"/>
          <w:sz w:val="24"/>
          <w:szCs w:val="21"/>
        </w:rPr>
      </w:pPr>
      <w:r>
        <w:rPr>
          <w:rFonts w:ascii="宋体" w:hAnsi="宋体" w:cs="宋体"/>
          <w:sz w:val="24"/>
          <w:szCs w:val="21"/>
        </w:rPr>
        <w:drawing>
          <wp:inline distT="0" distB="0" distL="114300" distR="114300">
            <wp:extent cx="3573145" cy="5379720"/>
            <wp:effectExtent l="0" t="0" r="8255" b="11430"/>
            <wp:docPr id="62" name="图片 62" descr="业务对象用例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业务对象用例 新"/>
                    <pic:cNvPicPr>
                      <a:picLocks noChangeAspect="1"/>
                    </pic:cNvPicPr>
                  </pic:nvPicPr>
                  <pic:blipFill>
                    <a:blip r:embed="rId53"/>
                    <a:stretch>
                      <a:fillRect/>
                    </a:stretch>
                  </pic:blipFill>
                  <pic:spPr>
                    <a:xfrm>
                      <a:off x="0" y="0"/>
                      <a:ext cx="3573145" cy="537972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图3.3 业务对象用例图</w:t>
      </w:r>
    </w:p>
    <w:p>
      <w:pPr>
        <w:spacing w:line="400" w:lineRule="exact"/>
        <w:ind w:firstLine="480" w:firstLineChars="200"/>
        <w:rPr>
          <w:rFonts w:cs="宋体"/>
          <w:sz w:val="24"/>
          <w:szCs w:val="21"/>
        </w:rPr>
      </w:pPr>
      <w:r>
        <w:rPr>
          <w:rFonts w:hint="eastAsia" w:cs="宋体"/>
          <w:sz w:val="24"/>
          <w:szCs w:val="21"/>
        </w:rPr>
        <w:t>接下来以证书申请下载为例进行角色的用例说明，业务对象的需求进行用例描述如表3.4所示。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w:t>
      </w:r>
      <w:r>
        <w:rPr>
          <w:rFonts w:hint="eastAsia" w:ascii="黑体" w:hAnsi="黑体" w:eastAsia="黑体" w:cs="黑体"/>
          <w:szCs w:val="21"/>
        </w:rPr>
        <w:t>4</w:t>
      </w:r>
      <w:r>
        <w:rPr>
          <w:rFonts w:hint="eastAsia" w:ascii="黑体" w:hAnsi="黑体" w:eastAsia="黑体" w:cs="黑体"/>
          <w:szCs w:val="21"/>
          <w:lang w:eastAsia="zh-Hans"/>
        </w:rPr>
        <w:t xml:space="preserve"> </w:t>
      </w:r>
      <w:r>
        <w:rPr>
          <w:rFonts w:hint="eastAsia" w:ascii="黑体" w:hAnsi="黑体" w:eastAsia="黑体" w:cs="黑体"/>
          <w:szCs w:val="21"/>
        </w:rPr>
        <w:t>证书申请下载</w:t>
      </w:r>
      <w:r>
        <w:rPr>
          <w:rFonts w:hint="eastAsia" w:ascii="黑体" w:hAnsi="黑体" w:eastAsia="黑体" w:cs="黑体"/>
          <w:szCs w:val="21"/>
          <w:lang w:eastAsia="zh-Hans"/>
        </w:rPr>
        <w:t>用例描述</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证书申请下载</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业务对象申请下载证书</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rPr>
            </w:pPr>
            <w:r>
              <w:rPr>
                <w:rFonts w:hint="eastAsia" w:ascii="宋体" w:hAnsi="宋体" w:cs="宋体"/>
                <w:szCs w:val="21"/>
              </w:rPr>
              <w:t>业务对象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rPr>
              <w:t>RA认可此对象并向系统发出申请</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rPr>
              <w:t>系统接收到RA的申请</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（2）填写必要字段补足信息</w:t>
            </w:r>
          </w:p>
          <w:p>
            <w:pPr>
              <w:rPr>
                <w:rFonts w:ascii="宋体" w:hAnsi="宋体" w:cs="宋体"/>
                <w:szCs w:val="21"/>
                <w:lang w:eastAsia="zh-Hans"/>
              </w:rPr>
            </w:pPr>
            <w:r>
              <w:rPr>
                <w:rFonts w:hint="eastAsia" w:ascii="宋体" w:hAnsi="宋体" w:cs="宋体"/>
                <w:szCs w:val="21"/>
              </w:rPr>
              <w:t>（3）点击确认</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（1）申请未成功传到系统</w:t>
            </w:r>
          </w:p>
          <w:p>
            <w:pPr>
              <w:rPr>
                <w:rFonts w:ascii="宋体" w:hAnsi="宋体" w:cs="宋体"/>
                <w:szCs w:val="21"/>
              </w:rPr>
            </w:pPr>
            <w:r>
              <w:rPr>
                <w:rFonts w:hint="eastAsia" w:ascii="宋体" w:hAnsi="宋体" w:cs="宋体"/>
                <w:szCs w:val="21"/>
              </w:rPr>
              <w:t>（2）参数有问题，申请失败</w:t>
            </w:r>
          </w:p>
          <w:p>
            <w:pPr>
              <w:rPr>
                <w:rFonts w:ascii="宋体" w:hAnsi="宋体" w:cs="宋体"/>
                <w:szCs w:val="21"/>
              </w:rPr>
            </w:pPr>
            <w:r>
              <w:rPr>
                <w:rFonts w:hint="eastAsia" w:ascii="宋体" w:hAnsi="宋体" w:cs="宋体"/>
                <w:szCs w:val="21"/>
              </w:rPr>
              <w:t>（3）申请方证书过期，业务不合规</w:t>
            </w:r>
          </w:p>
        </w:tc>
      </w:tr>
    </w:tbl>
    <w:p>
      <w:pPr>
        <w:spacing w:before="480" w:after="120"/>
        <w:outlineLvl w:val="1"/>
        <w:rPr>
          <w:rFonts w:ascii="黑体" w:hAnsi="宋体" w:eastAsia="黑体"/>
          <w:color w:val="000000"/>
          <w:sz w:val="28"/>
          <w:szCs w:val="28"/>
        </w:rPr>
      </w:pPr>
      <w:bookmarkStart w:id="31" w:name="_Toc29612"/>
      <w:r>
        <w:rPr>
          <w:rFonts w:hint="eastAsia" w:ascii="黑体" w:hAnsi="宋体" w:eastAsia="黑体"/>
          <w:color w:val="000000"/>
          <w:sz w:val="28"/>
          <w:szCs w:val="28"/>
        </w:rPr>
        <w:t>3.4  非功能性需求</w:t>
      </w:r>
      <w:bookmarkEnd w:id="31"/>
    </w:p>
    <w:p>
      <w:pPr>
        <w:widowControl/>
        <w:spacing w:before="240" w:after="120"/>
        <w:jc w:val="left"/>
        <w:outlineLvl w:val="2"/>
        <w:rPr>
          <w:rFonts w:eastAsia="黑体" w:cs="黑体"/>
          <w:color w:val="000000"/>
          <w:kern w:val="0"/>
          <w:sz w:val="26"/>
          <w:lang w:bidi="ar"/>
        </w:rPr>
      </w:pPr>
      <w:bookmarkStart w:id="32" w:name="_Toc15175"/>
      <w:r>
        <w:rPr>
          <w:rFonts w:hint="eastAsia" w:eastAsia="黑体" w:cs="黑体"/>
          <w:color w:val="000000"/>
          <w:kern w:val="0"/>
          <w:sz w:val="26"/>
          <w:lang w:bidi="ar"/>
        </w:rPr>
        <w:t>3.4.1  性能需求</w:t>
      </w:r>
      <w:bookmarkEnd w:id="32"/>
    </w:p>
    <w:p>
      <w:pPr>
        <w:spacing w:line="400" w:lineRule="exact"/>
        <w:ind w:firstLine="480" w:firstLineChars="200"/>
        <w:rPr>
          <w:rFonts w:cs="宋体"/>
          <w:sz w:val="24"/>
          <w:szCs w:val="21"/>
        </w:rPr>
      </w:pPr>
      <w:r>
        <w:rPr>
          <w:rFonts w:hint="eastAsia" w:cs="宋体"/>
          <w:sz w:val="24"/>
          <w:szCs w:val="21"/>
        </w:rPr>
        <w:t>系统整体性能要求如下：</w:t>
      </w:r>
    </w:p>
    <w:p>
      <w:pPr>
        <w:numPr>
          <w:ilvl w:val="0"/>
          <w:numId w:val="24"/>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24"/>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24"/>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24"/>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24"/>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33" w:name="_Toc13661"/>
      <w:r>
        <w:rPr>
          <w:rFonts w:hint="eastAsia" w:eastAsia="黑体" w:cs="黑体"/>
          <w:color w:val="000000"/>
          <w:kern w:val="0"/>
          <w:sz w:val="26"/>
          <w:lang w:bidi="ar"/>
        </w:rPr>
        <w:t>3.4.2  可扩展性与可维护性</w:t>
      </w:r>
      <w:bookmarkEnd w:id="33"/>
    </w:p>
    <w:p>
      <w:pPr>
        <w:widowControl/>
        <w:spacing w:line="400" w:lineRule="exact"/>
        <w:ind w:firstLine="480" w:firstLineChars="200"/>
        <w:jc w:val="left"/>
        <w:rPr>
          <w:sz w:val="24"/>
        </w:rPr>
      </w:pPr>
      <w:r>
        <w:rPr>
          <w:rFonts w:hint="eastAsia" w:cs="宋体"/>
          <w:color w:val="000000"/>
          <w:kern w:val="0"/>
          <w:sz w:val="24"/>
          <w:lang w:bidi="ar"/>
        </w:rPr>
        <w:t>设计阶段应充分调研安全认证业务在3至5年内的发展前景，充分考虑系统升级、扩展、修改和维护的可操作性，需要在对未来的系统建设方面给出合理的解决方案。系统的总体体系架构应该在未来5年内保持相对稳定，同时必须能够满足可扩展的要求，主要表现在对于业务需求和数据变化要能够适应。</w:t>
      </w:r>
    </w:p>
    <w:p>
      <w:pPr>
        <w:widowControl/>
        <w:spacing w:line="400" w:lineRule="exact"/>
        <w:ind w:firstLine="480" w:firstLineChars="200"/>
        <w:jc w:val="left"/>
        <w:rPr>
          <w:color w:val="000000"/>
          <w:sz w:val="24"/>
        </w:rPr>
      </w:pPr>
      <w:r>
        <w:rPr>
          <w:rFonts w:hint="eastAsia" w:cs="宋体"/>
          <w:color w:val="000000"/>
          <w:kern w:val="0"/>
          <w:sz w:val="24"/>
          <w:lang w:bidi="ar"/>
        </w:rPr>
        <w:t>系统的可维护性主要体现在系统的可管理性、持续的系统调优能力两个方面。要提供成熟的系统管理项，满足对系统各方面维护的要求，实现日常运行过程中系统的审核、监查、管控，维护时间可控制在5小时以内，保证系统的运行随着维护时间的增加可以逐渐趋于稳定和最优化。</w:t>
      </w:r>
    </w:p>
    <w:p>
      <w:pPr>
        <w:widowControl/>
        <w:spacing w:before="240" w:after="120"/>
        <w:jc w:val="left"/>
        <w:outlineLvl w:val="2"/>
        <w:rPr>
          <w:rFonts w:eastAsia="黑体" w:cs="黑体"/>
          <w:color w:val="000000"/>
          <w:kern w:val="0"/>
          <w:sz w:val="26"/>
          <w:lang w:bidi="ar"/>
        </w:rPr>
      </w:pPr>
      <w:bookmarkStart w:id="34" w:name="_Toc21081"/>
      <w:r>
        <w:rPr>
          <w:rFonts w:hint="eastAsia" w:eastAsia="黑体" w:cs="黑体"/>
          <w:color w:val="000000"/>
          <w:kern w:val="0"/>
          <w:sz w:val="26"/>
          <w:lang w:bidi="ar"/>
        </w:rPr>
        <w:t>3.4.3  易用性与可执行性</w:t>
      </w:r>
      <w:bookmarkEnd w:id="34"/>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35" w:name="_Toc8160"/>
      <w:r>
        <w:rPr>
          <w:rFonts w:hint="eastAsia" w:eastAsia="黑体" w:cs="黑体"/>
          <w:color w:val="000000"/>
          <w:kern w:val="0"/>
          <w:sz w:val="26"/>
          <w:lang w:bidi="ar"/>
        </w:rPr>
        <w:t>3.4.4  安全性需求</w:t>
      </w:r>
      <w:bookmarkEnd w:id="35"/>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36" w:name="_Toc14148"/>
      <w:r>
        <w:rPr>
          <w:rFonts w:hint="eastAsia" w:ascii="黑体" w:hAnsi="宋体" w:eastAsia="黑体"/>
          <w:color w:val="000000"/>
          <w:sz w:val="28"/>
          <w:szCs w:val="28"/>
        </w:rPr>
        <w:t>3.5  本章小结</w:t>
      </w:r>
      <w:bookmarkEnd w:id="36"/>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37" w:name="_Toc26843"/>
      <w:r>
        <w:rPr>
          <w:rFonts w:hint="eastAsia" w:ascii="黑体" w:hAnsi="黑体" w:eastAsia="黑体"/>
          <w:color w:val="000000"/>
          <w:sz w:val="32"/>
          <w:szCs w:val="32"/>
        </w:rPr>
        <w:t>第4章  系统概要设计</w:t>
      </w:r>
      <w:bookmarkEnd w:id="37"/>
    </w:p>
    <w:p>
      <w:pPr>
        <w:spacing w:before="480" w:after="120"/>
        <w:outlineLvl w:val="1"/>
        <w:rPr>
          <w:rFonts w:ascii="黑体" w:hAnsi="宋体" w:eastAsia="黑体"/>
          <w:color w:val="000000"/>
          <w:sz w:val="28"/>
          <w:szCs w:val="28"/>
        </w:rPr>
      </w:pPr>
      <w:bookmarkStart w:id="38" w:name="_Toc17859"/>
      <w:r>
        <w:rPr>
          <w:rFonts w:hint="eastAsia" w:ascii="黑体" w:hAnsi="宋体" w:eastAsia="黑体"/>
          <w:color w:val="000000"/>
          <w:sz w:val="28"/>
          <w:szCs w:val="28"/>
        </w:rPr>
        <w:t>4.1  系统设计目标和原则</w:t>
      </w:r>
      <w:bookmarkEnd w:id="38"/>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39" w:name="_Toc3896"/>
      <w:r>
        <w:rPr>
          <w:rFonts w:hint="eastAsia" w:ascii="黑体" w:hAnsi="宋体" w:eastAsia="黑体"/>
          <w:color w:val="000000"/>
          <w:sz w:val="28"/>
          <w:szCs w:val="28"/>
        </w:rPr>
        <w:t>4.2  系统静态结构设计</w:t>
      </w:r>
      <w:bookmarkEnd w:id="39"/>
    </w:p>
    <w:p>
      <w:pPr>
        <w:widowControl/>
        <w:spacing w:before="240" w:after="120"/>
        <w:jc w:val="left"/>
        <w:outlineLvl w:val="2"/>
        <w:rPr>
          <w:rFonts w:eastAsia="黑体" w:cs="黑体"/>
          <w:color w:val="000000"/>
          <w:kern w:val="0"/>
          <w:sz w:val="26"/>
          <w:lang w:bidi="ar"/>
        </w:rPr>
      </w:pPr>
      <w:bookmarkStart w:id="40" w:name="_Toc12992"/>
      <w:r>
        <w:rPr>
          <w:rFonts w:hint="eastAsia" w:eastAsia="黑体" w:cs="黑体"/>
          <w:color w:val="000000"/>
          <w:kern w:val="0"/>
          <w:sz w:val="26"/>
          <w:lang w:bidi="ar"/>
        </w:rPr>
        <w:t>4.2.1  拓扑结构设计</w:t>
      </w:r>
      <w:bookmarkEnd w:id="40"/>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4"/>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41" w:name="_Toc10015"/>
      <w:r>
        <w:rPr>
          <w:rFonts w:hint="eastAsia" w:eastAsia="黑体" w:cs="黑体"/>
          <w:color w:val="000000"/>
          <w:kern w:val="0"/>
          <w:sz w:val="26"/>
          <w:lang w:bidi="ar"/>
        </w:rPr>
        <w:t>4.2.2  管理子系统设计</w:t>
      </w:r>
      <w:bookmarkEnd w:id="41"/>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25"/>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25"/>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25"/>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5"/>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42" w:name="_Toc20746"/>
      <w:r>
        <w:rPr>
          <w:rFonts w:hint="eastAsia" w:eastAsia="黑体" w:cs="黑体"/>
          <w:color w:val="000000"/>
          <w:kern w:val="0"/>
          <w:sz w:val="26"/>
          <w:lang w:bidi="ar"/>
        </w:rPr>
        <w:t>4.2.3  业务子系统设计</w:t>
      </w:r>
      <w:bookmarkEnd w:id="42"/>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6"/>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43" w:name="_Toc4706"/>
      <w:r>
        <w:rPr>
          <w:rFonts w:hint="eastAsia" w:ascii="黑体" w:hAnsi="宋体" w:eastAsia="黑体"/>
          <w:color w:val="000000"/>
          <w:sz w:val="28"/>
          <w:szCs w:val="28"/>
        </w:rPr>
        <w:t>4.3  系统动态结构设计</w:t>
      </w:r>
      <w:bookmarkEnd w:id="43"/>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44" w:name="_Toc21628"/>
      <w:r>
        <w:rPr>
          <w:rFonts w:hint="eastAsia" w:eastAsia="黑体" w:cs="黑体"/>
          <w:color w:val="000000"/>
          <w:kern w:val="0"/>
          <w:sz w:val="26"/>
          <w:lang w:bidi="ar"/>
        </w:rPr>
        <w:t>4.3.1  管理子系统动态结构</w:t>
      </w:r>
      <w:bookmarkEnd w:id="44"/>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7"/>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45" w:name="_Toc29049"/>
      <w:r>
        <w:rPr>
          <w:rFonts w:hint="eastAsia" w:eastAsia="黑体" w:cs="黑体"/>
          <w:color w:val="000000"/>
          <w:kern w:val="0"/>
          <w:sz w:val="26"/>
          <w:lang w:bidi="ar"/>
        </w:rPr>
        <w:t>4.3.2  业务子系统动态结构</w:t>
      </w:r>
      <w:bookmarkEnd w:id="45"/>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8"/>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46" w:name="_Toc20369"/>
      <w:r>
        <w:rPr>
          <w:rFonts w:hint="eastAsia" w:ascii="黑体" w:hAnsi="宋体" w:eastAsia="黑体"/>
          <w:color w:val="000000"/>
          <w:sz w:val="28"/>
          <w:szCs w:val="28"/>
        </w:rPr>
        <w:t>4.4  本章小结</w:t>
      </w:r>
      <w:bookmarkEnd w:id="46"/>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47" w:name="_Toc14668"/>
      <w:r>
        <w:rPr>
          <w:rFonts w:hint="eastAsia" w:ascii="黑体" w:hAnsi="黑体" w:eastAsia="黑体"/>
          <w:color w:val="000000"/>
          <w:sz w:val="32"/>
          <w:szCs w:val="32"/>
        </w:rPr>
        <w:t>第5章  系统详细设计</w:t>
      </w:r>
      <w:bookmarkEnd w:id="47"/>
    </w:p>
    <w:p>
      <w:pPr>
        <w:spacing w:before="480" w:after="120"/>
        <w:outlineLvl w:val="1"/>
        <w:rPr>
          <w:rFonts w:ascii="黑体" w:hAnsi="宋体" w:eastAsia="黑体"/>
          <w:color w:val="000000"/>
          <w:sz w:val="28"/>
          <w:szCs w:val="28"/>
        </w:rPr>
      </w:pPr>
      <w:bookmarkStart w:id="48" w:name="_Toc18051"/>
      <w:r>
        <w:rPr>
          <w:rFonts w:hint="eastAsia" w:ascii="黑体" w:hAnsi="宋体" w:eastAsia="黑体"/>
          <w:color w:val="000000"/>
          <w:sz w:val="28"/>
          <w:szCs w:val="28"/>
        </w:rPr>
        <w:t>5.1  详细设计目标</w:t>
      </w:r>
      <w:bookmarkEnd w:id="48"/>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49" w:name="_Toc31831"/>
      <w:r>
        <w:rPr>
          <w:rFonts w:hint="eastAsia" w:ascii="黑体" w:hAnsi="宋体" w:eastAsia="黑体"/>
          <w:color w:val="000000"/>
          <w:sz w:val="28"/>
          <w:szCs w:val="28"/>
        </w:rPr>
        <w:t>5.2  业务子系统设计</w:t>
      </w:r>
      <w:bookmarkEnd w:id="49"/>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50" w:name="_Toc19550"/>
      <w:r>
        <w:rPr>
          <w:rFonts w:hint="eastAsia" w:eastAsia="黑体" w:cs="黑体"/>
          <w:color w:val="000000"/>
          <w:kern w:val="0"/>
          <w:sz w:val="26"/>
          <w:lang w:bidi="ar"/>
        </w:rPr>
        <w:t>5.2.1  安全认证逻辑设计</w:t>
      </w:r>
      <w:bookmarkEnd w:id="50"/>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9"/>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51" w:name="_Toc10738"/>
      <w:r>
        <w:rPr>
          <w:rFonts w:hint="eastAsia" w:eastAsia="黑体" w:cs="黑体"/>
          <w:color w:val="000000"/>
          <w:kern w:val="0"/>
          <w:sz w:val="26"/>
          <w:lang w:bidi="ar"/>
        </w:rPr>
        <w:t>5.2.2  系统安全通信设计</w:t>
      </w:r>
      <w:bookmarkEnd w:id="5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60"/>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6"/>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6"/>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6"/>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6"/>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52" w:name="_Toc432"/>
      <w:r>
        <w:rPr>
          <w:rFonts w:hint="eastAsia" w:eastAsia="黑体" w:cs="黑体"/>
          <w:color w:val="000000"/>
          <w:kern w:val="0"/>
          <w:sz w:val="26"/>
          <w:lang w:bidi="ar"/>
        </w:rPr>
        <w:t>5.2.3  安全认证业务设计</w:t>
      </w:r>
      <w:bookmarkEnd w:id="5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4"/>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7"/>
        </w:numPr>
        <w:spacing w:line="400" w:lineRule="exact"/>
        <w:ind w:firstLine="480"/>
        <w:rPr>
          <w:rFonts w:cs="宋体"/>
          <w:color w:val="000000"/>
          <w:sz w:val="24"/>
        </w:rPr>
      </w:pPr>
      <w:r>
        <w:rPr>
          <w:rFonts w:hint="eastAsia" w:cs="宋体"/>
          <w:color w:val="000000"/>
          <w:sz w:val="24"/>
        </w:rPr>
        <w:t>生成空白证书模板；</w:t>
      </w:r>
    </w:p>
    <w:p>
      <w:pPr>
        <w:numPr>
          <w:ilvl w:val="0"/>
          <w:numId w:val="27"/>
        </w:numPr>
        <w:spacing w:line="400" w:lineRule="exact"/>
        <w:ind w:firstLine="480"/>
        <w:rPr>
          <w:rFonts w:cs="宋体"/>
          <w:color w:val="000000"/>
          <w:sz w:val="24"/>
        </w:rPr>
      </w:pPr>
      <w:r>
        <w:rPr>
          <w:rFonts w:hint="eastAsia" w:cs="宋体"/>
          <w:color w:val="000000"/>
          <w:sz w:val="24"/>
        </w:rPr>
        <w:t>生成SM2算法的密钥对；</w:t>
      </w:r>
    </w:p>
    <w:p>
      <w:pPr>
        <w:numPr>
          <w:ilvl w:val="0"/>
          <w:numId w:val="27"/>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7"/>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7"/>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7"/>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7"/>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4"/>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5"/>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5"/>
                <w:lang w:bidi="ar"/>
              </w:rPr>
              <w:t xml:space="preserve"> crlSeries </w:t>
            </w:r>
            <w:r>
              <w:rPr>
                <w:rStyle w:val="26"/>
                <w:rFonts w:hint="default" w:ascii="Times New Roman" w:hAnsi="Times New Roman"/>
                <w:lang w:bidi="ar"/>
              </w:rPr>
              <w:t>和</w:t>
            </w:r>
            <w:r>
              <w:rPr>
                <w:rStyle w:val="25"/>
                <w:lang w:bidi="ar"/>
              </w:rPr>
              <w:t xml:space="preserve">crlCraca </w:t>
            </w:r>
            <w:r>
              <w:rPr>
                <w:rStyle w:val="26"/>
                <w:rFonts w:hint="default" w:ascii="Times New Roman" w:hAnsi="Times New Roman"/>
                <w:lang w:bidi="ar"/>
              </w:rPr>
              <w:t>的下一个</w:t>
            </w:r>
            <w:r>
              <w:rPr>
                <w:rStyle w:val="25"/>
                <w:lang w:bidi="ar"/>
              </w:rPr>
              <w:t xml:space="preserve"> CRL </w:t>
            </w:r>
            <w:r>
              <w:rPr>
                <w:rStyle w:val="26"/>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5"/>
                <w:lang w:bidi="ar"/>
              </w:rPr>
              <w:br w:type="textWrapping"/>
            </w:r>
            <w:r>
              <w:rPr>
                <w:rStyle w:val="26"/>
                <w:rFonts w:hint="default" w:ascii="Times New Roman" w:hAnsi="Times New Roman"/>
                <w:lang w:bidi="ar"/>
              </w:rPr>
              <w:t>设备确定要保留哪些撤销信息以及丢</w:t>
            </w:r>
            <w:r>
              <w:rPr>
                <w:rStyle w:val="25"/>
                <w:lang w:bidi="ar"/>
              </w:rPr>
              <w:br w:type="textWrapping"/>
            </w:r>
            <w:r>
              <w:rPr>
                <w:rStyle w:val="26"/>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8"/>
        </w:numPr>
        <w:spacing w:line="400" w:lineRule="exact"/>
        <w:rPr>
          <w:rFonts w:cs="宋体"/>
          <w:color w:val="000000"/>
          <w:sz w:val="24"/>
        </w:rPr>
      </w:pPr>
      <w:r>
        <w:rPr>
          <w:rFonts w:hint="eastAsia" w:cs="宋体"/>
          <w:color w:val="000000"/>
          <w:sz w:val="24"/>
        </w:rPr>
        <w:t>异常行为管理机构识别到异常信息；</w:t>
      </w:r>
    </w:p>
    <w:p>
      <w:pPr>
        <w:numPr>
          <w:ilvl w:val="0"/>
          <w:numId w:val="28"/>
        </w:numPr>
        <w:spacing w:line="400" w:lineRule="exact"/>
        <w:rPr>
          <w:rFonts w:cs="宋体"/>
          <w:color w:val="000000"/>
          <w:sz w:val="24"/>
        </w:rPr>
      </w:pPr>
      <w:r>
        <w:rPr>
          <w:rFonts w:hint="eastAsia" w:cs="宋体"/>
          <w:color w:val="000000"/>
          <w:sz w:val="24"/>
        </w:rPr>
        <w:t>RA系统核实有问题后上报CA系统；</w:t>
      </w:r>
    </w:p>
    <w:p>
      <w:pPr>
        <w:numPr>
          <w:ilvl w:val="0"/>
          <w:numId w:val="28"/>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8"/>
        </w:numPr>
        <w:spacing w:line="400" w:lineRule="exact"/>
        <w:rPr>
          <w:rFonts w:cs="宋体"/>
          <w:color w:val="000000"/>
          <w:sz w:val="24"/>
        </w:rPr>
      </w:pPr>
      <w:r>
        <w:rPr>
          <w:rFonts w:hint="eastAsia" w:cs="宋体"/>
          <w:color w:val="000000"/>
          <w:sz w:val="24"/>
        </w:rPr>
        <w:t>RA系统申请下载当前CRL；</w:t>
      </w:r>
    </w:p>
    <w:p>
      <w:pPr>
        <w:numPr>
          <w:ilvl w:val="0"/>
          <w:numId w:val="28"/>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7"/>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53" w:name="_Toc23737"/>
      <w:r>
        <w:rPr>
          <w:rFonts w:hint="eastAsia" w:ascii="黑体" w:hAnsi="宋体" w:eastAsia="黑体"/>
          <w:color w:val="000000"/>
          <w:sz w:val="28"/>
          <w:szCs w:val="28"/>
        </w:rPr>
        <w:t>5.3  安全管理员模块设计</w:t>
      </w:r>
      <w:bookmarkEnd w:id="5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54" w:name="_Toc18880"/>
      <w:r>
        <w:rPr>
          <w:rFonts w:hint="eastAsia" w:eastAsia="黑体" w:cs="黑体"/>
          <w:color w:val="000000"/>
          <w:kern w:val="0"/>
          <w:sz w:val="26"/>
          <w:lang w:bidi="ar"/>
        </w:rPr>
        <w:t>5.3.1  用户证书管理设计</w:t>
      </w:r>
      <w:bookmarkEnd w:id="5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61"/>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2"/>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55" w:name="_Toc22900"/>
      <w:r>
        <w:rPr>
          <w:rFonts w:hint="eastAsia" w:eastAsia="黑体" w:cs="黑体"/>
          <w:color w:val="000000"/>
          <w:kern w:val="0"/>
          <w:sz w:val="26"/>
          <w:lang w:bidi="ar"/>
        </w:rPr>
        <w:t>5.3.2  MCA管理设计</w:t>
      </w:r>
      <w:bookmarkEnd w:id="5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4"/>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56" w:name="_Toc29296"/>
      <w:r>
        <w:rPr>
          <w:rFonts w:hint="eastAsia" w:eastAsia="黑体" w:cs="黑体"/>
          <w:color w:val="000000"/>
          <w:kern w:val="0"/>
          <w:sz w:val="26"/>
          <w:lang w:bidi="ar"/>
        </w:rPr>
        <w:t>5.3.3  业务CA管理设计</w:t>
      </w:r>
      <w:bookmarkEnd w:id="5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6"/>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57" w:name="_Toc10725"/>
      <w:r>
        <w:rPr>
          <w:rFonts w:hint="eastAsia" w:eastAsia="黑体" w:cs="黑体"/>
          <w:color w:val="000000"/>
          <w:kern w:val="0"/>
          <w:sz w:val="26"/>
          <w:lang w:bidi="ar"/>
        </w:rPr>
        <w:t>5.3.4  系统安全功能设计</w:t>
      </w:r>
      <w:bookmarkEnd w:id="5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7"/>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8"/>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58" w:name="_Toc11317"/>
      <w:r>
        <w:rPr>
          <w:rFonts w:hint="eastAsia" w:ascii="黑体" w:hAnsi="宋体" w:eastAsia="黑体"/>
          <w:color w:val="000000"/>
          <w:sz w:val="28"/>
          <w:szCs w:val="28"/>
        </w:rPr>
        <w:t>5.4  业务员模块设计</w:t>
      </w:r>
      <w:bookmarkEnd w:id="5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59" w:name="_Toc23403"/>
      <w:r>
        <w:rPr>
          <w:rFonts w:hint="eastAsia" w:eastAsia="黑体" w:cs="黑体"/>
          <w:color w:val="000000"/>
          <w:kern w:val="0"/>
          <w:sz w:val="26"/>
          <w:lang w:bidi="ar"/>
        </w:rPr>
        <w:t>5.4.1  RA管理设计</w:t>
      </w:r>
      <w:bookmarkEnd w:id="5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9"/>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70"/>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60" w:name="_Toc23241"/>
      <w:r>
        <w:rPr>
          <w:rFonts w:hint="eastAsia" w:eastAsia="黑体" w:cs="黑体"/>
          <w:color w:val="000000"/>
          <w:kern w:val="0"/>
          <w:sz w:val="26"/>
          <w:lang w:bidi="ar"/>
        </w:rPr>
        <w:t>5.4.2  终端证书管理设计</w:t>
      </w:r>
      <w:bookmarkEnd w:id="6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2"/>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61" w:name="_Toc26460"/>
      <w:r>
        <w:rPr>
          <w:rFonts w:hint="eastAsia" w:eastAsia="黑体" w:cs="黑体"/>
          <w:color w:val="000000"/>
          <w:kern w:val="0"/>
          <w:sz w:val="26"/>
          <w:lang w:bidi="ar"/>
        </w:rPr>
        <w:t>5.4.3  证书模板管理设计</w:t>
      </w:r>
      <w:bookmarkEnd w:id="6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3"/>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4"/>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62" w:name="_Toc19594"/>
      <w:r>
        <w:rPr>
          <w:rFonts w:hint="eastAsia" w:eastAsia="黑体" w:cs="黑体"/>
          <w:color w:val="000000"/>
          <w:kern w:val="0"/>
          <w:sz w:val="26"/>
          <w:lang w:bidi="ar"/>
        </w:rPr>
        <w:t>5.4.4  互联信息管理设计</w:t>
      </w:r>
      <w:bookmarkEnd w:id="6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5"/>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6"/>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63" w:name="_Toc15229"/>
      <w:r>
        <w:rPr>
          <w:rFonts w:hint="eastAsia" w:eastAsia="黑体" w:cs="黑体"/>
          <w:color w:val="000000"/>
          <w:kern w:val="0"/>
          <w:sz w:val="26"/>
          <w:lang w:bidi="ar"/>
        </w:rPr>
        <w:t>5.4.5  系统业务功能设计</w:t>
      </w:r>
      <w:bookmarkEnd w:id="6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7"/>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8"/>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64" w:name="_Toc5532"/>
      <w:r>
        <w:rPr>
          <w:rFonts w:hint="eastAsia" w:ascii="黑体" w:hAnsi="宋体" w:eastAsia="黑体"/>
          <w:color w:val="000000"/>
          <w:sz w:val="28"/>
          <w:szCs w:val="28"/>
        </w:rPr>
        <w:t>5.5  数据库设计</w:t>
      </w:r>
      <w:bookmarkEnd w:id="6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65" w:name="_Toc19212"/>
      <w:r>
        <w:rPr>
          <w:rFonts w:hint="eastAsia" w:eastAsia="黑体" w:cs="黑体"/>
          <w:color w:val="000000"/>
          <w:kern w:val="0"/>
          <w:sz w:val="26"/>
          <w:lang w:bidi="ar"/>
        </w:rPr>
        <w:t>5.5.1  安全管理员数据模型设计</w:t>
      </w:r>
      <w:bookmarkEnd w:id="6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66" w:name="_Toc30020"/>
      <w:r>
        <w:rPr>
          <w:rFonts w:hint="eastAsia" w:eastAsia="黑体" w:cs="黑体"/>
          <w:color w:val="000000"/>
          <w:kern w:val="0"/>
          <w:sz w:val="26"/>
          <w:lang w:bidi="ar"/>
        </w:rPr>
        <w:t>5.5.2  业务员数据模型设计</w:t>
      </w:r>
      <w:bookmarkEnd w:id="6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9"/>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9"/>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4"/>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4"/>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67" w:name="_Toc5423"/>
      <w:r>
        <w:rPr>
          <w:rFonts w:hint="eastAsia" w:eastAsia="黑体" w:cs="黑体"/>
          <w:color w:val="000000"/>
          <w:kern w:val="0"/>
          <w:sz w:val="26"/>
          <w:lang w:bidi="ar"/>
        </w:rPr>
        <w:t>5.5.3  安全认证业务数据模型设计</w:t>
      </w:r>
      <w:bookmarkEnd w:id="6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68" w:name="_Toc13255"/>
      <w:r>
        <w:rPr>
          <w:rFonts w:hint="eastAsia" w:ascii="黑体" w:hAnsi="宋体" w:eastAsia="黑体"/>
          <w:color w:val="000000"/>
          <w:sz w:val="28"/>
          <w:szCs w:val="28"/>
        </w:rPr>
        <w:t>5.6  本章小结</w:t>
      </w:r>
      <w:bookmarkEnd w:id="6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69" w:name="_Toc20287"/>
      <w:r>
        <w:rPr>
          <w:rFonts w:hint="eastAsia" w:ascii="黑体" w:hAnsi="黑体" w:eastAsia="黑体"/>
          <w:color w:val="000000"/>
          <w:sz w:val="32"/>
          <w:szCs w:val="32"/>
        </w:rPr>
        <w:t>第6章  系统实现与测试</w:t>
      </w:r>
      <w:bookmarkEnd w:id="69"/>
    </w:p>
    <w:p>
      <w:pPr>
        <w:spacing w:before="480" w:after="120"/>
        <w:outlineLvl w:val="1"/>
        <w:rPr>
          <w:rFonts w:ascii="黑体" w:hAnsi="宋体" w:eastAsia="黑体"/>
          <w:color w:val="000000"/>
          <w:sz w:val="28"/>
          <w:szCs w:val="28"/>
        </w:rPr>
      </w:pPr>
      <w:bookmarkStart w:id="70" w:name="_Toc24059"/>
      <w:r>
        <w:rPr>
          <w:rFonts w:hint="eastAsia" w:ascii="黑体" w:hAnsi="宋体" w:eastAsia="黑体"/>
          <w:color w:val="000000"/>
          <w:sz w:val="28"/>
          <w:szCs w:val="28"/>
        </w:rPr>
        <w:t>6.1  系统的部署实现</w:t>
      </w:r>
      <w:bookmarkEnd w:id="7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30"/>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30"/>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30"/>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2"/>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3"/>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4"/>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5"/>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71" w:name="_Toc1741"/>
      <w:r>
        <w:rPr>
          <w:rFonts w:hint="eastAsia" w:ascii="黑体" w:hAnsi="宋体" w:eastAsia="黑体"/>
          <w:color w:val="000000"/>
          <w:sz w:val="28"/>
          <w:szCs w:val="28"/>
        </w:rPr>
        <w:t>6.2  测试概要</w:t>
      </w:r>
      <w:bookmarkEnd w:id="71"/>
    </w:p>
    <w:p>
      <w:pPr>
        <w:widowControl/>
        <w:spacing w:before="240" w:after="120"/>
        <w:jc w:val="left"/>
        <w:outlineLvl w:val="2"/>
        <w:rPr>
          <w:rFonts w:eastAsia="黑体" w:cs="黑体"/>
          <w:color w:val="000000"/>
          <w:kern w:val="0"/>
          <w:sz w:val="26"/>
          <w:lang w:bidi="ar"/>
        </w:rPr>
      </w:pPr>
      <w:bookmarkStart w:id="72" w:name="_Toc25588"/>
      <w:r>
        <w:rPr>
          <w:rFonts w:hint="eastAsia" w:eastAsia="黑体" w:cs="黑体"/>
          <w:color w:val="000000"/>
          <w:kern w:val="0"/>
          <w:sz w:val="26"/>
          <w:lang w:bidi="ar"/>
        </w:rPr>
        <w:t>6.2.1  测试概述</w:t>
      </w:r>
      <w:bookmarkEnd w:id="7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73" w:name="_Toc405"/>
      <w:r>
        <w:rPr>
          <w:rFonts w:hint="eastAsia" w:eastAsia="黑体" w:cs="黑体"/>
          <w:color w:val="000000"/>
          <w:kern w:val="0"/>
          <w:sz w:val="26"/>
          <w:lang w:bidi="ar"/>
        </w:rPr>
        <w:t>6.2.2  测试环境</w:t>
      </w:r>
      <w:bookmarkEnd w:id="7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4"/>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4"/>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74" w:name="_Toc5539"/>
      <w:r>
        <w:rPr>
          <w:rFonts w:hint="eastAsia" w:ascii="黑体" w:hAnsi="宋体" w:eastAsia="黑体"/>
          <w:color w:val="000000"/>
          <w:sz w:val="28"/>
          <w:szCs w:val="28"/>
        </w:rPr>
        <w:t>6.3  系统功能测试</w:t>
      </w:r>
      <w:bookmarkEnd w:id="74"/>
    </w:p>
    <w:p>
      <w:pPr>
        <w:widowControl/>
        <w:spacing w:before="240" w:after="120"/>
        <w:jc w:val="left"/>
        <w:outlineLvl w:val="2"/>
        <w:rPr>
          <w:rFonts w:eastAsia="黑体" w:cs="黑体"/>
          <w:color w:val="000000"/>
          <w:kern w:val="0"/>
          <w:sz w:val="26"/>
          <w:lang w:bidi="ar"/>
        </w:rPr>
      </w:pPr>
      <w:bookmarkStart w:id="75" w:name="_Toc11802"/>
      <w:r>
        <w:rPr>
          <w:rFonts w:hint="eastAsia" w:eastAsia="黑体" w:cs="黑体"/>
          <w:color w:val="000000"/>
          <w:kern w:val="0"/>
          <w:sz w:val="26"/>
          <w:lang w:bidi="ar"/>
        </w:rPr>
        <w:t>6.3.1  测试需求</w:t>
      </w:r>
      <w:bookmarkEnd w:id="7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1"/>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76" w:name="_Toc21637"/>
      <w:r>
        <w:rPr>
          <w:rFonts w:hint="eastAsia" w:eastAsia="黑体" w:cs="黑体"/>
          <w:color w:val="000000"/>
          <w:kern w:val="0"/>
          <w:sz w:val="26"/>
          <w:lang w:bidi="ar"/>
        </w:rPr>
        <w:t>6.3.2  测试设计</w:t>
      </w:r>
      <w:bookmarkEnd w:id="7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34"/>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8"/>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6"/>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7"/>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7"/>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7"/>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8"/>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9"/>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9"/>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50"/>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50"/>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77" w:name="_Toc2241"/>
      <w:r>
        <w:rPr>
          <w:rFonts w:hint="eastAsia" w:eastAsia="黑体" w:cs="黑体"/>
          <w:color w:val="000000"/>
          <w:kern w:val="0"/>
          <w:sz w:val="26"/>
          <w:lang w:bidi="ar"/>
        </w:rPr>
        <w:t>6.3.3  测试结果</w:t>
      </w:r>
      <w:bookmarkEnd w:id="7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7"/>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78" w:name="_Toc20676"/>
      <w:r>
        <w:rPr>
          <w:rFonts w:hint="eastAsia" w:eastAsia="黑体" w:cs="黑体"/>
          <w:color w:val="000000"/>
          <w:kern w:val="0"/>
          <w:sz w:val="26"/>
          <w:lang w:bidi="ar"/>
        </w:rPr>
        <w:t>6.3.4  优化策略</w:t>
      </w:r>
      <w:bookmarkEnd w:id="7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79" w:name="_Toc30978"/>
      <w:r>
        <w:rPr>
          <w:rFonts w:hint="eastAsia" w:ascii="黑体" w:hAnsi="宋体" w:eastAsia="黑体"/>
          <w:color w:val="000000"/>
          <w:sz w:val="28"/>
          <w:szCs w:val="28"/>
        </w:rPr>
        <w:t>6.4  系统非功能测试</w:t>
      </w:r>
      <w:bookmarkEnd w:id="79"/>
    </w:p>
    <w:p>
      <w:pPr>
        <w:widowControl/>
        <w:spacing w:before="240" w:after="120"/>
        <w:jc w:val="left"/>
        <w:outlineLvl w:val="2"/>
        <w:rPr>
          <w:rFonts w:eastAsia="黑体" w:cs="黑体"/>
          <w:color w:val="000000"/>
          <w:kern w:val="0"/>
          <w:sz w:val="26"/>
          <w:lang w:bidi="ar"/>
        </w:rPr>
      </w:pPr>
      <w:bookmarkStart w:id="80" w:name="_Toc13353"/>
      <w:r>
        <w:rPr>
          <w:rFonts w:hint="eastAsia" w:eastAsia="黑体" w:cs="黑体"/>
          <w:color w:val="000000"/>
          <w:kern w:val="0"/>
          <w:sz w:val="26"/>
          <w:lang w:bidi="ar"/>
        </w:rPr>
        <w:t>6.4.1  测试需求</w:t>
      </w:r>
      <w:bookmarkEnd w:id="8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1"/>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51"/>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51"/>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51"/>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51"/>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51"/>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81" w:name="_Toc2309"/>
      <w:r>
        <w:rPr>
          <w:rFonts w:hint="eastAsia" w:eastAsia="黑体" w:cs="黑体"/>
          <w:color w:val="000000"/>
          <w:kern w:val="0"/>
          <w:sz w:val="26"/>
          <w:lang w:bidi="ar"/>
        </w:rPr>
        <w:t>6.4.2  测试设计</w:t>
      </w:r>
      <w:bookmarkEnd w:id="8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1"/>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6"/>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82" w:name="_Toc20910"/>
      <w:r>
        <w:rPr>
          <w:rFonts w:hint="eastAsia" w:eastAsia="黑体" w:cs="黑体"/>
          <w:color w:val="000000"/>
          <w:kern w:val="0"/>
          <w:sz w:val="26"/>
          <w:lang w:bidi="ar"/>
        </w:rPr>
        <w:t>6.4.3  测试结果</w:t>
      </w:r>
      <w:bookmarkEnd w:id="8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7"/>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8"/>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9"/>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90"/>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4"/>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52"/>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52"/>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52"/>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52"/>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52"/>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83" w:name="_Toc21353"/>
      <w:r>
        <w:rPr>
          <w:rFonts w:hint="eastAsia" w:eastAsia="黑体" w:cs="黑体"/>
          <w:color w:val="000000"/>
          <w:kern w:val="0"/>
          <w:sz w:val="26"/>
          <w:lang w:bidi="ar"/>
        </w:rPr>
        <w:t>6.4.4  优化策略</w:t>
      </w:r>
      <w:bookmarkEnd w:id="8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84" w:name="_Toc26306"/>
      <w:r>
        <w:rPr>
          <w:rFonts w:hint="eastAsia" w:ascii="黑体" w:hAnsi="宋体" w:eastAsia="黑体"/>
          <w:color w:val="000000"/>
          <w:sz w:val="28"/>
          <w:szCs w:val="28"/>
        </w:rPr>
        <w:t>6.5  本章小结</w:t>
      </w:r>
      <w:bookmarkEnd w:id="8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85" w:name="_Toc8201"/>
      <w:r>
        <w:rPr>
          <w:rFonts w:hint="eastAsia" w:eastAsia="黑体"/>
          <w:b/>
          <w:bCs/>
          <w:color w:val="000000"/>
          <w:sz w:val="32"/>
          <w:szCs w:val="32"/>
        </w:rPr>
        <w:t>第7章  结 论</w:t>
      </w:r>
      <w:bookmarkEnd w:id="85"/>
    </w:p>
    <w:p>
      <w:pPr>
        <w:spacing w:before="480" w:after="120"/>
        <w:outlineLvl w:val="1"/>
        <w:rPr>
          <w:rFonts w:eastAsia="黑体"/>
          <w:color w:val="000000"/>
          <w:sz w:val="28"/>
          <w:szCs w:val="28"/>
        </w:rPr>
      </w:pPr>
      <w:bookmarkStart w:id="86" w:name="_Toc9075"/>
      <w:r>
        <w:rPr>
          <w:rFonts w:hint="eastAsia" w:eastAsia="黑体"/>
          <w:color w:val="000000"/>
          <w:sz w:val="28"/>
          <w:szCs w:val="28"/>
        </w:rPr>
        <w:t>7.1  工作总结</w:t>
      </w:r>
      <w:bookmarkEnd w:id="8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87" w:name="_Toc12265"/>
      <w:r>
        <w:rPr>
          <w:rFonts w:hint="eastAsia" w:eastAsia="黑体"/>
          <w:color w:val="000000"/>
          <w:sz w:val="28"/>
          <w:szCs w:val="28"/>
        </w:rPr>
        <w:t>7.2  课题展望</w:t>
      </w:r>
      <w:bookmarkEnd w:id="87"/>
    </w:p>
    <w:p>
      <w:pPr>
        <w:snapToGrid w:val="0"/>
        <w:spacing w:before="240" w:after="120"/>
        <w:outlineLvl w:val="2"/>
        <w:rPr>
          <w:rFonts w:eastAsia="黑体"/>
          <w:color w:val="000000"/>
          <w:sz w:val="26"/>
        </w:rPr>
      </w:pPr>
      <w:bookmarkStart w:id="88" w:name="_Toc6425"/>
      <w:r>
        <w:rPr>
          <w:rFonts w:hint="eastAsia" w:eastAsia="黑体"/>
          <w:color w:val="000000"/>
          <w:sz w:val="26"/>
        </w:rPr>
        <w:t>7.2.1  不足之处</w:t>
      </w:r>
      <w:bookmarkEnd w:id="8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89" w:name="_Toc31172"/>
      <w:r>
        <w:rPr>
          <w:rFonts w:hint="eastAsia" w:eastAsia="黑体"/>
          <w:color w:val="000000"/>
          <w:sz w:val="26"/>
        </w:rPr>
        <w:t>7.2.2  课题展望</w:t>
      </w:r>
      <w:bookmarkEnd w:id="8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90" w:name="_Toc27454"/>
      <w:r>
        <w:rPr>
          <w:rFonts w:hint="eastAsia" w:ascii="黑体" w:hAnsi="宋体" w:eastAsia="黑体"/>
          <w:b/>
          <w:color w:val="000000"/>
          <w:sz w:val="32"/>
          <w:szCs w:val="32"/>
        </w:rPr>
        <w:t>参 考 文 献</w:t>
      </w:r>
      <w:bookmarkEnd w:id="9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91" w:name="_Toc25551"/>
      <w:r>
        <w:rPr>
          <w:rFonts w:hint="eastAsia" w:ascii="黑体" w:eastAsia="黑体"/>
          <w:b/>
          <w:bCs/>
          <w:color w:val="000000"/>
          <w:sz w:val="32"/>
          <w:szCs w:val="32"/>
        </w:rPr>
        <w:t>致    谢</w:t>
      </w:r>
      <w:bookmarkEnd w:id="9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9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9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Hiragino Sans CNS">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7"/>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Style w:val="14"/>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88</w:t>
                    </w:r>
                    <w:r>
                      <w:fldChar w:fldCharType="end"/>
                    </w:r>
                  </w:p>
                </w:txbxContent>
              </v:textbox>
            </v:shape>
          </w:pict>
        </mc:Fallback>
      </mc:AlternateContent>
    </w:r>
    <w:r>
      <w:rPr>
        <w:rStyle w:val="14"/>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7"/>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7"/>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9"/>
        <w:snapToGrid w:val="0"/>
      </w:pPr>
    </w:p>
  </w:footnote>
  <w:footnote w:id="1">
    <w:p>
      <w:pPr>
        <w:pStyle w:val="9"/>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A2871D14"/>
    <w:multiLevelType w:val="singleLevel"/>
    <w:tmpl w:val="A2871D14"/>
    <w:lvl w:ilvl="0" w:tentative="0">
      <w:start w:val="1"/>
      <w:numFmt w:val="decimal"/>
      <w:lvlText w:val="%1."/>
      <w:lvlJc w:val="left"/>
      <w:pPr>
        <w:tabs>
          <w:tab w:val="left" w:pos="312"/>
        </w:tabs>
      </w:pPr>
    </w:lvl>
  </w:abstractNum>
  <w:abstractNum w:abstractNumId="6">
    <w:nsid w:val="A499A8A9"/>
    <w:multiLevelType w:val="singleLevel"/>
    <w:tmpl w:val="A499A8A9"/>
    <w:lvl w:ilvl="0" w:tentative="0">
      <w:start w:val="1"/>
      <w:numFmt w:val="decimal"/>
      <w:lvlText w:val="%1."/>
      <w:lvlJc w:val="left"/>
      <w:pPr>
        <w:tabs>
          <w:tab w:val="left" w:pos="312"/>
        </w:tabs>
      </w:pPr>
    </w:lvl>
  </w:abstractNum>
  <w:abstractNum w:abstractNumId="7">
    <w:nsid w:val="A620954D"/>
    <w:multiLevelType w:val="singleLevel"/>
    <w:tmpl w:val="A620954D"/>
    <w:lvl w:ilvl="0" w:tentative="0">
      <w:start w:val="1"/>
      <w:numFmt w:val="decimal"/>
      <w:lvlText w:val="%1."/>
      <w:lvlJc w:val="left"/>
      <w:pPr>
        <w:tabs>
          <w:tab w:val="left" w:pos="312"/>
        </w:tabs>
      </w:pPr>
    </w:lvl>
  </w:abstractNum>
  <w:abstractNum w:abstractNumId="8">
    <w:nsid w:val="A777D160"/>
    <w:multiLevelType w:val="singleLevel"/>
    <w:tmpl w:val="A777D160"/>
    <w:lvl w:ilvl="0" w:tentative="0">
      <w:start w:val="1"/>
      <w:numFmt w:val="decimal"/>
      <w:suff w:val="space"/>
      <w:lvlText w:val="%1."/>
      <w:lvlJc w:val="left"/>
    </w:lvl>
  </w:abstractNum>
  <w:abstractNum w:abstractNumId="9">
    <w:nsid w:val="A9284455"/>
    <w:multiLevelType w:val="singleLevel"/>
    <w:tmpl w:val="A9284455"/>
    <w:lvl w:ilvl="0" w:tentative="0">
      <w:start w:val="1"/>
      <w:numFmt w:val="decimal"/>
      <w:suff w:val="nothing"/>
      <w:lvlText w:val="（%1）"/>
      <w:lvlJc w:val="left"/>
    </w:lvl>
  </w:abstractNum>
  <w:abstractNum w:abstractNumId="10">
    <w:nsid w:val="A9388E69"/>
    <w:multiLevelType w:val="singleLevel"/>
    <w:tmpl w:val="A9388E69"/>
    <w:lvl w:ilvl="0" w:tentative="0">
      <w:start w:val="1"/>
      <w:numFmt w:val="decimal"/>
      <w:lvlText w:val="%1."/>
      <w:lvlJc w:val="left"/>
      <w:pPr>
        <w:tabs>
          <w:tab w:val="left" w:pos="312"/>
        </w:tabs>
      </w:pPr>
    </w:lvl>
  </w:abstractNum>
  <w:abstractNum w:abstractNumId="11">
    <w:nsid w:val="AF65AD9E"/>
    <w:multiLevelType w:val="singleLevel"/>
    <w:tmpl w:val="AF65AD9E"/>
    <w:lvl w:ilvl="0" w:tentative="0">
      <w:start w:val="1"/>
      <w:numFmt w:val="decimal"/>
      <w:lvlText w:val="%1."/>
      <w:lvlJc w:val="left"/>
      <w:pPr>
        <w:tabs>
          <w:tab w:val="left" w:pos="312"/>
        </w:tabs>
      </w:pPr>
    </w:lvl>
  </w:abstractNum>
  <w:abstractNum w:abstractNumId="12">
    <w:nsid w:val="AFA93D17"/>
    <w:multiLevelType w:val="singleLevel"/>
    <w:tmpl w:val="AFA93D17"/>
    <w:lvl w:ilvl="0" w:tentative="0">
      <w:start w:val="1"/>
      <w:numFmt w:val="decimal"/>
      <w:lvlText w:val="%1."/>
      <w:lvlJc w:val="left"/>
      <w:pPr>
        <w:tabs>
          <w:tab w:val="left" w:pos="312"/>
        </w:tabs>
      </w:pPr>
    </w:lvl>
  </w:abstractNum>
  <w:abstractNum w:abstractNumId="13">
    <w:nsid w:val="AFFC7802"/>
    <w:multiLevelType w:val="singleLevel"/>
    <w:tmpl w:val="AFFC7802"/>
    <w:lvl w:ilvl="0" w:tentative="0">
      <w:start w:val="1"/>
      <w:numFmt w:val="decimal"/>
      <w:suff w:val="nothing"/>
      <w:lvlText w:val="（%1）"/>
      <w:lvlJc w:val="left"/>
    </w:lvl>
  </w:abstractNum>
  <w:abstractNum w:abstractNumId="14">
    <w:nsid w:val="B3FED548"/>
    <w:multiLevelType w:val="singleLevel"/>
    <w:tmpl w:val="B3FED548"/>
    <w:lvl w:ilvl="0" w:tentative="0">
      <w:start w:val="1"/>
      <w:numFmt w:val="decimal"/>
      <w:suff w:val="nothing"/>
      <w:lvlText w:val="（%1）"/>
      <w:lvlJc w:val="left"/>
    </w:lvl>
  </w:abstractNum>
  <w:abstractNum w:abstractNumId="15">
    <w:nsid w:val="B6D99740"/>
    <w:multiLevelType w:val="singleLevel"/>
    <w:tmpl w:val="B6D99740"/>
    <w:lvl w:ilvl="0" w:tentative="0">
      <w:start w:val="1"/>
      <w:numFmt w:val="decimal"/>
      <w:lvlText w:val="%1."/>
      <w:lvlJc w:val="left"/>
      <w:pPr>
        <w:tabs>
          <w:tab w:val="left" w:pos="312"/>
        </w:tabs>
      </w:pPr>
    </w:lvl>
  </w:abstractNum>
  <w:abstractNum w:abstractNumId="16">
    <w:nsid w:val="BDE587AE"/>
    <w:multiLevelType w:val="singleLevel"/>
    <w:tmpl w:val="BDE587AE"/>
    <w:lvl w:ilvl="0" w:tentative="0">
      <w:start w:val="1"/>
      <w:numFmt w:val="decimal"/>
      <w:lvlText w:val="%1."/>
      <w:lvlJc w:val="left"/>
      <w:pPr>
        <w:tabs>
          <w:tab w:val="left" w:pos="312"/>
        </w:tabs>
      </w:pPr>
    </w:lvl>
  </w:abstractNum>
  <w:abstractNum w:abstractNumId="17">
    <w:nsid w:val="BF4ED3C4"/>
    <w:multiLevelType w:val="singleLevel"/>
    <w:tmpl w:val="BF4ED3C4"/>
    <w:lvl w:ilvl="0" w:tentative="0">
      <w:start w:val="1"/>
      <w:numFmt w:val="decimal"/>
      <w:suff w:val="nothing"/>
      <w:lvlText w:val="（%1）"/>
      <w:lvlJc w:val="left"/>
      <w:pPr>
        <w:ind w:left="-60"/>
      </w:pPr>
    </w:lvl>
  </w:abstractNum>
  <w:abstractNum w:abstractNumId="18">
    <w:nsid w:val="BFD209A3"/>
    <w:multiLevelType w:val="singleLevel"/>
    <w:tmpl w:val="BFD209A3"/>
    <w:lvl w:ilvl="0" w:tentative="0">
      <w:start w:val="1"/>
      <w:numFmt w:val="decimal"/>
      <w:suff w:val="space"/>
      <w:lvlText w:val="%1."/>
      <w:lvlJc w:val="left"/>
    </w:lvl>
  </w:abstractNum>
  <w:abstractNum w:abstractNumId="19">
    <w:nsid w:val="BFF7EB16"/>
    <w:multiLevelType w:val="singleLevel"/>
    <w:tmpl w:val="BFF7EB16"/>
    <w:lvl w:ilvl="0" w:tentative="0">
      <w:start w:val="1"/>
      <w:numFmt w:val="decimal"/>
      <w:suff w:val="nothing"/>
      <w:lvlText w:val="（%1）"/>
      <w:lvlJc w:val="left"/>
    </w:lvl>
  </w:abstractNum>
  <w:abstractNum w:abstractNumId="20">
    <w:nsid w:val="BFF8534B"/>
    <w:multiLevelType w:val="singleLevel"/>
    <w:tmpl w:val="BFF8534B"/>
    <w:lvl w:ilvl="0" w:tentative="0">
      <w:start w:val="1"/>
      <w:numFmt w:val="decimal"/>
      <w:lvlText w:val="%1."/>
      <w:lvlJc w:val="left"/>
      <w:pPr>
        <w:tabs>
          <w:tab w:val="left" w:pos="312"/>
        </w:tabs>
      </w:pPr>
    </w:lvl>
  </w:abstractNum>
  <w:abstractNum w:abstractNumId="21">
    <w:nsid w:val="BFFF9A97"/>
    <w:multiLevelType w:val="singleLevel"/>
    <w:tmpl w:val="BFFF9A97"/>
    <w:lvl w:ilvl="0" w:tentative="0">
      <w:start w:val="2"/>
      <w:numFmt w:val="decimal"/>
      <w:suff w:val="nothing"/>
      <w:lvlText w:val="（%1）"/>
      <w:lvlJc w:val="left"/>
    </w:lvl>
  </w:abstractNum>
  <w:abstractNum w:abstractNumId="22">
    <w:nsid w:val="C5DFBD9B"/>
    <w:multiLevelType w:val="singleLevel"/>
    <w:tmpl w:val="C5DFBD9B"/>
    <w:lvl w:ilvl="0" w:tentative="0">
      <w:start w:val="3"/>
      <w:numFmt w:val="decimal"/>
      <w:suff w:val="nothing"/>
      <w:lvlText w:val="（%1）"/>
      <w:lvlJc w:val="left"/>
    </w:lvl>
  </w:abstractNum>
  <w:abstractNum w:abstractNumId="23">
    <w:nsid w:val="C6F613FA"/>
    <w:multiLevelType w:val="singleLevel"/>
    <w:tmpl w:val="C6F613FA"/>
    <w:lvl w:ilvl="0" w:tentative="0">
      <w:start w:val="1"/>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BFE1B1A"/>
    <w:multiLevelType w:val="singleLevel"/>
    <w:tmpl w:val="DBFE1B1A"/>
    <w:lvl w:ilvl="0" w:tentative="0">
      <w:start w:val="1"/>
      <w:numFmt w:val="decimal"/>
      <w:suff w:val="space"/>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DF2E2DB9"/>
    <w:multiLevelType w:val="singleLevel"/>
    <w:tmpl w:val="DF2E2DB9"/>
    <w:lvl w:ilvl="0" w:tentative="0">
      <w:start w:val="1"/>
      <w:numFmt w:val="decimal"/>
      <w:suff w:val="space"/>
      <w:lvlText w:val="%1."/>
      <w:lvlJc w:val="left"/>
    </w:lvl>
  </w:abstractNum>
  <w:abstractNum w:abstractNumId="28">
    <w:nsid w:val="E5FF41B4"/>
    <w:multiLevelType w:val="singleLevel"/>
    <w:tmpl w:val="E5FF41B4"/>
    <w:lvl w:ilvl="0" w:tentative="0">
      <w:start w:val="1"/>
      <w:numFmt w:val="decimal"/>
      <w:suff w:val="space"/>
      <w:lvlText w:val="%1."/>
      <w:lvlJc w:val="left"/>
    </w:lvl>
  </w:abstractNum>
  <w:abstractNum w:abstractNumId="29">
    <w:nsid w:val="EAFF42CC"/>
    <w:multiLevelType w:val="singleLevel"/>
    <w:tmpl w:val="EAFF42CC"/>
    <w:lvl w:ilvl="0" w:tentative="0">
      <w:start w:val="2"/>
      <w:numFmt w:val="decimal"/>
      <w:suff w:val="nothing"/>
      <w:lvlText w:val="（%1）"/>
      <w:lvlJc w:val="left"/>
    </w:lvl>
  </w:abstractNum>
  <w:abstractNum w:abstractNumId="30">
    <w:nsid w:val="ED1664F0"/>
    <w:multiLevelType w:val="singleLevel"/>
    <w:tmpl w:val="ED1664F0"/>
    <w:lvl w:ilvl="0" w:tentative="0">
      <w:start w:val="1"/>
      <w:numFmt w:val="decimal"/>
      <w:suff w:val="nothing"/>
      <w:lvlText w:val="（%1）"/>
      <w:lvlJc w:val="left"/>
    </w:lvl>
  </w:abstractNum>
  <w:abstractNum w:abstractNumId="31">
    <w:nsid w:val="F06D41BA"/>
    <w:multiLevelType w:val="singleLevel"/>
    <w:tmpl w:val="F06D41BA"/>
    <w:lvl w:ilvl="0" w:tentative="0">
      <w:start w:val="1"/>
      <w:numFmt w:val="decimal"/>
      <w:suff w:val="nothing"/>
      <w:lvlText w:val="（%1）"/>
      <w:lvlJc w:val="left"/>
    </w:lvl>
  </w:abstractNum>
  <w:abstractNum w:abstractNumId="32">
    <w:nsid w:val="F6B3FF0D"/>
    <w:multiLevelType w:val="singleLevel"/>
    <w:tmpl w:val="F6B3FF0D"/>
    <w:lvl w:ilvl="0" w:tentative="0">
      <w:start w:val="1"/>
      <w:numFmt w:val="decimal"/>
      <w:lvlText w:val="%1."/>
      <w:lvlJc w:val="left"/>
      <w:pPr>
        <w:tabs>
          <w:tab w:val="left" w:pos="312"/>
        </w:tabs>
      </w:pPr>
    </w:lvl>
  </w:abstractNum>
  <w:abstractNum w:abstractNumId="33">
    <w:nsid w:val="FC74F208"/>
    <w:multiLevelType w:val="singleLevel"/>
    <w:tmpl w:val="FC74F208"/>
    <w:lvl w:ilvl="0" w:tentative="0">
      <w:start w:val="1"/>
      <w:numFmt w:val="decimal"/>
      <w:suff w:val="nothing"/>
      <w:lvlText w:val="%1）"/>
      <w:lvlJc w:val="left"/>
    </w:lvl>
  </w:abstractNum>
  <w:abstractNum w:abstractNumId="34">
    <w:nsid w:val="FF7F1A97"/>
    <w:multiLevelType w:val="singleLevel"/>
    <w:tmpl w:val="FF7F1A97"/>
    <w:lvl w:ilvl="0" w:tentative="0">
      <w:start w:val="1"/>
      <w:numFmt w:val="decimal"/>
      <w:suff w:val="space"/>
      <w:lvlText w:val="%1."/>
      <w:lvlJc w:val="left"/>
    </w:lvl>
  </w:abstractNum>
  <w:abstractNum w:abstractNumId="35">
    <w:nsid w:val="FFFFB285"/>
    <w:multiLevelType w:val="singleLevel"/>
    <w:tmpl w:val="FFFFB285"/>
    <w:lvl w:ilvl="0" w:tentative="0">
      <w:start w:val="1"/>
      <w:numFmt w:val="decimal"/>
      <w:suff w:val="nothing"/>
      <w:lvlText w:val="（%1）"/>
      <w:lvlJc w:val="left"/>
    </w:lvl>
  </w:abstractNum>
  <w:abstractNum w:abstractNumId="36">
    <w:nsid w:val="0A1FFE84"/>
    <w:multiLevelType w:val="singleLevel"/>
    <w:tmpl w:val="0A1FFE84"/>
    <w:lvl w:ilvl="0" w:tentative="0">
      <w:start w:val="1"/>
      <w:numFmt w:val="decimal"/>
      <w:lvlText w:val="%1."/>
      <w:lvlJc w:val="left"/>
      <w:pPr>
        <w:tabs>
          <w:tab w:val="left" w:pos="312"/>
        </w:tabs>
      </w:pPr>
    </w:lvl>
  </w:abstractNum>
  <w:abstractNum w:abstractNumId="37">
    <w:nsid w:val="100F4C05"/>
    <w:multiLevelType w:val="singleLevel"/>
    <w:tmpl w:val="100F4C05"/>
    <w:lvl w:ilvl="0" w:tentative="0">
      <w:start w:val="1"/>
      <w:numFmt w:val="decimal"/>
      <w:lvlText w:val="%1."/>
      <w:lvlJc w:val="left"/>
      <w:pPr>
        <w:tabs>
          <w:tab w:val="left" w:pos="312"/>
        </w:tabs>
      </w:pPr>
    </w:lvl>
  </w:abstractNum>
  <w:abstractNum w:abstractNumId="38">
    <w:nsid w:val="1EE86B5D"/>
    <w:multiLevelType w:val="singleLevel"/>
    <w:tmpl w:val="1EE86B5D"/>
    <w:lvl w:ilvl="0" w:tentative="0">
      <w:start w:val="1"/>
      <w:numFmt w:val="decimal"/>
      <w:lvlText w:val="%1."/>
      <w:lvlJc w:val="left"/>
      <w:pPr>
        <w:tabs>
          <w:tab w:val="left" w:pos="312"/>
        </w:tabs>
      </w:pPr>
    </w:lvl>
  </w:abstractNum>
  <w:abstractNum w:abstractNumId="39">
    <w:nsid w:val="3723140B"/>
    <w:multiLevelType w:val="singleLevel"/>
    <w:tmpl w:val="3723140B"/>
    <w:lvl w:ilvl="0" w:tentative="0">
      <w:start w:val="1"/>
      <w:numFmt w:val="decimal"/>
      <w:suff w:val="nothing"/>
      <w:lvlText w:val="（%1）"/>
      <w:lvlJc w:val="left"/>
    </w:lvl>
  </w:abstractNum>
  <w:abstractNum w:abstractNumId="40">
    <w:nsid w:val="3F58D486"/>
    <w:multiLevelType w:val="singleLevel"/>
    <w:tmpl w:val="3F58D486"/>
    <w:lvl w:ilvl="0" w:tentative="0">
      <w:start w:val="1"/>
      <w:numFmt w:val="decimal"/>
      <w:suff w:val="space"/>
      <w:lvlText w:val="（%1）"/>
      <w:lvlJc w:val="left"/>
    </w:lvl>
  </w:abstractNum>
  <w:abstractNum w:abstractNumId="41">
    <w:nsid w:val="3FFF801E"/>
    <w:multiLevelType w:val="singleLevel"/>
    <w:tmpl w:val="3FFF801E"/>
    <w:lvl w:ilvl="0" w:tentative="0">
      <w:start w:val="1"/>
      <w:numFmt w:val="decimal"/>
      <w:suff w:val="space"/>
      <w:lvlText w:val="%1."/>
      <w:lvlJc w:val="left"/>
    </w:lvl>
  </w:abstractNum>
  <w:abstractNum w:abstractNumId="42">
    <w:nsid w:val="4C14F343"/>
    <w:multiLevelType w:val="singleLevel"/>
    <w:tmpl w:val="4C14F343"/>
    <w:lvl w:ilvl="0" w:tentative="0">
      <w:start w:val="1"/>
      <w:numFmt w:val="decimal"/>
      <w:lvlText w:val="%1."/>
      <w:lvlJc w:val="left"/>
      <w:pPr>
        <w:tabs>
          <w:tab w:val="left" w:pos="312"/>
        </w:tabs>
      </w:pPr>
    </w:lvl>
  </w:abstractNum>
  <w:abstractNum w:abstractNumId="43">
    <w:nsid w:val="56F2D59C"/>
    <w:multiLevelType w:val="singleLevel"/>
    <w:tmpl w:val="56F2D59C"/>
    <w:lvl w:ilvl="0" w:tentative="0">
      <w:start w:val="1"/>
      <w:numFmt w:val="decimal"/>
      <w:lvlText w:val="%1."/>
      <w:lvlJc w:val="left"/>
      <w:pPr>
        <w:tabs>
          <w:tab w:val="left" w:pos="312"/>
        </w:tabs>
      </w:pPr>
    </w:lvl>
  </w:abstractNum>
  <w:abstractNum w:abstractNumId="44">
    <w:nsid w:val="5BFB4811"/>
    <w:multiLevelType w:val="singleLevel"/>
    <w:tmpl w:val="5BFB4811"/>
    <w:lvl w:ilvl="0" w:tentative="0">
      <w:start w:val="1"/>
      <w:numFmt w:val="decimal"/>
      <w:suff w:val="space"/>
      <w:lvlText w:val="%1."/>
      <w:lvlJc w:val="left"/>
    </w:lvl>
  </w:abstractNum>
  <w:abstractNum w:abstractNumId="45">
    <w:nsid w:val="65CCF13E"/>
    <w:multiLevelType w:val="singleLevel"/>
    <w:tmpl w:val="65CCF13E"/>
    <w:lvl w:ilvl="0" w:tentative="0">
      <w:start w:val="1"/>
      <w:numFmt w:val="decimal"/>
      <w:suff w:val="nothing"/>
      <w:lvlText w:val="（%1）"/>
      <w:lvlJc w:val="left"/>
      <w:pPr>
        <w:ind w:left="360"/>
      </w:pPr>
    </w:lvl>
  </w:abstractNum>
  <w:abstractNum w:abstractNumId="46">
    <w:nsid w:val="6D16D427"/>
    <w:multiLevelType w:val="singleLevel"/>
    <w:tmpl w:val="6D16D427"/>
    <w:lvl w:ilvl="0" w:tentative="0">
      <w:start w:val="1"/>
      <w:numFmt w:val="decimal"/>
      <w:suff w:val="space"/>
      <w:lvlText w:val="%1."/>
      <w:lvlJc w:val="left"/>
    </w:lvl>
  </w:abstractNum>
  <w:abstractNum w:abstractNumId="47">
    <w:nsid w:val="73EE7252"/>
    <w:multiLevelType w:val="singleLevel"/>
    <w:tmpl w:val="73EE7252"/>
    <w:lvl w:ilvl="0" w:tentative="0">
      <w:start w:val="1"/>
      <w:numFmt w:val="decimal"/>
      <w:suff w:val="space"/>
      <w:lvlText w:val="%1."/>
      <w:lvlJc w:val="left"/>
    </w:lvl>
  </w:abstractNum>
  <w:abstractNum w:abstractNumId="48">
    <w:nsid w:val="757EC989"/>
    <w:multiLevelType w:val="singleLevel"/>
    <w:tmpl w:val="757EC989"/>
    <w:lvl w:ilvl="0" w:tentative="0">
      <w:start w:val="1"/>
      <w:numFmt w:val="decimal"/>
      <w:lvlText w:val="%1."/>
      <w:lvlJc w:val="left"/>
      <w:pPr>
        <w:tabs>
          <w:tab w:val="left" w:pos="312"/>
        </w:tabs>
      </w:pPr>
    </w:lvl>
  </w:abstractNum>
  <w:abstractNum w:abstractNumId="49">
    <w:nsid w:val="7E092ABC"/>
    <w:multiLevelType w:val="singleLevel"/>
    <w:tmpl w:val="7E092ABC"/>
    <w:lvl w:ilvl="0" w:tentative="0">
      <w:start w:val="1"/>
      <w:numFmt w:val="decimal"/>
      <w:lvlText w:val="%1."/>
      <w:lvlJc w:val="left"/>
      <w:pPr>
        <w:tabs>
          <w:tab w:val="left" w:pos="312"/>
        </w:tabs>
      </w:pPr>
    </w:lvl>
  </w:abstractNum>
  <w:abstractNum w:abstractNumId="50">
    <w:nsid w:val="7FFCE2BB"/>
    <w:multiLevelType w:val="singleLevel"/>
    <w:tmpl w:val="7FFCE2BB"/>
    <w:lvl w:ilvl="0" w:tentative="0">
      <w:start w:val="1"/>
      <w:numFmt w:val="decimal"/>
      <w:suff w:val="space"/>
      <w:lvlText w:val="(%1)"/>
      <w:lvlJc w:val="left"/>
    </w:lvl>
  </w:abstractNum>
  <w:abstractNum w:abstractNumId="51">
    <w:nsid w:val="7FFD534B"/>
    <w:multiLevelType w:val="singleLevel"/>
    <w:tmpl w:val="7FFD534B"/>
    <w:lvl w:ilvl="0" w:tentative="0">
      <w:start w:val="1"/>
      <w:numFmt w:val="decimal"/>
      <w:suff w:val="nothing"/>
      <w:lvlText w:val="%1）"/>
      <w:lvlJc w:val="left"/>
    </w:lvl>
  </w:abstractNum>
  <w:num w:numId="1">
    <w:abstractNumId w:val="51"/>
  </w:num>
  <w:num w:numId="2">
    <w:abstractNumId w:val="29"/>
  </w:num>
  <w:num w:numId="3">
    <w:abstractNumId w:val="22"/>
  </w:num>
  <w:num w:numId="4">
    <w:abstractNumId w:val="21"/>
  </w:num>
  <w:num w:numId="5">
    <w:abstractNumId w:val="33"/>
  </w:num>
  <w:num w:numId="6">
    <w:abstractNumId w:val="19"/>
  </w:num>
  <w:num w:numId="7">
    <w:abstractNumId w:val="14"/>
  </w:num>
  <w:num w:numId="8">
    <w:abstractNumId w:val="30"/>
  </w:num>
  <w:num w:numId="9">
    <w:abstractNumId w:val="13"/>
  </w:num>
  <w:num w:numId="10">
    <w:abstractNumId w:val="35"/>
  </w:num>
  <w:num w:numId="11">
    <w:abstractNumId w:val="50"/>
  </w:num>
  <w:num w:numId="12">
    <w:abstractNumId w:val="31"/>
  </w:num>
  <w:num w:numId="13">
    <w:abstractNumId w:val="8"/>
  </w:num>
  <w:num w:numId="14">
    <w:abstractNumId w:val="46"/>
  </w:num>
  <w:num w:numId="15">
    <w:abstractNumId w:val="25"/>
  </w:num>
  <w:num w:numId="16">
    <w:abstractNumId w:val="41"/>
  </w:num>
  <w:num w:numId="17">
    <w:abstractNumId w:val="44"/>
  </w:num>
  <w:num w:numId="18">
    <w:abstractNumId w:val="47"/>
  </w:num>
  <w:num w:numId="19">
    <w:abstractNumId w:val="27"/>
  </w:num>
  <w:num w:numId="20">
    <w:abstractNumId w:val="34"/>
  </w:num>
  <w:num w:numId="21">
    <w:abstractNumId w:val="18"/>
  </w:num>
  <w:num w:numId="22">
    <w:abstractNumId w:val="28"/>
  </w:num>
  <w:num w:numId="23">
    <w:abstractNumId w:val="23"/>
  </w:num>
  <w:num w:numId="24">
    <w:abstractNumId w:val="39"/>
  </w:num>
  <w:num w:numId="25">
    <w:abstractNumId w:val="45"/>
  </w:num>
  <w:num w:numId="26">
    <w:abstractNumId w:val="2"/>
  </w:num>
  <w:num w:numId="27">
    <w:abstractNumId w:val="17"/>
  </w:num>
  <w:num w:numId="28">
    <w:abstractNumId w:val="26"/>
  </w:num>
  <w:num w:numId="29">
    <w:abstractNumId w:val="9"/>
  </w:num>
  <w:num w:numId="30">
    <w:abstractNumId w:val="0"/>
  </w:num>
  <w:num w:numId="31">
    <w:abstractNumId w:val="20"/>
  </w:num>
  <w:num w:numId="32">
    <w:abstractNumId w:val="6"/>
  </w:num>
  <w:num w:numId="33">
    <w:abstractNumId w:val="49"/>
  </w:num>
  <w:num w:numId="34">
    <w:abstractNumId w:val="42"/>
  </w:num>
  <w:num w:numId="35">
    <w:abstractNumId w:val="12"/>
  </w:num>
  <w:num w:numId="36">
    <w:abstractNumId w:val="1"/>
  </w:num>
  <w:num w:numId="37">
    <w:abstractNumId w:val="3"/>
  </w:num>
  <w:num w:numId="38">
    <w:abstractNumId w:val="10"/>
  </w:num>
  <w:num w:numId="39">
    <w:abstractNumId w:val="5"/>
  </w:num>
  <w:num w:numId="40">
    <w:abstractNumId w:val="37"/>
  </w:num>
  <w:num w:numId="41">
    <w:abstractNumId w:val="38"/>
  </w:num>
  <w:num w:numId="42">
    <w:abstractNumId w:val="16"/>
  </w:num>
  <w:num w:numId="43">
    <w:abstractNumId w:val="24"/>
  </w:num>
  <w:num w:numId="44">
    <w:abstractNumId w:val="48"/>
  </w:num>
  <w:num w:numId="45">
    <w:abstractNumId w:val="7"/>
  </w:num>
  <w:num w:numId="46">
    <w:abstractNumId w:val="15"/>
  </w:num>
  <w:num w:numId="47">
    <w:abstractNumId w:val="36"/>
  </w:num>
  <w:num w:numId="48">
    <w:abstractNumId w:val="11"/>
  </w:num>
  <w:num w:numId="49">
    <w:abstractNumId w:val="43"/>
  </w:num>
  <w:num w:numId="50">
    <w:abstractNumId w:val="32"/>
  </w:num>
  <w:num w:numId="51">
    <w:abstractNumId w:val="4"/>
  </w:num>
  <w:num w:numId="5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797A1F"/>
    <w:rsid w:val="0CF7090E"/>
    <w:rsid w:val="0DF9A4CB"/>
    <w:rsid w:val="0E050230"/>
    <w:rsid w:val="0E2825BA"/>
    <w:rsid w:val="0E4179AE"/>
    <w:rsid w:val="0E461CDA"/>
    <w:rsid w:val="0EC71919"/>
    <w:rsid w:val="0F187FEB"/>
    <w:rsid w:val="0F1D2366"/>
    <w:rsid w:val="0F390F72"/>
    <w:rsid w:val="0F7C1B5D"/>
    <w:rsid w:val="0FD6165E"/>
    <w:rsid w:val="0FDF23DF"/>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4333E87"/>
    <w:rsid w:val="14353672"/>
    <w:rsid w:val="143D10F0"/>
    <w:rsid w:val="143F405B"/>
    <w:rsid w:val="154B6511"/>
    <w:rsid w:val="157A49A9"/>
    <w:rsid w:val="15923843"/>
    <w:rsid w:val="15FC03FA"/>
    <w:rsid w:val="161016D9"/>
    <w:rsid w:val="1648273E"/>
    <w:rsid w:val="167D57A1"/>
    <w:rsid w:val="169F6CCA"/>
    <w:rsid w:val="16DF6155"/>
    <w:rsid w:val="16E3120E"/>
    <w:rsid w:val="17738AEA"/>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A428C0"/>
    <w:rsid w:val="1EE9111B"/>
    <w:rsid w:val="1EF7E7FB"/>
    <w:rsid w:val="1EFF2D39"/>
    <w:rsid w:val="1F1707DB"/>
    <w:rsid w:val="1F17128B"/>
    <w:rsid w:val="1F916079"/>
    <w:rsid w:val="1FA755B8"/>
    <w:rsid w:val="1FAF2A7F"/>
    <w:rsid w:val="1FEDF21C"/>
    <w:rsid w:val="1FFD2561"/>
    <w:rsid w:val="1FFEBF8E"/>
    <w:rsid w:val="1FFF9ACD"/>
    <w:rsid w:val="20D93289"/>
    <w:rsid w:val="20F96029"/>
    <w:rsid w:val="210179CE"/>
    <w:rsid w:val="21193AA0"/>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736784B"/>
    <w:rsid w:val="2768436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FFE9"/>
    <w:rsid w:val="2E39CE26"/>
    <w:rsid w:val="2F2B21B5"/>
    <w:rsid w:val="2F3A23EE"/>
    <w:rsid w:val="2FFB34B8"/>
    <w:rsid w:val="2FFE5E5D"/>
    <w:rsid w:val="303E65DF"/>
    <w:rsid w:val="3089720C"/>
    <w:rsid w:val="312F54B1"/>
    <w:rsid w:val="313076B3"/>
    <w:rsid w:val="318C1BC7"/>
    <w:rsid w:val="31AE4FCD"/>
    <w:rsid w:val="31D856C7"/>
    <w:rsid w:val="31FFE551"/>
    <w:rsid w:val="320A735E"/>
    <w:rsid w:val="32675D68"/>
    <w:rsid w:val="32AF36DA"/>
    <w:rsid w:val="32EDDB5E"/>
    <w:rsid w:val="33053BEE"/>
    <w:rsid w:val="33476824"/>
    <w:rsid w:val="3350440C"/>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D0103C"/>
    <w:rsid w:val="35D89B2B"/>
    <w:rsid w:val="35F938A6"/>
    <w:rsid w:val="36BC4705"/>
    <w:rsid w:val="36BFEDCC"/>
    <w:rsid w:val="36FEFB96"/>
    <w:rsid w:val="370EC254"/>
    <w:rsid w:val="37741EBE"/>
    <w:rsid w:val="37CEF692"/>
    <w:rsid w:val="37F2E66D"/>
    <w:rsid w:val="37FBDF16"/>
    <w:rsid w:val="37FEB5C7"/>
    <w:rsid w:val="37FF07FF"/>
    <w:rsid w:val="383B009C"/>
    <w:rsid w:val="385B78B3"/>
    <w:rsid w:val="38652585"/>
    <w:rsid w:val="38F50D35"/>
    <w:rsid w:val="392635DD"/>
    <w:rsid w:val="392B2773"/>
    <w:rsid w:val="397FF621"/>
    <w:rsid w:val="39AF050F"/>
    <w:rsid w:val="39DC050B"/>
    <w:rsid w:val="39EFFE19"/>
    <w:rsid w:val="3A7E4E4B"/>
    <w:rsid w:val="3B434590"/>
    <w:rsid w:val="3B8064B4"/>
    <w:rsid w:val="3B8D206C"/>
    <w:rsid w:val="3B9FE574"/>
    <w:rsid w:val="3BBF18AD"/>
    <w:rsid w:val="3BEE7E1F"/>
    <w:rsid w:val="3BFB944C"/>
    <w:rsid w:val="3C06735A"/>
    <w:rsid w:val="3C147155"/>
    <w:rsid w:val="3C6C279A"/>
    <w:rsid w:val="3C7A0F6B"/>
    <w:rsid w:val="3CAF4FAA"/>
    <w:rsid w:val="3CFF208D"/>
    <w:rsid w:val="3D114ACC"/>
    <w:rsid w:val="3D6C2B14"/>
    <w:rsid w:val="3DC71727"/>
    <w:rsid w:val="3E2D1EA8"/>
    <w:rsid w:val="3E65EE1E"/>
    <w:rsid w:val="3E6B0792"/>
    <w:rsid w:val="3E9F0310"/>
    <w:rsid w:val="3EAB18E0"/>
    <w:rsid w:val="3ED86198"/>
    <w:rsid w:val="3EF20CA1"/>
    <w:rsid w:val="3EFEE166"/>
    <w:rsid w:val="3EFF9314"/>
    <w:rsid w:val="3F37FDE6"/>
    <w:rsid w:val="3F67295F"/>
    <w:rsid w:val="3F6C9079"/>
    <w:rsid w:val="3F7E363A"/>
    <w:rsid w:val="3F7F291C"/>
    <w:rsid w:val="3F7F5186"/>
    <w:rsid w:val="3F7FCA3C"/>
    <w:rsid w:val="3F887E3A"/>
    <w:rsid w:val="3F8BD84F"/>
    <w:rsid w:val="3FADA4EE"/>
    <w:rsid w:val="3FB43636"/>
    <w:rsid w:val="3FB752AA"/>
    <w:rsid w:val="3FCA805C"/>
    <w:rsid w:val="3FD3AC1E"/>
    <w:rsid w:val="3FD7A3D5"/>
    <w:rsid w:val="3FE319A3"/>
    <w:rsid w:val="3FF778B3"/>
    <w:rsid w:val="3FF85681"/>
    <w:rsid w:val="3FFB143F"/>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5E7A8B"/>
    <w:rsid w:val="477BAEE5"/>
    <w:rsid w:val="478617DA"/>
    <w:rsid w:val="47D77026"/>
    <w:rsid w:val="47D7B1B2"/>
    <w:rsid w:val="47FF89E8"/>
    <w:rsid w:val="48B84C56"/>
    <w:rsid w:val="48CD4704"/>
    <w:rsid w:val="48D22B98"/>
    <w:rsid w:val="48FF0530"/>
    <w:rsid w:val="490475FC"/>
    <w:rsid w:val="491E330E"/>
    <w:rsid w:val="49A270E6"/>
    <w:rsid w:val="4A2043B0"/>
    <w:rsid w:val="4AB90E71"/>
    <w:rsid w:val="4AC017B2"/>
    <w:rsid w:val="4AFC51DC"/>
    <w:rsid w:val="4B372F60"/>
    <w:rsid w:val="4B444A88"/>
    <w:rsid w:val="4B8A0446"/>
    <w:rsid w:val="4BBF54FB"/>
    <w:rsid w:val="4BDF33D5"/>
    <w:rsid w:val="4BEF5947"/>
    <w:rsid w:val="4BEF7472"/>
    <w:rsid w:val="4C4C6B0D"/>
    <w:rsid w:val="4CA318F1"/>
    <w:rsid w:val="4CAD2B19"/>
    <w:rsid w:val="4CBC72ED"/>
    <w:rsid w:val="4D427081"/>
    <w:rsid w:val="4D4633AB"/>
    <w:rsid w:val="4DFF1B05"/>
    <w:rsid w:val="4E6BDA5A"/>
    <w:rsid w:val="4EA62912"/>
    <w:rsid w:val="4EC608C3"/>
    <w:rsid w:val="4EE54C93"/>
    <w:rsid w:val="4F0250C6"/>
    <w:rsid w:val="4F031029"/>
    <w:rsid w:val="4F65E1B0"/>
    <w:rsid w:val="4F66375F"/>
    <w:rsid w:val="4FB24072"/>
    <w:rsid w:val="4FD13E72"/>
    <w:rsid w:val="4FE9425D"/>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7044CC0"/>
    <w:rsid w:val="57095D28"/>
    <w:rsid w:val="572C4BBA"/>
    <w:rsid w:val="573D3553"/>
    <w:rsid w:val="575D1218"/>
    <w:rsid w:val="57A7A1D7"/>
    <w:rsid w:val="57FC6436"/>
    <w:rsid w:val="57FF4FBA"/>
    <w:rsid w:val="58221E5E"/>
    <w:rsid w:val="58754D88"/>
    <w:rsid w:val="588E6BDD"/>
    <w:rsid w:val="58E23FBD"/>
    <w:rsid w:val="58E8694B"/>
    <w:rsid w:val="593E4FEA"/>
    <w:rsid w:val="59643658"/>
    <w:rsid w:val="59A2537D"/>
    <w:rsid w:val="59CF84A4"/>
    <w:rsid w:val="59E5D4C6"/>
    <w:rsid w:val="59EF1BF4"/>
    <w:rsid w:val="5A35427E"/>
    <w:rsid w:val="5B3F00F7"/>
    <w:rsid w:val="5B3F8DB4"/>
    <w:rsid w:val="5B53B340"/>
    <w:rsid w:val="5B592ED6"/>
    <w:rsid w:val="5BB27C8D"/>
    <w:rsid w:val="5BCE6B04"/>
    <w:rsid w:val="5BD270EE"/>
    <w:rsid w:val="5BF9B7F5"/>
    <w:rsid w:val="5BFFEF40"/>
    <w:rsid w:val="5C3F4133"/>
    <w:rsid w:val="5C8375A0"/>
    <w:rsid w:val="5D7FD280"/>
    <w:rsid w:val="5D9729B5"/>
    <w:rsid w:val="5D9B7470"/>
    <w:rsid w:val="5DACD7B6"/>
    <w:rsid w:val="5DB7112B"/>
    <w:rsid w:val="5DBD142B"/>
    <w:rsid w:val="5DD2766C"/>
    <w:rsid w:val="5DDEAA67"/>
    <w:rsid w:val="5DEFFFDA"/>
    <w:rsid w:val="5DFB8145"/>
    <w:rsid w:val="5DFDBA3A"/>
    <w:rsid w:val="5DFFC60B"/>
    <w:rsid w:val="5E5EBD17"/>
    <w:rsid w:val="5EAB5A40"/>
    <w:rsid w:val="5EBF2FC8"/>
    <w:rsid w:val="5EBF4372"/>
    <w:rsid w:val="5EFF576A"/>
    <w:rsid w:val="5F199BAF"/>
    <w:rsid w:val="5F3F7E66"/>
    <w:rsid w:val="5F41F9F9"/>
    <w:rsid w:val="5F607481"/>
    <w:rsid w:val="5F67639D"/>
    <w:rsid w:val="5F687CB5"/>
    <w:rsid w:val="5F6BE4C9"/>
    <w:rsid w:val="5F7BCDF8"/>
    <w:rsid w:val="5F7E8C88"/>
    <w:rsid w:val="5F99C1DC"/>
    <w:rsid w:val="5FA2FBD7"/>
    <w:rsid w:val="5FB272B3"/>
    <w:rsid w:val="5FBB142C"/>
    <w:rsid w:val="5FBF04E1"/>
    <w:rsid w:val="5FCA10ED"/>
    <w:rsid w:val="5FCD1B95"/>
    <w:rsid w:val="5FD43DF7"/>
    <w:rsid w:val="5FD54631"/>
    <w:rsid w:val="5FDF72E9"/>
    <w:rsid w:val="5FDF9268"/>
    <w:rsid w:val="5FEF7A22"/>
    <w:rsid w:val="5FF71D42"/>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7722CE"/>
    <w:rsid w:val="6677789F"/>
    <w:rsid w:val="66D14508"/>
    <w:rsid w:val="66FD6E0A"/>
    <w:rsid w:val="671F68AC"/>
    <w:rsid w:val="673F4001"/>
    <w:rsid w:val="67B9FDBC"/>
    <w:rsid w:val="67EA36D2"/>
    <w:rsid w:val="67F39C19"/>
    <w:rsid w:val="67F3DB82"/>
    <w:rsid w:val="67FF5B3E"/>
    <w:rsid w:val="67FFD3B9"/>
    <w:rsid w:val="682FF71E"/>
    <w:rsid w:val="693B220F"/>
    <w:rsid w:val="6972003D"/>
    <w:rsid w:val="69CD6356"/>
    <w:rsid w:val="69F22AE2"/>
    <w:rsid w:val="6B677268"/>
    <w:rsid w:val="6B7BF71E"/>
    <w:rsid w:val="6B7DF15A"/>
    <w:rsid w:val="6BB25535"/>
    <w:rsid w:val="6BB66E44"/>
    <w:rsid w:val="6BC5F62E"/>
    <w:rsid w:val="6BCBB934"/>
    <w:rsid w:val="6BDDA4F3"/>
    <w:rsid w:val="6BEE66F0"/>
    <w:rsid w:val="6C522B9B"/>
    <w:rsid w:val="6C907204"/>
    <w:rsid w:val="6C9474B4"/>
    <w:rsid w:val="6C967A0D"/>
    <w:rsid w:val="6CB7CFA5"/>
    <w:rsid w:val="6D1D4F10"/>
    <w:rsid w:val="6D250DCB"/>
    <w:rsid w:val="6D7EC9CB"/>
    <w:rsid w:val="6D857548"/>
    <w:rsid w:val="6D951588"/>
    <w:rsid w:val="6DCD72AE"/>
    <w:rsid w:val="6DE63E59"/>
    <w:rsid w:val="6DFE6EE4"/>
    <w:rsid w:val="6DFF7FD4"/>
    <w:rsid w:val="6E6D4335"/>
    <w:rsid w:val="6EDD0FA6"/>
    <w:rsid w:val="6EF81E8B"/>
    <w:rsid w:val="6F2EF821"/>
    <w:rsid w:val="6F444B83"/>
    <w:rsid w:val="6F7724CA"/>
    <w:rsid w:val="6FB60B83"/>
    <w:rsid w:val="6FB760DC"/>
    <w:rsid w:val="6FCE393B"/>
    <w:rsid w:val="6FDB0BCE"/>
    <w:rsid w:val="6FDF3D46"/>
    <w:rsid w:val="6FE5F87B"/>
    <w:rsid w:val="6FE9C5C8"/>
    <w:rsid w:val="6FF77695"/>
    <w:rsid w:val="6FF7C08D"/>
    <w:rsid w:val="6FFB7B68"/>
    <w:rsid w:val="6FFC4F6C"/>
    <w:rsid w:val="6FFF9FCB"/>
    <w:rsid w:val="6FFFF0D2"/>
    <w:rsid w:val="70B723E0"/>
    <w:rsid w:val="70C970B0"/>
    <w:rsid w:val="71481830"/>
    <w:rsid w:val="719759DF"/>
    <w:rsid w:val="71CD04B5"/>
    <w:rsid w:val="71F728CB"/>
    <w:rsid w:val="72124C80"/>
    <w:rsid w:val="721F43F1"/>
    <w:rsid w:val="723AC656"/>
    <w:rsid w:val="72563CA1"/>
    <w:rsid w:val="725D461A"/>
    <w:rsid w:val="72FF8437"/>
    <w:rsid w:val="72FFFC51"/>
    <w:rsid w:val="735E06F7"/>
    <w:rsid w:val="73761A7E"/>
    <w:rsid w:val="73BB2919"/>
    <w:rsid w:val="73D73FE6"/>
    <w:rsid w:val="73E79625"/>
    <w:rsid w:val="73F473F3"/>
    <w:rsid w:val="7459099B"/>
    <w:rsid w:val="7494705F"/>
    <w:rsid w:val="749531F1"/>
    <w:rsid w:val="74DFE8F0"/>
    <w:rsid w:val="74E220C3"/>
    <w:rsid w:val="74FE4F2E"/>
    <w:rsid w:val="759A6884"/>
    <w:rsid w:val="75AF9FD1"/>
    <w:rsid w:val="75C418BE"/>
    <w:rsid w:val="75F2341B"/>
    <w:rsid w:val="75F71050"/>
    <w:rsid w:val="75F9C224"/>
    <w:rsid w:val="762DE904"/>
    <w:rsid w:val="766E1EB6"/>
    <w:rsid w:val="76956B96"/>
    <w:rsid w:val="76B90F2D"/>
    <w:rsid w:val="76BB145B"/>
    <w:rsid w:val="76DF91BA"/>
    <w:rsid w:val="76E72691"/>
    <w:rsid w:val="76F60CC8"/>
    <w:rsid w:val="76FBD67F"/>
    <w:rsid w:val="76FD2FE0"/>
    <w:rsid w:val="76FD89AE"/>
    <w:rsid w:val="76FE4876"/>
    <w:rsid w:val="771F59FA"/>
    <w:rsid w:val="77352C19"/>
    <w:rsid w:val="77666070"/>
    <w:rsid w:val="776E0716"/>
    <w:rsid w:val="77756524"/>
    <w:rsid w:val="77777EFD"/>
    <w:rsid w:val="77793B0B"/>
    <w:rsid w:val="777F1090"/>
    <w:rsid w:val="779E27A9"/>
    <w:rsid w:val="779F1AEA"/>
    <w:rsid w:val="77A436C0"/>
    <w:rsid w:val="77A9AA96"/>
    <w:rsid w:val="77AD5869"/>
    <w:rsid w:val="77BB3C0B"/>
    <w:rsid w:val="77BEFE31"/>
    <w:rsid w:val="77BFFF00"/>
    <w:rsid w:val="77C32AB1"/>
    <w:rsid w:val="77D7F243"/>
    <w:rsid w:val="77DDA115"/>
    <w:rsid w:val="77DEF566"/>
    <w:rsid w:val="77DFA599"/>
    <w:rsid w:val="77E59552"/>
    <w:rsid w:val="77E7090D"/>
    <w:rsid w:val="77EDBCCD"/>
    <w:rsid w:val="77F5979E"/>
    <w:rsid w:val="77F72283"/>
    <w:rsid w:val="77FD1D15"/>
    <w:rsid w:val="77FEDEA8"/>
    <w:rsid w:val="77FF283B"/>
    <w:rsid w:val="77FF98F5"/>
    <w:rsid w:val="77FFFBF8"/>
    <w:rsid w:val="78746DE5"/>
    <w:rsid w:val="78D229D3"/>
    <w:rsid w:val="78DEFDB8"/>
    <w:rsid w:val="7905501C"/>
    <w:rsid w:val="79DB0CBD"/>
    <w:rsid w:val="79F9B746"/>
    <w:rsid w:val="79FF3C3F"/>
    <w:rsid w:val="7A569382"/>
    <w:rsid w:val="7A7A4C8B"/>
    <w:rsid w:val="7ABC2999"/>
    <w:rsid w:val="7AC73558"/>
    <w:rsid w:val="7AC76D1A"/>
    <w:rsid w:val="7AEC3F8C"/>
    <w:rsid w:val="7AEF0112"/>
    <w:rsid w:val="7AF710AF"/>
    <w:rsid w:val="7AFDCF37"/>
    <w:rsid w:val="7AFF9914"/>
    <w:rsid w:val="7B0C08F4"/>
    <w:rsid w:val="7B270047"/>
    <w:rsid w:val="7B473217"/>
    <w:rsid w:val="7B4F894C"/>
    <w:rsid w:val="7B7F6925"/>
    <w:rsid w:val="7B8DFF42"/>
    <w:rsid w:val="7B933F3B"/>
    <w:rsid w:val="7B9FF531"/>
    <w:rsid w:val="7BA7D77C"/>
    <w:rsid w:val="7BB3A8B2"/>
    <w:rsid w:val="7BBB92A0"/>
    <w:rsid w:val="7BE722D6"/>
    <w:rsid w:val="7BFE9F08"/>
    <w:rsid w:val="7BFF0856"/>
    <w:rsid w:val="7BFF40E0"/>
    <w:rsid w:val="7BFF5E07"/>
    <w:rsid w:val="7BFF7920"/>
    <w:rsid w:val="7BFF8C87"/>
    <w:rsid w:val="7C191951"/>
    <w:rsid w:val="7C556335"/>
    <w:rsid w:val="7C5DED16"/>
    <w:rsid w:val="7C9B773D"/>
    <w:rsid w:val="7CAF2D9C"/>
    <w:rsid w:val="7CFEBB7E"/>
    <w:rsid w:val="7CFF62A4"/>
    <w:rsid w:val="7D2F871F"/>
    <w:rsid w:val="7D3067F4"/>
    <w:rsid w:val="7D5DD01D"/>
    <w:rsid w:val="7DB562B8"/>
    <w:rsid w:val="7DDB56DF"/>
    <w:rsid w:val="7DDDEFD4"/>
    <w:rsid w:val="7DDF34D4"/>
    <w:rsid w:val="7DE2E9EB"/>
    <w:rsid w:val="7DEDD2EF"/>
    <w:rsid w:val="7DF349E7"/>
    <w:rsid w:val="7DF3BFC9"/>
    <w:rsid w:val="7DF49559"/>
    <w:rsid w:val="7DF71673"/>
    <w:rsid w:val="7DF7B73A"/>
    <w:rsid w:val="7DFDF7B3"/>
    <w:rsid w:val="7DFF3287"/>
    <w:rsid w:val="7DFF9874"/>
    <w:rsid w:val="7DFFE1D8"/>
    <w:rsid w:val="7E1BF582"/>
    <w:rsid w:val="7E259D21"/>
    <w:rsid w:val="7E392E69"/>
    <w:rsid w:val="7E4FCEA3"/>
    <w:rsid w:val="7E67DCF9"/>
    <w:rsid w:val="7E684C17"/>
    <w:rsid w:val="7E75D461"/>
    <w:rsid w:val="7E7E7809"/>
    <w:rsid w:val="7E7FED77"/>
    <w:rsid w:val="7E9A36DD"/>
    <w:rsid w:val="7EA66245"/>
    <w:rsid w:val="7EA729C5"/>
    <w:rsid w:val="7EB40E9C"/>
    <w:rsid w:val="7EB52E28"/>
    <w:rsid w:val="7EBBAC76"/>
    <w:rsid w:val="7EBFFC36"/>
    <w:rsid w:val="7EC0284A"/>
    <w:rsid w:val="7EC6CDB1"/>
    <w:rsid w:val="7ECE3379"/>
    <w:rsid w:val="7EDD4060"/>
    <w:rsid w:val="7EDF31A0"/>
    <w:rsid w:val="7EED5D0E"/>
    <w:rsid w:val="7EEE7FE4"/>
    <w:rsid w:val="7EEFA524"/>
    <w:rsid w:val="7EF6734E"/>
    <w:rsid w:val="7EF67D28"/>
    <w:rsid w:val="7EF7F35D"/>
    <w:rsid w:val="7EFD8533"/>
    <w:rsid w:val="7EFDE5B3"/>
    <w:rsid w:val="7EFFA8CD"/>
    <w:rsid w:val="7F1701B1"/>
    <w:rsid w:val="7F3F6B7B"/>
    <w:rsid w:val="7F490149"/>
    <w:rsid w:val="7F4BD664"/>
    <w:rsid w:val="7F4C3CDD"/>
    <w:rsid w:val="7F4D05E1"/>
    <w:rsid w:val="7F564EB8"/>
    <w:rsid w:val="7F5EBE6F"/>
    <w:rsid w:val="7F5ED501"/>
    <w:rsid w:val="7F5F5314"/>
    <w:rsid w:val="7F690514"/>
    <w:rsid w:val="7F6D3133"/>
    <w:rsid w:val="7F777280"/>
    <w:rsid w:val="7F7C9B66"/>
    <w:rsid w:val="7F7DE94B"/>
    <w:rsid w:val="7F7FD0BE"/>
    <w:rsid w:val="7F8F37FE"/>
    <w:rsid w:val="7F9BB98E"/>
    <w:rsid w:val="7F9BE662"/>
    <w:rsid w:val="7FA72D9A"/>
    <w:rsid w:val="7FAFA257"/>
    <w:rsid w:val="7FB721F8"/>
    <w:rsid w:val="7FB7665D"/>
    <w:rsid w:val="7FB775B0"/>
    <w:rsid w:val="7FBD730D"/>
    <w:rsid w:val="7FBF128D"/>
    <w:rsid w:val="7FC5D692"/>
    <w:rsid w:val="7FCFF785"/>
    <w:rsid w:val="7FD79246"/>
    <w:rsid w:val="7FDE065F"/>
    <w:rsid w:val="7FDF17DC"/>
    <w:rsid w:val="7FDF9BCB"/>
    <w:rsid w:val="7FDFF045"/>
    <w:rsid w:val="7FE14CD4"/>
    <w:rsid w:val="7FE35AF9"/>
    <w:rsid w:val="7FE3E2F9"/>
    <w:rsid w:val="7FE4A5DD"/>
    <w:rsid w:val="7FEAAAC8"/>
    <w:rsid w:val="7FEB36E9"/>
    <w:rsid w:val="7FEC221A"/>
    <w:rsid w:val="7FF126FC"/>
    <w:rsid w:val="7FF37141"/>
    <w:rsid w:val="7FF4AE70"/>
    <w:rsid w:val="7FF58BEF"/>
    <w:rsid w:val="7FF7EE23"/>
    <w:rsid w:val="7FFB0078"/>
    <w:rsid w:val="7FFB785D"/>
    <w:rsid w:val="7FFB8326"/>
    <w:rsid w:val="7FFCF52C"/>
    <w:rsid w:val="7FFD434B"/>
    <w:rsid w:val="7FFDE59F"/>
    <w:rsid w:val="7FFE4DFC"/>
    <w:rsid w:val="7FFE6271"/>
    <w:rsid w:val="7FFE67A8"/>
    <w:rsid w:val="7FFEB6E7"/>
    <w:rsid w:val="7FFEC0E5"/>
    <w:rsid w:val="7FFF048E"/>
    <w:rsid w:val="7FFF199B"/>
    <w:rsid w:val="7FFF3530"/>
    <w:rsid w:val="7FFF5666"/>
    <w:rsid w:val="7FFFA202"/>
    <w:rsid w:val="7FFFF12E"/>
    <w:rsid w:val="879D957E"/>
    <w:rsid w:val="87FF773E"/>
    <w:rsid w:val="89DA2EEC"/>
    <w:rsid w:val="8B679F78"/>
    <w:rsid w:val="8DFF549B"/>
    <w:rsid w:val="8FB8952C"/>
    <w:rsid w:val="8FF72C0B"/>
    <w:rsid w:val="92626A3C"/>
    <w:rsid w:val="936FEE95"/>
    <w:rsid w:val="938FAC4F"/>
    <w:rsid w:val="93A5CC63"/>
    <w:rsid w:val="9577C65F"/>
    <w:rsid w:val="95EFC009"/>
    <w:rsid w:val="96BE2C03"/>
    <w:rsid w:val="96FF4351"/>
    <w:rsid w:val="97BBA347"/>
    <w:rsid w:val="97DBE5CF"/>
    <w:rsid w:val="999D07E6"/>
    <w:rsid w:val="99F65CA2"/>
    <w:rsid w:val="99FF491B"/>
    <w:rsid w:val="9AB7640D"/>
    <w:rsid w:val="9AF5A36E"/>
    <w:rsid w:val="9B1A828B"/>
    <w:rsid w:val="9BEF9F59"/>
    <w:rsid w:val="9BFF7D52"/>
    <w:rsid w:val="9CF37C49"/>
    <w:rsid w:val="9D7BFADC"/>
    <w:rsid w:val="9DAFC0A9"/>
    <w:rsid w:val="9E2F2238"/>
    <w:rsid w:val="9E9D9867"/>
    <w:rsid w:val="9EDE2AE3"/>
    <w:rsid w:val="9F3A62A6"/>
    <w:rsid w:val="9FBF9D7D"/>
    <w:rsid w:val="9FDF64D0"/>
    <w:rsid w:val="9FDF76F0"/>
    <w:rsid w:val="9FE826C2"/>
    <w:rsid w:val="9FEF3C92"/>
    <w:rsid w:val="9FF3C3C0"/>
    <w:rsid w:val="A5D31DBE"/>
    <w:rsid w:val="A7FF53A1"/>
    <w:rsid w:val="A97F177B"/>
    <w:rsid w:val="AAE7C279"/>
    <w:rsid w:val="AB7BA50B"/>
    <w:rsid w:val="ABFD9FCE"/>
    <w:rsid w:val="ABFDD93A"/>
    <w:rsid w:val="ABFFFF20"/>
    <w:rsid w:val="AC5BFD87"/>
    <w:rsid w:val="AC7F3EFE"/>
    <w:rsid w:val="ACFDA144"/>
    <w:rsid w:val="ADFFC455"/>
    <w:rsid w:val="AF4AE082"/>
    <w:rsid w:val="AFB3E272"/>
    <w:rsid w:val="AFBBF37D"/>
    <w:rsid w:val="AFFB00C9"/>
    <w:rsid w:val="AFFBA072"/>
    <w:rsid w:val="AFFEE5C0"/>
    <w:rsid w:val="AFFF091E"/>
    <w:rsid w:val="AFFF80A8"/>
    <w:rsid w:val="B2DF1D51"/>
    <w:rsid w:val="B3744DDC"/>
    <w:rsid w:val="B5CF3624"/>
    <w:rsid w:val="B5D9CDCA"/>
    <w:rsid w:val="B5DF2CB3"/>
    <w:rsid w:val="B64739C0"/>
    <w:rsid w:val="B67E5837"/>
    <w:rsid w:val="B6E60054"/>
    <w:rsid w:val="B6FF9E9E"/>
    <w:rsid w:val="B76ACBB4"/>
    <w:rsid w:val="B7A0313D"/>
    <w:rsid w:val="B7DD58DF"/>
    <w:rsid w:val="B7EBFE27"/>
    <w:rsid w:val="B7EF5524"/>
    <w:rsid w:val="B7F7C05F"/>
    <w:rsid w:val="B7FB2D5B"/>
    <w:rsid w:val="B7FB92B9"/>
    <w:rsid w:val="B94BF061"/>
    <w:rsid w:val="BABF8010"/>
    <w:rsid w:val="BABF9DBC"/>
    <w:rsid w:val="BB3EF1B1"/>
    <w:rsid w:val="BB7FBD5F"/>
    <w:rsid w:val="BB9B5D46"/>
    <w:rsid w:val="BBBD4418"/>
    <w:rsid w:val="BBBFED61"/>
    <w:rsid w:val="BBDD305F"/>
    <w:rsid w:val="BBEFE667"/>
    <w:rsid w:val="BBF496C6"/>
    <w:rsid w:val="BBFB6D02"/>
    <w:rsid w:val="BC95C367"/>
    <w:rsid w:val="BCB79680"/>
    <w:rsid w:val="BCCD67A5"/>
    <w:rsid w:val="BCD5E4DA"/>
    <w:rsid w:val="BCED3D13"/>
    <w:rsid w:val="BCEED4F7"/>
    <w:rsid w:val="BD3FBDD0"/>
    <w:rsid w:val="BD535B1C"/>
    <w:rsid w:val="BD5FCAC2"/>
    <w:rsid w:val="BD777E06"/>
    <w:rsid w:val="BDFB6119"/>
    <w:rsid w:val="BDFB69EE"/>
    <w:rsid w:val="BE772388"/>
    <w:rsid w:val="BE77B86B"/>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D2E4F5"/>
    <w:rsid w:val="BFDAFEF1"/>
    <w:rsid w:val="BFDFCF6F"/>
    <w:rsid w:val="BFEBE407"/>
    <w:rsid w:val="BFF02670"/>
    <w:rsid w:val="BFFB0211"/>
    <w:rsid w:val="BFFD5722"/>
    <w:rsid w:val="BFFD7427"/>
    <w:rsid w:val="C7B41E1C"/>
    <w:rsid w:val="C7FFE71A"/>
    <w:rsid w:val="CBF70D76"/>
    <w:rsid w:val="CBFA74AC"/>
    <w:rsid w:val="CDDD8EDB"/>
    <w:rsid w:val="CDFFA4CA"/>
    <w:rsid w:val="CDFFADC5"/>
    <w:rsid w:val="CF45158F"/>
    <w:rsid w:val="CF7D8BE1"/>
    <w:rsid w:val="CFB6DB2E"/>
    <w:rsid w:val="CFBD1627"/>
    <w:rsid w:val="D13E0CBF"/>
    <w:rsid w:val="D1EB2765"/>
    <w:rsid w:val="D37664D3"/>
    <w:rsid w:val="D3DF5173"/>
    <w:rsid w:val="D5DC3EEF"/>
    <w:rsid w:val="D5DD1FA6"/>
    <w:rsid w:val="D6D71CF2"/>
    <w:rsid w:val="D6FD4C14"/>
    <w:rsid w:val="D73D2BC8"/>
    <w:rsid w:val="D7AF38D7"/>
    <w:rsid w:val="D7CB06B3"/>
    <w:rsid w:val="D7EBB5AA"/>
    <w:rsid w:val="D7EEAA36"/>
    <w:rsid w:val="D7FD9DEB"/>
    <w:rsid w:val="D97EE6A1"/>
    <w:rsid w:val="DA3F70A1"/>
    <w:rsid w:val="DA7BAE24"/>
    <w:rsid w:val="DAED8DAB"/>
    <w:rsid w:val="DB2F2876"/>
    <w:rsid w:val="DBEB8CCC"/>
    <w:rsid w:val="DBEDFB56"/>
    <w:rsid w:val="DBEF5601"/>
    <w:rsid w:val="DBF728EC"/>
    <w:rsid w:val="DBF782C6"/>
    <w:rsid w:val="DBFD06F0"/>
    <w:rsid w:val="DC8E399A"/>
    <w:rsid w:val="DCF7FCBF"/>
    <w:rsid w:val="DDD61ECE"/>
    <w:rsid w:val="DDFD42AE"/>
    <w:rsid w:val="DDFFAF02"/>
    <w:rsid w:val="DE7DE3A9"/>
    <w:rsid w:val="DE9F45B9"/>
    <w:rsid w:val="DEBBBACC"/>
    <w:rsid w:val="DEDCFAD1"/>
    <w:rsid w:val="DEDF58F7"/>
    <w:rsid w:val="DEFBA4C6"/>
    <w:rsid w:val="DF4B365C"/>
    <w:rsid w:val="DF6D3DA2"/>
    <w:rsid w:val="DF7EAE43"/>
    <w:rsid w:val="DF999262"/>
    <w:rsid w:val="DF9DE299"/>
    <w:rsid w:val="DFABCEF3"/>
    <w:rsid w:val="DFAE5131"/>
    <w:rsid w:val="DFBBB7BD"/>
    <w:rsid w:val="DFBDE002"/>
    <w:rsid w:val="DFC5C4FD"/>
    <w:rsid w:val="DFC5DC5A"/>
    <w:rsid w:val="DFDB7B89"/>
    <w:rsid w:val="DFDCC01C"/>
    <w:rsid w:val="DFE7E80C"/>
    <w:rsid w:val="DFF4C9BD"/>
    <w:rsid w:val="DFF696AE"/>
    <w:rsid w:val="DFF739C1"/>
    <w:rsid w:val="DFF9001D"/>
    <w:rsid w:val="DFFA9BDD"/>
    <w:rsid w:val="DFFB6D38"/>
    <w:rsid w:val="DFFC13F7"/>
    <w:rsid w:val="DFFD038F"/>
    <w:rsid w:val="DFFE2720"/>
    <w:rsid w:val="E0FA2432"/>
    <w:rsid w:val="E1FD7804"/>
    <w:rsid w:val="E3D766FE"/>
    <w:rsid w:val="E47D5950"/>
    <w:rsid w:val="E5CAE4E2"/>
    <w:rsid w:val="E5CEDE9B"/>
    <w:rsid w:val="E636E1FA"/>
    <w:rsid w:val="E679D313"/>
    <w:rsid w:val="E6FDD701"/>
    <w:rsid w:val="E7B71741"/>
    <w:rsid w:val="E7BC953B"/>
    <w:rsid w:val="E7BF56E5"/>
    <w:rsid w:val="E7DF0108"/>
    <w:rsid w:val="E7F529F1"/>
    <w:rsid w:val="E7FF3BE2"/>
    <w:rsid w:val="E7FF9A5F"/>
    <w:rsid w:val="E91C676C"/>
    <w:rsid w:val="E9BFD536"/>
    <w:rsid w:val="E9FD6DC0"/>
    <w:rsid w:val="EA3E469C"/>
    <w:rsid w:val="EAFF1AF1"/>
    <w:rsid w:val="EB5E3CB2"/>
    <w:rsid w:val="EBCA4121"/>
    <w:rsid w:val="EBCE7211"/>
    <w:rsid w:val="EBDE81AE"/>
    <w:rsid w:val="EBEFA672"/>
    <w:rsid w:val="EBFE8B27"/>
    <w:rsid w:val="ED1389A5"/>
    <w:rsid w:val="ED3D0747"/>
    <w:rsid w:val="ED978444"/>
    <w:rsid w:val="EDDB0315"/>
    <w:rsid w:val="EDED3930"/>
    <w:rsid w:val="EDF7289F"/>
    <w:rsid w:val="EDF97518"/>
    <w:rsid w:val="EDFBADD6"/>
    <w:rsid w:val="EE8EFDEC"/>
    <w:rsid w:val="EEAF7242"/>
    <w:rsid w:val="EEDB5E28"/>
    <w:rsid w:val="EEDF28AA"/>
    <w:rsid w:val="EEEED758"/>
    <w:rsid w:val="EEFE8DBE"/>
    <w:rsid w:val="EF13DE54"/>
    <w:rsid w:val="EF4F9723"/>
    <w:rsid w:val="EF67A073"/>
    <w:rsid w:val="EF6F8F31"/>
    <w:rsid w:val="EF6FA278"/>
    <w:rsid w:val="EF7D8ABA"/>
    <w:rsid w:val="EF7F03C5"/>
    <w:rsid w:val="EF7FCE1C"/>
    <w:rsid w:val="EF8E405A"/>
    <w:rsid w:val="EF9C9E68"/>
    <w:rsid w:val="EFBF55DC"/>
    <w:rsid w:val="EFDEF807"/>
    <w:rsid w:val="EFDF51E2"/>
    <w:rsid w:val="EFF0AC50"/>
    <w:rsid w:val="EFF57E73"/>
    <w:rsid w:val="EFFAAB69"/>
    <w:rsid w:val="EFFE35CC"/>
    <w:rsid w:val="EFFF8FAE"/>
    <w:rsid w:val="EFFF9FB4"/>
    <w:rsid w:val="EFFFD03D"/>
    <w:rsid w:val="F0EFA174"/>
    <w:rsid w:val="F1662D8A"/>
    <w:rsid w:val="F1AF4E16"/>
    <w:rsid w:val="F1D8F34F"/>
    <w:rsid w:val="F1FECEF6"/>
    <w:rsid w:val="F297A469"/>
    <w:rsid w:val="F37F1A6B"/>
    <w:rsid w:val="F3D63749"/>
    <w:rsid w:val="F3F5A866"/>
    <w:rsid w:val="F3FBDEB7"/>
    <w:rsid w:val="F3FC6FA9"/>
    <w:rsid w:val="F3FF5BB4"/>
    <w:rsid w:val="F3FFCF25"/>
    <w:rsid w:val="F46FAD98"/>
    <w:rsid w:val="F4FE255C"/>
    <w:rsid w:val="F59F9348"/>
    <w:rsid w:val="F5AD9AB3"/>
    <w:rsid w:val="F5B70854"/>
    <w:rsid w:val="F5E37445"/>
    <w:rsid w:val="F5ED776E"/>
    <w:rsid w:val="F5FBF73C"/>
    <w:rsid w:val="F66E28C5"/>
    <w:rsid w:val="F6B5EB19"/>
    <w:rsid w:val="F6BF8ABA"/>
    <w:rsid w:val="F6EBABEE"/>
    <w:rsid w:val="F7539ED6"/>
    <w:rsid w:val="F75586CC"/>
    <w:rsid w:val="F757BE1B"/>
    <w:rsid w:val="F77F4DE8"/>
    <w:rsid w:val="F7B7D3B2"/>
    <w:rsid w:val="F7BD1594"/>
    <w:rsid w:val="F7C51E90"/>
    <w:rsid w:val="F7D8FE52"/>
    <w:rsid w:val="F7EF3847"/>
    <w:rsid w:val="F7EFC247"/>
    <w:rsid w:val="F7F627DC"/>
    <w:rsid w:val="F7F6BE77"/>
    <w:rsid w:val="F7F9E291"/>
    <w:rsid w:val="F7FA8869"/>
    <w:rsid w:val="F7FD7969"/>
    <w:rsid w:val="F7FEF956"/>
    <w:rsid w:val="F7FF25CC"/>
    <w:rsid w:val="F8BFB7AD"/>
    <w:rsid w:val="F8E86A9F"/>
    <w:rsid w:val="F8F50656"/>
    <w:rsid w:val="F95FF6D4"/>
    <w:rsid w:val="F96974A4"/>
    <w:rsid w:val="F96B2CFE"/>
    <w:rsid w:val="F98F06C5"/>
    <w:rsid w:val="F9B7DC72"/>
    <w:rsid w:val="F9DB51E2"/>
    <w:rsid w:val="F9DF5CED"/>
    <w:rsid w:val="F9FB0670"/>
    <w:rsid w:val="FA5E03B6"/>
    <w:rsid w:val="FA7F1D70"/>
    <w:rsid w:val="FA955BCC"/>
    <w:rsid w:val="FADF54C2"/>
    <w:rsid w:val="FB5FB189"/>
    <w:rsid w:val="FB602046"/>
    <w:rsid w:val="FB69A8B8"/>
    <w:rsid w:val="FB6D37EE"/>
    <w:rsid w:val="FB772C23"/>
    <w:rsid w:val="FB779FBC"/>
    <w:rsid w:val="FB79859B"/>
    <w:rsid w:val="FB97A6EB"/>
    <w:rsid w:val="FBAF9312"/>
    <w:rsid w:val="FBB637D6"/>
    <w:rsid w:val="FBB6851E"/>
    <w:rsid w:val="FBC1C639"/>
    <w:rsid w:val="FBDFADD2"/>
    <w:rsid w:val="FBDFCEC7"/>
    <w:rsid w:val="FBEDAB20"/>
    <w:rsid w:val="FBEEBF1A"/>
    <w:rsid w:val="FBEFAD1F"/>
    <w:rsid w:val="FBF7CE61"/>
    <w:rsid w:val="FBF7D02E"/>
    <w:rsid w:val="FBF88F0A"/>
    <w:rsid w:val="FBF9B9CB"/>
    <w:rsid w:val="FBFBE0E5"/>
    <w:rsid w:val="FBFBEB82"/>
    <w:rsid w:val="FBFF8324"/>
    <w:rsid w:val="FBFFD768"/>
    <w:rsid w:val="FBFFF823"/>
    <w:rsid w:val="FC7FB26B"/>
    <w:rsid w:val="FCBF2E03"/>
    <w:rsid w:val="FD2BA9A1"/>
    <w:rsid w:val="FD2FA0EB"/>
    <w:rsid w:val="FD3E4B9C"/>
    <w:rsid w:val="FD52EE52"/>
    <w:rsid w:val="FD6F7635"/>
    <w:rsid w:val="FD7F222D"/>
    <w:rsid w:val="FD9A135E"/>
    <w:rsid w:val="FD9F3ACB"/>
    <w:rsid w:val="FD9F88ED"/>
    <w:rsid w:val="FDA39AA1"/>
    <w:rsid w:val="FDA6D35D"/>
    <w:rsid w:val="FDAF1EE6"/>
    <w:rsid w:val="FDB5308D"/>
    <w:rsid w:val="FDBB51CB"/>
    <w:rsid w:val="FDBF4B7B"/>
    <w:rsid w:val="FDBF4E2D"/>
    <w:rsid w:val="FDBFE6F0"/>
    <w:rsid w:val="FDCD8551"/>
    <w:rsid w:val="FDD7341B"/>
    <w:rsid w:val="FDE3B753"/>
    <w:rsid w:val="FDEF4B0E"/>
    <w:rsid w:val="FDF34DA2"/>
    <w:rsid w:val="FDF496D1"/>
    <w:rsid w:val="FDFCFB85"/>
    <w:rsid w:val="FDFE5E87"/>
    <w:rsid w:val="FE17D1BD"/>
    <w:rsid w:val="FE374326"/>
    <w:rsid w:val="FE39E98B"/>
    <w:rsid w:val="FE6158C9"/>
    <w:rsid w:val="FE6BFD21"/>
    <w:rsid w:val="FE6F2352"/>
    <w:rsid w:val="FE7187B9"/>
    <w:rsid w:val="FE76A943"/>
    <w:rsid w:val="FE77EE29"/>
    <w:rsid w:val="FE7A0AD7"/>
    <w:rsid w:val="FE7F23A3"/>
    <w:rsid w:val="FEBDA84F"/>
    <w:rsid w:val="FED74D73"/>
    <w:rsid w:val="FEDE614B"/>
    <w:rsid w:val="FEDE8939"/>
    <w:rsid w:val="FEE67C90"/>
    <w:rsid w:val="FEEB8154"/>
    <w:rsid w:val="FEF5E285"/>
    <w:rsid w:val="FEFBDE7D"/>
    <w:rsid w:val="FEFECA47"/>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91B9D"/>
    <w:rsid w:val="FF79C9B6"/>
    <w:rsid w:val="FF7BDFEA"/>
    <w:rsid w:val="FF7F8AF1"/>
    <w:rsid w:val="FF7F9FDA"/>
    <w:rsid w:val="FF9CF1FF"/>
    <w:rsid w:val="FF9DE724"/>
    <w:rsid w:val="FFA93AEE"/>
    <w:rsid w:val="FFAA9BF8"/>
    <w:rsid w:val="FFB4D7E4"/>
    <w:rsid w:val="FFBB3F78"/>
    <w:rsid w:val="FFBC7C87"/>
    <w:rsid w:val="FFBF8302"/>
    <w:rsid w:val="FFC7AECA"/>
    <w:rsid w:val="FFCFEACA"/>
    <w:rsid w:val="FFD7A005"/>
    <w:rsid w:val="FFDA3A54"/>
    <w:rsid w:val="FFDC302C"/>
    <w:rsid w:val="FFDF14C5"/>
    <w:rsid w:val="FFDF8759"/>
    <w:rsid w:val="FFE5D90C"/>
    <w:rsid w:val="FFEADEC7"/>
    <w:rsid w:val="FFEBC6FB"/>
    <w:rsid w:val="FFEE7CB6"/>
    <w:rsid w:val="FFEF1D97"/>
    <w:rsid w:val="FFEF2274"/>
    <w:rsid w:val="FFEFE9B5"/>
    <w:rsid w:val="FFF07CCE"/>
    <w:rsid w:val="FFF5A7F4"/>
    <w:rsid w:val="FFF6BC88"/>
    <w:rsid w:val="FFF77317"/>
    <w:rsid w:val="FFF7C599"/>
    <w:rsid w:val="FFFA6A64"/>
    <w:rsid w:val="FFFABAD1"/>
    <w:rsid w:val="FFFB22C5"/>
    <w:rsid w:val="FFFB341B"/>
    <w:rsid w:val="FFFB431B"/>
    <w:rsid w:val="FFFC4F8A"/>
    <w:rsid w:val="FFFEBFCB"/>
    <w:rsid w:val="FFFF50E8"/>
    <w:rsid w:val="FFFF52C3"/>
    <w:rsid w:val="FFFF655E"/>
    <w:rsid w:val="FFFF7481"/>
    <w:rsid w:val="FFFF9DA9"/>
    <w:rsid w:val="FFFFA5C2"/>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ody Text Indent"/>
    <w:basedOn w:val="1"/>
    <w:qFormat/>
    <w:uiPriority w:val="0"/>
    <w:pPr>
      <w:spacing w:line="300" w:lineRule="auto"/>
      <w:ind w:firstLine="560" w:firstLineChars="200"/>
    </w:pPr>
    <w:rPr>
      <w:sz w:val="28"/>
      <w:szCs w:val="28"/>
    </w:rPr>
  </w:style>
  <w:style w:type="character" w:styleId="6">
    <w:name w:val="Emphasis"/>
    <w:basedOn w:val="3"/>
    <w:qFormat/>
    <w:uiPriority w:val="0"/>
    <w:rPr>
      <w:i/>
    </w:rPr>
  </w:style>
  <w:style w:type="paragraph" w:styleId="7">
    <w:name w:val="footer"/>
    <w:basedOn w:val="1"/>
    <w:qFormat/>
    <w:uiPriority w:val="99"/>
    <w:pPr>
      <w:tabs>
        <w:tab w:val="center" w:pos="4153"/>
        <w:tab w:val="right" w:pos="8306"/>
      </w:tabs>
      <w:snapToGrid w:val="0"/>
      <w:jc w:val="left"/>
    </w:pPr>
    <w:rPr>
      <w:kern w:val="0"/>
      <w:sz w:val="18"/>
      <w:szCs w:val="18"/>
    </w:rPr>
  </w:style>
  <w:style w:type="character" w:styleId="8">
    <w:name w:val="footnote reference"/>
    <w:basedOn w:val="3"/>
    <w:qFormat/>
    <w:uiPriority w:val="0"/>
    <w:rPr>
      <w:vertAlign w:val="superscript"/>
    </w:rPr>
  </w:style>
  <w:style w:type="paragraph" w:styleId="9">
    <w:name w:val="footnote text"/>
    <w:basedOn w:val="1"/>
    <w:qFormat/>
    <w:uiPriority w:val="0"/>
    <w:pPr>
      <w:snapToGrid w:val="0"/>
      <w:jc w:val="left"/>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1">
    <w:name w:val="Hyperlink"/>
    <w:basedOn w:val="3"/>
    <w:qFormat/>
    <w:uiPriority w:val="0"/>
    <w:rPr>
      <w:color w:val="0000FF"/>
      <w:u w:val="single"/>
    </w:rPr>
  </w:style>
  <w:style w:type="paragraph" w:styleId="12">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3">
    <w:name w:val="Normal Indent"/>
    <w:basedOn w:val="1"/>
    <w:qFormat/>
    <w:uiPriority w:val="0"/>
    <w:pPr>
      <w:adjustRightInd w:val="0"/>
      <w:snapToGrid w:val="0"/>
      <w:spacing w:line="360" w:lineRule="atLeast"/>
      <w:ind w:firstLine="200" w:firstLineChars="200"/>
    </w:pPr>
    <w:rPr>
      <w:snapToGrid w:val="0"/>
      <w:kern w:val="0"/>
      <w:sz w:val="24"/>
    </w:rPr>
  </w:style>
  <w:style w:type="character" w:styleId="14">
    <w:name w:val="page number"/>
    <w:qFormat/>
    <w:uiPriority w:val="0"/>
  </w:style>
  <w:style w:type="paragraph" w:styleId="15">
    <w:name w:val="Plain Text"/>
    <w:basedOn w:val="1"/>
    <w:qFormat/>
    <w:uiPriority w:val="0"/>
    <w:rPr>
      <w:rFonts w:ascii="宋体" w:hAnsi="Courier New"/>
      <w:szCs w:val="20"/>
    </w:rPr>
  </w:style>
  <w:style w:type="character" w:styleId="16">
    <w:name w:val="Strong"/>
    <w:basedOn w:val="3"/>
    <w:qFormat/>
    <w:uiPriority w:val="0"/>
    <w:rPr>
      <w:b/>
      <w:bCs/>
    </w:rPr>
  </w:style>
  <w:style w:type="table" w:styleId="17">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oc 1"/>
    <w:basedOn w:val="1"/>
    <w:next w:val="1"/>
    <w:qFormat/>
    <w:uiPriority w:val="0"/>
  </w:style>
  <w:style w:type="paragraph" w:styleId="19">
    <w:name w:val="toc 2"/>
    <w:basedOn w:val="1"/>
    <w:next w:val="1"/>
    <w:qFormat/>
    <w:uiPriority w:val="0"/>
    <w:pPr>
      <w:ind w:left="420" w:leftChars="200"/>
    </w:pPr>
  </w:style>
  <w:style w:type="paragraph" w:styleId="20">
    <w:name w:val="toc 3"/>
    <w:basedOn w:val="1"/>
    <w:next w:val="1"/>
    <w:qFormat/>
    <w:uiPriority w:val="0"/>
    <w:pPr>
      <w:ind w:left="840" w:leftChars="400"/>
    </w:pPr>
  </w:style>
  <w:style w:type="table" w:customStyle="1" w:styleId="21">
    <w:name w:val="网格表 1 浅色 - 着色 51"/>
    <w:basedOn w:val="4"/>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5">
    <w:name w:val="font31"/>
    <w:basedOn w:val="3"/>
    <w:qFormat/>
    <w:uiPriority w:val="0"/>
    <w:rPr>
      <w:rFonts w:hint="default" w:ascii="Times New Roman" w:hAnsi="Times New Roman" w:cs="Times New Roman"/>
      <w:color w:val="000000"/>
      <w:sz w:val="21"/>
      <w:szCs w:val="21"/>
      <w:u w:val="none"/>
    </w:rPr>
  </w:style>
  <w:style w:type="character" w:customStyle="1" w:styleId="26">
    <w:name w:val="font11"/>
    <w:basedOn w:val="3"/>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3" Type="http://schemas.openxmlformats.org/officeDocument/2006/relationships/fontTable" Target="fontTable.xml"/><Relationship Id="rId92" Type="http://schemas.openxmlformats.org/officeDocument/2006/relationships/numbering" Target="numbering.xml"/><Relationship Id="rId91" Type="http://schemas.openxmlformats.org/officeDocument/2006/relationships/customXml" Target="../customXml/item1.xml"/><Relationship Id="rId90" Type="http://schemas.openxmlformats.org/officeDocument/2006/relationships/image" Target="media/image47.png"/><Relationship Id="rId9" Type="http://schemas.openxmlformats.org/officeDocument/2006/relationships/header" Target="header3.xml"/><Relationship Id="rId89" Type="http://schemas.openxmlformats.org/officeDocument/2006/relationships/image" Target="media/image46.png"/><Relationship Id="rId88" Type="http://schemas.openxmlformats.org/officeDocument/2006/relationships/image" Target="media/image45.png"/><Relationship Id="rId87" Type="http://schemas.openxmlformats.org/officeDocument/2006/relationships/image" Target="media/image44.png"/><Relationship Id="rId86" Type="http://schemas.openxmlformats.org/officeDocument/2006/relationships/image" Target="media/image43.jpeg"/><Relationship Id="rId85" Type="http://schemas.openxmlformats.org/officeDocument/2006/relationships/image" Target="media/image42.png"/><Relationship Id="rId84" Type="http://schemas.openxmlformats.org/officeDocument/2006/relationships/image" Target="media/image41.png"/><Relationship Id="rId83"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image" Target="media/image38.wmf"/><Relationship Id="rId80" Type="http://schemas.openxmlformats.org/officeDocument/2006/relationships/image" Target="media/image37.wmf"/><Relationship Id="rId8" Type="http://schemas.openxmlformats.org/officeDocument/2006/relationships/footer" Target="footer3.xml"/><Relationship Id="rId79" Type="http://schemas.openxmlformats.org/officeDocument/2006/relationships/image" Target="media/image36.wmf"/><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2.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header" Target="head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wmf"/><Relationship Id="rId50" Type="http://schemas.openxmlformats.org/officeDocument/2006/relationships/image" Target="media/image7.png"/><Relationship Id="rId5" Type="http://schemas.openxmlformats.org/officeDocument/2006/relationships/header" Target="header1.xml"/><Relationship Id="rId49" Type="http://schemas.openxmlformats.org/officeDocument/2006/relationships/image" Target="media/image6.png"/><Relationship Id="rId48" Type="http://schemas.openxmlformats.org/officeDocument/2006/relationships/image" Target="media/image5.png"/><Relationship Id="rId47" Type="http://schemas.openxmlformats.org/officeDocument/2006/relationships/image" Target="media/image4.png"/><Relationship Id="rId46" Type="http://schemas.openxmlformats.org/officeDocument/2006/relationships/image" Target="media/image3.png"/><Relationship Id="rId45" Type="http://schemas.openxmlformats.org/officeDocument/2006/relationships/image" Target="media/image2.png"/><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5.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4.xml"/><Relationship Id="rId32" Type="http://schemas.openxmlformats.org/officeDocument/2006/relationships/footer" Target="footer13.xml"/><Relationship Id="rId31" Type="http://schemas.openxmlformats.org/officeDocument/2006/relationships/footer" Target="footer12.xml"/><Relationship Id="rId30" Type="http://schemas.openxmlformats.org/officeDocument/2006/relationships/header" Target="header16.xml"/><Relationship Id="rId3" Type="http://schemas.openxmlformats.org/officeDocument/2006/relationships/footnotes" Target="footnotes.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2</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2022-03-09T16:38:00Z</dcterms:created>
  <dc:creator>34868</dc:creator>
  <cp:lastModifiedBy>WPS_1599482153</cp:lastModifiedBy>
  <cp:lastPrinted>2022-12-08T16:57:00Z</cp:lastPrinted>
  <dcterms:modified xsi:type="dcterms:W3CDTF">2023-05-29T18:06:37Z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