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本章重点描述清结算系统各模块核心业务功能实现的数据结构和算法，并通过UML类图、泳道图、时序图进行详细设计。最后，对概要设计部分中的ER数据图进行详细设计。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清分模块采用阿里巴巴MySQL binlog 增量订阅和消费组件canal将交易系统的binlog数据同步到消息中间件RocketMQ 中，然后订阅RocketMQ获取交易数据。交易系统根据业务交易类型将交易数据保存到对应的数据库表中，比如支付表，退款表和拒付表等。因此，清分模块需要按照表的交易类型进行分类处理。同时，清结算接收到的是二进制日志数据，不满足自身业务数据需求，需要进行数据格式转换。其次，为了防止对错误数据或者缺失数据进行后续计费逻辑而导致的大量异常重试堆积，需要提前进行数据字段校验。最后，为了保持系统健壮性，需要对异常数据进行重试处理。</w:t>
      </w:r>
    </w:p>
    <w:p>
      <w:pPr>
        <w:spacing w:line="400" w:lineRule="exact"/>
        <w:ind w:firstLine="420" w:firstLineChars="0"/>
        <w:rPr>
          <w:rFonts w:hint="default" w:cs="宋体"/>
          <w:color w:val="000000"/>
          <w:sz w:val="24"/>
        </w:rPr>
      </w:pPr>
      <w:r>
        <w:rPr>
          <w:rFonts w:hint="default" w:cs="宋体"/>
          <w:color w:val="000000"/>
          <w:sz w:val="24"/>
        </w:rPr>
        <w:t>根据上述分析，清分模块主要的逻辑分为数据解析和字段校验和异常处理三部分。数据解析部分主要任务是定义Binlog对象，将二进制数据解析为Binlog对象，最后做一些缓存；字段校验部分主要内容是匹配表处理器hanler，判断数据是否满足清算条件，最后进行参数校验和</w:t>
      </w:r>
      <w:r>
        <w:rPr>
          <w:rFonts w:hint="default" w:cs="宋体"/>
          <w:color w:val="000000"/>
          <w:sz w:val="24"/>
        </w:rPr>
        <w:t>构造清分对象</w:t>
      </w:r>
      <w:r>
        <w:rPr>
          <w:rFonts w:hint="default" w:cs="宋体"/>
          <w:color w:val="000000"/>
          <w:sz w:val="24"/>
        </w:rPr>
        <w:t>。异常处理逻辑包含binlog 解析和校验部分的异常，对于binlog解析异常，清分模块不需要进行重试；对于字段校验异常，首先需要将异常数据落库，其次需要发送到RocketMQ延迟队列进行重试处理。清分模块泳道图如图所示。</w:t>
      </w:r>
    </w:p>
    <w:p>
      <w:pPr>
        <w:spacing w:line="400" w:lineRule="exact"/>
        <w:ind w:firstLine="420" w:firstLineChars="0"/>
        <w:rPr>
          <w:rFonts w:hint="default" w:cs="宋体"/>
          <w:color w:val="000000"/>
          <w:sz w:val="24"/>
        </w:rPr>
      </w:pPr>
      <w:r>
        <w:drawing>
          <wp:anchor distT="0" distB="0" distL="114300" distR="114300" simplePos="0" relativeHeight="251683840" behindDoc="0" locked="0" layoutInCell="1" allowOverlap="1">
            <wp:simplePos x="0" y="0"/>
            <wp:positionH relativeFrom="column">
              <wp:posOffset>555625</wp:posOffset>
            </wp:positionH>
            <wp:positionV relativeFrom="paragraph">
              <wp:posOffset>12065</wp:posOffset>
            </wp:positionV>
            <wp:extent cx="4012565" cy="5316220"/>
            <wp:effectExtent l="0" t="0" r="635" b="17780"/>
            <wp:wrapTopAndBottom/>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
                    <pic:cNvPicPr>
                      <a:picLocks noChangeAspect="1"/>
                    </pic:cNvPicPr>
                  </pic:nvPicPr>
                  <pic:blipFill>
                    <a:blip r:embed="rId55"/>
                    <a:stretch>
                      <a:fillRect/>
                    </a:stretch>
                  </pic:blipFill>
                  <pic:spPr>
                    <a:xfrm>
                      <a:off x="0" y="0"/>
                      <a:ext cx="4012565" cy="531622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在Binlog处理中，需要根据交易类型匹配合适的表处理器handler，然后通过 handler 完成下面的清分条件判断和构造清分实体逻辑，使Blinog处理逻辑集中对应的handler中，与主流程解耦。通过分析发现，根据类型匹配handler明显可以通过面向对象的多态技术实现条件匹配。因此，这里通过接口和继承实现多态行为，不同交易类型的实现类handler 继承TradeTableHander接口，实现不同的处理逻辑，避免在主流程中进行if 条件判断。最后，根据领域驱动设计中的充血模型思想，将Blinog解析的逻辑放在Binlog对象中，调用者BinlogParser只需要进行参数类型转换和异常处理，然后委托给Binlog处理，使得对象不仅仅是数据容器，而是包含具体的业务逻辑的领域实体。Binlog处理类图如图所示。</w:t>
      </w:r>
    </w:p>
    <w:p>
      <w:pPr>
        <w:spacing w:line="400" w:lineRule="exact"/>
        <w:ind w:firstLine="420" w:firstLineChars="0"/>
        <w:rPr>
          <w:rFonts w:hint="default" w:cs="宋体"/>
          <w:color w:val="000000"/>
          <w:sz w:val="24"/>
        </w:rPr>
      </w:pPr>
    </w:p>
    <w:p>
      <w:pPr>
        <w:widowControl/>
        <w:spacing w:before="240" w:after="120"/>
        <w:jc w:val="center"/>
        <w:outlineLvl w:val="2"/>
      </w:pPr>
      <w:r>
        <w:drawing>
          <wp:anchor distT="0" distB="0" distL="114300" distR="114300" simplePos="0" relativeHeight="251685888" behindDoc="0" locked="0" layoutInCell="1" allowOverlap="1">
            <wp:simplePos x="0" y="0"/>
            <wp:positionH relativeFrom="column">
              <wp:posOffset>335280</wp:posOffset>
            </wp:positionH>
            <wp:positionV relativeFrom="paragraph">
              <wp:posOffset>-3810</wp:posOffset>
            </wp:positionV>
            <wp:extent cx="4803775" cy="3325495"/>
            <wp:effectExtent l="0" t="0" r="22225" b="1905"/>
            <wp:wrapTopAndBottom/>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2"/>
                    <pic:cNvPicPr>
                      <a:picLocks noChangeAspect="1"/>
                    </pic:cNvPicPr>
                  </pic:nvPicPr>
                  <pic:blipFill>
                    <a:blip r:embed="rId56"/>
                    <a:stretch>
                      <a:fillRect/>
                    </a:stretch>
                  </pic:blipFill>
                  <pic:spPr>
                    <a:xfrm>
                      <a:off x="0" y="0"/>
                      <a:ext cx="4803775" cy="33254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计费</w:t>
      </w:r>
      <w:r>
        <w:rPr>
          <w:rFonts w:hint="default" w:eastAsia="黑体" w:cs="黑体"/>
          <w:color w:val="000000"/>
          <w:kern w:val="0"/>
          <w:sz w:val="26"/>
          <w:lang w:bidi="ar"/>
        </w:rPr>
        <w:t>设计</w:t>
      </w:r>
    </w:p>
    <w:p>
      <w:pPr>
        <w:spacing w:line="400" w:lineRule="exact"/>
        <w:ind w:firstLine="420" w:firstLineChars="0"/>
        <w:rPr>
          <w:rFonts w:hint="default" w:eastAsia="宋体" w:cs="宋体"/>
          <w:color w:val="000000"/>
          <w:sz w:val="24"/>
        </w:rPr>
      </w:pPr>
      <w:r>
        <w:rPr>
          <w:rFonts w:hint="default" w:eastAsia="宋体" w:cs="宋体"/>
          <w:color w:val="000000"/>
          <w:sz w:val="24"/>
        </w:rPr>
        <w:t>清分模块的核心目标就是计算商户一笔交易的各种手续费。然而，作为第三方支付平台，所服务的商户数多达几十万、数百万，并提供数十种交易服务，计费服务必须能合理高效的对数量庞大的商户、丰富的交易类型以及不同商户的计费配置进行手续费计算。为此，清结算系统将商户结算配置抽离出来，单独配置和保存，整个计费流程根据商户的计费配置进行处理。为了解决不同交易类型，计费逻辑不同的问题，计费模块通过接口和抽象类和子类继承的方式，使得每种交易类型对应一种计费服务。类图如图所示。</w:t>
      </w:r>
    </w:p>
    <w:p>
      <w:pPr>
        <w:spacing w:line="400" w:lineRule="exact"/>
        <w:ind w:firstLine="420" w:firstLineChars="0"/>
        <w:rPr>
          <w:rFonts w:hint="default" w:eastAsia="宋体" w:cs="宋体"/>
          <w:color w:val="000000"/>
          <w:sz w:val="24"/>
        </w:rPr>
      </w:pPr>
      <w:r>
        <w:drawing>
          <wp:anchor distT="0" distB="0" distL="114300" distR="114300" simplePos="0" relativeHeight="251684864" behindDoc="0" locked="0" layoutInCell="1" allowOverlap="1">
            <wp:simplePos x="0" y="0"/>
            <wp:positionH relativeFrom="column">
              <wp:posOffset>556260</wp:posOffset>
            </wp:positionH>
            <wp:positionV relativeFrom="paragraph">
              <wp:posOffset>82550</wp:posOffset>
            </wp:positionV>
            <wp:extent cx="4377055" cy="2191385"/>
            <wp:effectExtent l="0" t="0" r="17145" b="18415"/>
            <wp:wrapTopAndBottom/>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1"/>
                    <pic:cNvPicPr>
                      <a:picLocks noChangeAspect="1"/>
                    </pic:cNvPicPr>
                  </pic:nvPicPr>
                  <pic:blipFill>
                    <a:blip r:embed="rId57"/>
                    <a:stretch>
                      <a:fillRect/>
                    </a:stretch>
                  </pic:blipFill>
                  <pic:spPr>
                    <a:xfrm>
                      <a:off x="0" y="0"/>
                      <a:ext cx="4377055" cy="2191385"/>
                    </a:xfrm>
                    <a:prstGeom prst="rect">
                      <a:avLst/>
                    </a:prstGeom>
                    <a:noFill/>
                    <a:ln>
                      <a:noFill/>
                    </a:ln>
                  </pic:spPr>
                </pic:pic>
              </a:graphicData>
            </a:graphic>
          </wp:anchor>
        </w:drawing>
      </w:r>
    </w:p>
    <w:p>
      <w:pPr>
        <w:spacing w:line="400" w:lineRule="exact"/>
        <w:ind w:firstLine="420" w:firstLineChars="0"/>
        <w:rPr>
          <w:rFonts w:hint="default" w:cs="宋体"/>
          <w:color w:val="000000"/>
          <w:sz w:val="24"/>
          <w:lang w:eastAsia="zh-CN"/>
        </w:rPr>
      </w:pPr>
      <w:r>
        <w:rPr>
          <w:rFonts w:hint="default" w:cs="宋体"/>
          <w:color w:val="000000"/>
          <w:sz w:val="24"/>
        </w:rPr>
        <w:t>ClearCalculateService 作为计费统一接口，定义了清分操作calculate 方法签名。为了保持通用，calculate 入参为泛型，返回结果为值对象ClearResult。抽象类</w:t>
      </w:r>
      <w:r>
        <w:rPr>
          <w:rFonts w:hint="default" w:cs="宋体"/>
          <w:color w:val="000000"/>
          <w:sz w:val="24"/>
          <w:lang w:eastAsia="zh-CN"/>
        </w:rPr>
        <w:t>AbstractCearCalculateService实现该接口，并添加参数预校验方法preCheck</w:t>
      </w:r>
      <w:r>
        <w:rPr>
          <w:rFonts w:hint="default" w:cs="宋体"/>
          <w:color w:val="000000"/>
          <w:sz w:val="24"/>
          <w:lang w:eastAsia="zh-CN"/>
        </w:rPr>
        <w:t>和</w:t>
      </w:r>
      <w:r>
        <w:rPr>
          <w:rFonts w:hint="default" w:cs="宋体"/>
          <w:color w:val="000000"/>
          <w:sz w:val="24"/>
          <w:lang w:eastAsia="zh-CN"/>
        </w:rPr>
        <w:t>计费方法</w:t>
      </w:r>
      <w:r>
        <w:rPr>
          <w:rFonts w:hint="default" w:cs="宋体"/>
          <w:color w:val="000000"/>
          <w:sz w:val="24"/>
          <w:lang w:eastAsia="zh-CN"/>
        </w:rPr>
        <w:t>doCalculate</w:t>
      </w:r>
      <w:r>
        <w:rPr>
          <w:rFonts w:hint="default" w:cs="宋体"/>
          <w:color w:val="000000"/>
          <w:sz w:val="24"/>
          <w:lang w:eastAsia="zh-CN"/>
        </w:rPr>
        <w:t>，分别</w:t>
      </w:r>
      <w:r>
        <w:rPr>
          <w:rFonts w:hint="default" w:cs="宋体"/>
          <w:color w:val="000000"/>
          <w:sz w:val="24"/>
          <w:lang w:eastAsia="zh-CN"/>
        </w:rPr>
        <w:t>判断入参是否满足计费条件和负责具体的计费逻辑。子类继承该抽象类，覆盖doCalculate方法，添加计费逻辑。为了简化计费流程，calculate方法采用设计模式的</w:t>
      </w:r>
      <w:r>
        <w:rPr>
          <w:rFonts w:hint="default" w:cs="宋体"/>
          <w:color w:val="000000"/>
          <w:sz w:val="24"/>
          <w:lang w:eastAsia="zh-CN"/>
        </w:rPr>
        <w:t>模版方法</w:t>
      </w:r>
      <w:r>
        <w:rPr>
          <w:rFonts w:hint="default" w:cs="宋体"/>
          <w:color w:val="000000"/>
          <w:sz w:val="24"/>
          <w:lang w:eastAsia="zh-CN"/>
        </w:rPr>
        <w:t>，统一了计费的标准流程。具体流程为：先参数校验，校验成功后再计费，否则返回失败的ClearResult对象。Pay</w:t>
      </w:r>
      <w:r>
        <w:rPr>
          <w:rFonts w:hint="default" w:cs="宋体"/>
          <w:color w:val="000000"/>
          <w:sz w:val="24"/>
          <w:lang w:eastAsia="zh-CN"/>
        </w:rPr>
        <w:t>CearCalculateService</w:t>
      </w:r>
      <w:r>
        <w:rPr>
          <w:rFonts w:hint="default" w:cs="宋体"/>
          <w:color w:val="000000"/>
          <w:sz w:val="24"/>
          <w:lang w:eastAsia="zh-CN"/>
        </w:rPr>
        <w:t>和Refund</w:t>
      </w:r>
      <w:r>
        <w:rPr>
          <w:rFonts w:hint="default" w:cs="宋体"/>
          <w:color w:val="000000"/>
          <w:sz w:val="24"/>
          <w:lang w:eastAsia="zh-CN"/>
        </w:rPr>
        <w:t>CearCalculateService</w:t>
      </w:r>
      <w:r>
        <w:rPr>
          <w:rFonts w:hint="default" w:cs="宋体"/>
          <w:color w:val="000000"/>
          <w:sz w:val="24"/>
          <w:lang w:eastAsia="zh-CN"/>
        </w:rPr>
        <w:t>分别为支付计费服务和退款计费服务，内部将计费服务委托给ChargeCalculatorService这个实际的收费服务，得到计费列表后再更新清分实体。这样处理的原因是划分收费服务边界上下文，使得收费服务保持独立，与清分上下文解耦，使得模块间的职责边界更加清晰，符合高内聚低耦合的编码原则。</w:t>
      </w:r>
      <w:r>
        <w:rPr>
          <w:rFonts w:hint="default" w:cs="宋体"/>
          <w:color w:val="000000"/>
          <w:sz w:val="24"/>
          <w:lang w:eastAsia="zh-CN"/>
        </w:rPr>
        <w:t>ChargeCalculatorService</w:t>
      </w:r>
      <w:r>
        <w:rPr>
          <w:rFonts w:hint="default" w:cs="宋体"/>
          <w:color w:val="000000"/>
          <w:sz w:val="24"/>
          <w:lang w:eastAsia="zh-CN"/>
        </w:rPr>
        <w:t>分别负责支付和退款交易的收费服务，对于支付交易，需要计算交易手续费、分期费、税费和净额；对于退款交易，需要计算退款手续费、退分期费、退税费和退净额。支付计费整体的交互时顺序如图所示。</w:t>
      </w:r>
    </w:p>
    <w:p>
      <w:pPr>
        <w:spacing w:line="400" w:lineRule="exact"/>
        <w:ind w:firstLine="420" w:firstLineChars="0"/>
        <w:rPr>
          <w:rFonts w:hint="default" w:cs="宋体"/>
          <w:color w:val="000000"/>
          <w:sz w:val="24"/>
          <w:lang w:eastAsia="zh-CN"/>
        </w:rPr>
      </w:pPr>
      <w:r>
        <w:drawing>
          <wp:anchor distT="0" distB="0" distL="114300" distR="114300" simplePos="0" relativeHeight="251687936" behindDoc="0" locked="0" layoutInCell="1" allowOverlap="1">
            <wp:simplePos x="0" y="0"/>
            <wp:positionH relativeFrom="column">
              <wp:posOffset>189865</wp:posOffset>
            </wp:positionH>
            <wp:positionV relativeFrom="paragraph">
              <wp:posOffset>83820</wp:posOffset>
            </wp:positionV>
            <wp:extent cx="5293360" cy="4170680"/>
            <wp:effectExtent l="0" t="0" r="15240" b="20320"/>
            <wp:wrapTopAndBottom/>
            <wp:docPr id="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6"/>
                    <pic:cNvPicPr>
                      <a:picLocks noChangeAspect="1"/>
                    </pic:cNvPicPr>
                  </pic:nvPicPr>
                  <pic:blipFill>
                    <a:blip r:embed="rId58"/>
                    <a:stretch>
                      <a:fillRect/>
                    </a:stretch>
                  </pic:blipFill>
                  <pic:spPr>
                    <a:xfrm>
                      <a:off x="0" y="0"/>
                      <a:ext cx="5293360" cy="4170680"/>
                    </a:xfrm>
                    <a:prstGeom prst="rect">
                      <a:avLst/>
                    </a:prstGeom>
                    <a:noFill/>
                    <a:ln>
                      <a:noFill/>
                    </a:ln>
                  </pic:spPr>
                </pic:pic>
              </a:graphicData>
            </a:graphic>
          </wp:anchor>
        </w:drawing>
      </w:r>
      <w:r>
        <w:rPr>
          <w:rFonts w:hint="default" w:cs="宋体"/>
          <w:color w:val="000000"/>
          <w:sz w:val="24"/>
          <w:lang w:eastAsia="zh-CN"/>
        </w:rPr>
        <w:t xml:space="preserve">  </w:t>
      </w:r>
    </w:p>
    <w:p>
      <w:pPr>
        <w:spacing w:line="400" w:lineRule="exact"/>
        <w:ind w:firstLine="420" w:firstLineChars="0"/>
        <w:rPr>
          <w:rFonts w:hint="default" w:cs="宋体"/>
          <w:color w:val="000000"/>
          <w:sz w:val="24"/>
          <w:lang w:eastAsia="zh-CN"/>
        </w:rPr>
      </w:pPr>
      <w:r>
        <w:rPr>
          <w:rFonts w:hint="default" w:cs="宋体"/>
          <w:color w:val="000000"/>
          <w:sz w:val="24"/>
        </w:rPr>
        <w:t>从上图可知，</w:t>
      </w:r>
      <w:r>
        <w:rPr>
          <w:rFonts w:hint="default" w:cs="宋体"/>
          <w:color w:val="000000"/>
          <w:sz w:val="24"/>
          <w:lang w:eastAsia="zh-CN"/>
        </w:rPr>
        <w:t>PayCearCalculateService</w:t>
      </w:r>
      <w:r>
        <w:rPr>
          <w:rFonts w:hint="default" w:cs="宋体"/>
          <w:color w:val="000000"/>
          <w:sz w:val="24"/>
          <w:lang w:eastAsia="zh-CN"/>
        </w:rPr>
        <w:t>主要任务是组转计费参数，即根据分服务传递的清分实体ClearingBillEntity抽取出</w:t>
      </w:r>
      <w:r>
        <w:rPr>
          <w:rFonts w:hint="default" w:cs="宋体"/>
          <w:color w:val="000000"/>
          <w:sz w:val="24"/>
          <w:lang w:eastAsia="zh-CN"/>
        </w:rPr>
        <w:t>ChargeCalculatorService</w:t>
      </w:r>
      <w:r>
        <w:rPr>
          <w:rFonts w:hint="default" w:cs="宋体"/>
          <w:color w:val="000000"/>
          <w:sz w:val="24"/>
          <w:lang w:eastAsia="zh-CN"/>
        </w:rPr>
        <w:t>需要的计费参数实体TradeInfo，然后调用</w:t>
      </w:r>
      <w:r>
        <w:rPr>
          <w:rFonts w:hint="default" w:cs="宋体"/>
          <w:color w:val="000000"/>
          <w:sz w:val="24"/>
          <w:lang w:eastAsia="zh-CN"/>
        </w:rPr>
        <w:t>ChargeCalculatorService</w:t>
      </w:r>
      <w:r>
        <w:rPr>
          <w:rFonts w:hint="default" w:cs="宋体"/>
          <w:color w:val="000000"/>
          <w:sz w:val="24"/>
          <w:lang w:eastAsia="zh-CN"/>
        </w:rPr>
        <w:t>进行计费；</w:t>
      </w:r>
      <w:r>
        <w:rPr>
          <w:rFonts w:hint="default" w:cs="宋体"/>
          <w:color w:val="000000"/>
          <w:sz w:val="24"/>
          <w:lang w:eastAsia="zh-CN"/>
        </w:rPr>
        <w:t>支付计费的</w:t>
      </w:r>
      <w:r>
        <w:rPr>
          <w:rFonts w:hint="default" w:cs="宋体"/>
          <w:color w:val="000000"/>
          <w:sz w:val="24"/>
          <w:lang w:eastAsia="zh-CN"/>
        </w:rPr>
        <w:t>逻辑</w:t>
      </w:r>
      <w:r>
        <w:rPr>
          <w:rFonts w:hint="default" w:cs="宋体"/>
          <w:color w:val="000000"/>
          <w:sz w:val="24"/>
          <w:lang w:eastAsia="zh-CN"/>
        </w:rPr>
        <w:t>分为</w:t>
      </w:r>
      <w:r>
        <w:rPr>
          <w:rFonts w:hint="default" w:cs="宋体"/>
          <w:color w:val="000000"/>
          <w:sz w:val="24"/>
          <w:lang w:eastAsia="zh-CN"/>
        </w:rPr>
        <w:t>两部分</w:t>
      </w:r>
      <w:r>
        <w:rPr>
          <w:rFonts w:hint="default" w:cs="宋体"/>
          <w:color w:val="000000"/>
          <w:sz w:val="24"/>
          <w:lang w:eastAsia="zh-CN"/>
        </w:rPr>
        <w:t>，前置</w:t>
      </w:r>
      <w:r>
        <w:rPr>
          <w:rFonts w:hint="default" w:cs="宋体"/>
          <w:color w:val="000000"/>
          <w:sz w:val="24"/>
          <w:lang w:eastAsia="zh-CN"/>
        </w:rPr>
        <w:t>计费</w:t>
      </w:r>
      <w:r>
        <w:rPr>
          <w:rFonts w:hint="default" w:cs="宋体"/>
          <w:color w:val="000000"/>
          <w:sz w:val="24"/>
          <w:lang w:eastAsia="zh-CN"/>
        </w:rPr>
        <w:t>和后置</w:t>
      </w:r>
      <w:r>
        <w:rPr>
          <w:rFonts w:hint="default" w:cs="宋体"/>
          <w:color w:val="000000"/>
          <w:sz w:val="24"/>
          <w:lang w:eastAsia="zh-CN"/>
        </w:rPr>
        <w:t>计费</w:t>
      </w:r>
      <w:r>
        <w:rPr>
          <w:rFonts w:hint="default" w:cs="宋体"/>
          <w:color w:val="000000"/>
          <w:sz w:val="24"/>
          <w:lang w:eastAsia="zh-CN"/>
        </w:rPr>
        <w:t>。前置计费即交易手续费计费，</w:t>
      </w:r>
      <w:r>
        <w:rPr>
          <w:rFonts w:hint="default" w:cs="宋体"/>
          <w:color w:val="000000"/>
          <w:sz w:val="24"/>
          <w:lang w:eastAsia="zh-CN"/>
        </w:rPr>
        <w:t>需要先计算，</w:t>
      </w:r>
      <w:r>
        <w:rPr>
          <w:rFonts w:hint="default" w:cs="宋体"/>
          <w:color w:val="000000"/>
          <w:sz w:val="24"/>
          <w:lang w:eastAsia="zh-CN"/>
        </w:rPr>
        <w:t>后置</w:t>
      </w:r>
      <w:r>
        <w:rPr>
          <w:rFonts w:hint="default" w:cs="宋体"/>
          <w:color w:val="000000"/>
          <w:sz w:val="24"/>
          <w:lang w:eastAsia="zh-CN"/>
        </w:rPr>
        <w:t>费项在手续费基础上计算。</w:t>
      </w:r>
      <w:r>
        <w:rPr>
          <w:rFonts w:hint="default" w:cs="宋体"/>
          <w:color w:val="000000"/>
          <w:sz w:val="24"/>
          <w:lang w:eastAsia="zh-CN"/>
        </w:rPr>
        <w:t>ChargeCalculatorService</w:t>
      </w:r>
      <w:r>
        <w:rPr>
          <w:rFonts w:hint="default" w:cs="宋体"/>
          <w:color w:val="000000"/>
          <w:sz w:val="24"/>
          <w:lang w:eastAsia="zh-CN"/>
        </w:rPr>
        <w:t>首先从仓库</w:t>
      </w:r>
      <w:r>
        <w:rPr>
          <w:rFonts w:hint="default" w:cs="宋体"/>
          <w:color w:val="000000"/>
          <w:sz w:val="24"/>
          <w:lang w:eastAsia="zh-CN"/>
        </w:rPr>
        <w:t>ChargeCalculator</w:t>
      </w:r>
      <w:r>
        <w:rPr>
          <w:rFonts w:hint="default" w:cs="宋体"/>
          <w:color w:val="000000"/>
          <w:sz w:val="24"/>
          <w:lang w:eastAsia="zh-CN"/>
        </w:rPr>
        <w:t>Repository中获取计费模型，然后把交易手续费计算逻辑委托给计费模型ChargeCalculator，然后再计算其他费项。</w:t>
      </w:r>
    </w:p>
    <w:p>
      <w:pPr>
        <w:spacing w:line="400" w:lineRule="exact"/>
        <w:ind w:firstLine="420" w:firstLineChars="0"/>
        <w:rPr>
          <w:rFonts w:hint="default" w:cs="宋体"/>
          <w:color w:val="000000"/>
          <w:sz w:val="24"/>
          <w:lang w:eastAsia="zh-CN"/>
        </w:rPr>
      </w:pPr>
      <w:r>
        <w:rPr>
          <w:rFonts w:hint="default" w:cs="宋体"/>
          <w:color w:val="000000"/>
          <w:sz w:val="24"/>
          <w:lang w:eastAsia="zh-CN"/>
        </w:rPr>
        <w:t>ChargeCalculator</w:t>
      </w:r>
      <w:r>
        <w:rPr>
          <w:rFonts w:hint="default" w:cs="宋体"/>
          <w:color w:val="000000"/>
          <w:sz w:val="24"/>
          <w:lang w:eastAsia="zh-CN"/>
        </w:rPr>
        <w:t>模型计算交易手续费是计费模块的热点代码，需要处理大批量计费请求。同时，计费模型需要根据商户配置中的费率和计算方式计算，即通过配置转换成相应的计费实体。对此，根据领域驱动设计思想，设计计费模型、计费仓库和计费服务。</w:t>
      </w:r>
      <w:r>
        <w:rPr>
          <w:rFonts w:hint="default" w:cs="宋体"/>
          <w:color w:val="000000"/>
          <w:sz w:val="24"/>
          <w:lang w:eastAsia="zh-CN"/>
        </w:rPr>
        <w:t>ChargeCalculator</w:t>
      </w:r>
      <w:r>
        <w:rPr>
          <w:rFonts w:hint="default" w:cs="宋体"/>
          <w:color w:val="000000"/>
          <w:sz w:val="24"/>
          <w:lang w:eastAsia="zh-CN"/>
        </w:rPr>
        <w:t>类图如下所示。</w:t>
      </w:r>
    </w:p>
    <w:p>
      <w:pPr>
        <w:spacing w:line="400" w:lineRule="exact"/>
        <w:ind w:firstLine="420" w:firstLineChars="0"/>
        <w:rPr>
          <w:rFonts w:hint="default" w:cs="宋体"/>
          <w:color w:val="000000"/>
          <w:sz w:val="24"/>
          <w:lang w:eastAsia="zh-CN"/>
        </w:rPr>
      </w:pPr>
      <w:r>
        <w:drawing>
          <wp:anchor distT="0" distB="0" distL="114300" distR="114300" simplePos="0" relativeHeight="251686912" behindDoc="0" locked="0" layoutInCell="1" allowOverlap="1">
            <wp:simplePos x="0" y="0"/>
            <wp:positionH relativeFrom="column">
              <wp:posOffset>507365</wp:posOffset>
            </wp:positionH>
            <wp:positionV relativeFrom="paragraph">
              <wp:posOffset>144145</wp:posOffset>
            </wp:positionV>
            <wp:extent cx="4732020" cy="3570605"/>
            <wp:effectExtent l="0" t="0" r="17780" b="10795"/>
            <wp:wrapTopAndBottom/>
            <wp:docPr id="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5"/>
                    <pic:cNvPicPr>
                      <a:picLocks noChangeAspect="1"/>
                    </pic:cNvPicPr>
                  </pic:nvPicPr>
                  <pic:blipFill>
                    <a:blip r:embed="rId59"/>
                    <a:stretch>
                      <a:fillRect/>
                    </a:stretch>
                  </pic:blipFill>
                  <pic:spPr>
                    <a:xfrm>
                      <a:off x="0" y="0"/>
                      <a:ext cx="4732020" cy="3570605"/>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ChargeCalculator领域模型包含一个分组的子项计算器map，用来做缓存。其中的calculate方法被</w:t>
      </w:r>
      <w:r>
        <w:rPr>
          <w:rFonts w:hint="default" w:cs="宋体"/>
          <w:color w:val="000000"/>
          <w:sz w:val="24"/>
          <w:lang w:eastAsia="zh-CN"/>
        </w:rPr>
        <w:t>ChargeCalculatorService</w:t>
      </w:r>
      <w:r>
        <w:rPr>
          <w:rFonts w:hint="default" w:cs="宋体"/>
          <w:color w:val="000000"/>
          <w:sz w:val="24"/>
          <w:lang w:eastAsia="zh-CN"/>
        </w:rPr>
        <w:t>调用，接受计费参数对象TradeInfo，返回一个费项计费列表。每个费项列表值对象FeeCalItem根据费项配置FeeConf、该费项金额feeAount和币种组成。费项配置值对象FeeConf由该费项编码feeCode、商户配置ID configId 和费项币种组成。费项计算器由三部分组成，分别是费项配置FeeConf、计费匹配器TradeMatcher和计算器IComputer。计费配置器中的match方法根据参数中的产品类型、交易类型、支付类型和币种进行匹配，匹配成功才进行计算。计算器根据配置中的费基、费率、最小费用和最大费用计费，而具体的计算方式由子类决定。BinaryLinarComputer 表示按照 a + bx 方式计费，a表示费基，b表示费率，x表示支付金额，计费结果满足最小和最大费用限制。</w:t>
      </w:r>
    </w:p>
    <w:p>
      <w:pPr>
        <w:spacing w:line="400" w:lineRule="exact"/>
        <w:ind w:firstLine="420" w:firstLineChars="0"/>
        <w:rPr>
          <w:rFonts w:hint="default" w:cs="宋体"/>
          <w:color w:val="000000"/>
          <w:sz w:val="24"/>
          <w:lang w:eastAsia="zh-CN"/>
        </w:rPr>
      </w:pPr>
      <w:r>
        <w:rPr>
          <w:rFonts w:hint="default" w:cs="宋体"/>
          <w:color w:val="000000"/>
          <w:sz w:val="24"/>
          <w:lang w:eastAsia="zh-CN"/>
        </w:rPr>
        <w:t>在领域驱动设计中，仓库给调用实体提供了一个内存对象的抽象视图，实体可以直接从仓库中获取目标对象，而不需要关系目标对象的创建逻辑和底层数据库存储和映射相关的细节，保证了领域逻辑的独立性。ChargeCalculatorRepository首先根据商户id查内存缓存，如果缓存命中，直接返回商户计费模型；如果缓存未命中则通过查询商户计费配置，获取商户所有的配置对象ChargeConfigEntity，然后根据配置构造子项计算器SubitemComputer，再把子项计算器添加到计费模型中，最后更新缓存并返回ChargeCalculator计费模型。ChargeCalculator添加子项计算器是根据GroupKey进行分组，把相同分组的子项计算器添加到计费实体中。仓库获取计费模型ChargeCalculator的活动图如</w:t>
      </w:r>
      <w:bookmarkStart w:id="83" w:name="_GoBack"/>
      <w:bookmarkEnd w:id="83"/>
      <w:r>
        <w:rPr>
          <w:rFonts w:hint="default" w:cs="宋体"/>
          <w:color w:val="000000"/>
          <w:sz w:val="24"/>
          <w:lang w:eastAsia="zh-CN"/>
        </w:rPr>
        <w:t>下。</w:t>
      </w:r>
    </w:p>
    <w:p>
      <w:pPr>
        <w:spacing w:line="400" w:lineRule="exact"/>
        <w:rPr>
          <w:rFonts w:hint="default" w:cs="宋体"/>
          <w:color w:val="000000"/>
          <w:sz w:val="24"/>
          <w:lang w:eastAsia="zh-CN"/>
        </w:rPr>
      </w:pPr>
      <w:r>
        <w:drawing>
          <wp:anchor distT="0" distB="0" distL="114300" distR="114300" simplePos="0" relativeHeight="251688960" behindDoc="0" locked="0" layoutInCell="1" allowOverlap="1">
            <wp:simplePos x="0" y="0"/>
            <wp:positionH relativeFrom="column">
              <wp:posOffset>1837690</wp:posOffset>
            </wp:positionH>
            <wp:positionV relativeFrom="paragraph">
              <wp:posOffset>60960</wp:posOffset>
            </wp:positionV>
            <wp:extent cx="2430780" cy="3863340"/>
            <wp:effectExtent l="0" t="0" r="7620" b="22860"/>
            <wp:wrapTopAndBottom/>
            <wp:docPr id="10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8"/>
                    <pic:cNvPicPr>
                      <a:picLocks noChangeAspect="1"/>
                    </pic:cNvPicPr>
                  </pic:nvPicPr>
                  <pic:blipFill>
                    <a:blip r:embed="rId60"/>
                    <a:stretch>
                      <a:fillRect/>
                    </a:stretch>
                  </pic:blipFill>
                  <pic:spPr>
                    <a:xfrm>
                      <a:off x="0" y="0"/>
                      <a:ext cx="2430780" cy="386334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61"/>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62"/>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1"/>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1"/>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1"/>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1"/>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2"/>
        </w:numPr>
        <w:spacing w:line="400" w:lineRule="exact"/>
        <w:ind w:firstLine="480"/>
        <w:rPr>
          <w:rFonts w:cs="宋体"/>
          <w:color w:val="000000"/>
          <w:sz w:val="24"/>
        </w:rPr>
      </w:pPr>
      <w:r>
        <w:rPr>
          <w:rFonts w:hint="eastAsia" w:cs="宋体"/>
          <w:color w:val="000000"/>
          <w:sz w:val="24"/>
        </w:rPr>
        <w:t>生成空白证书模板；</w:t>
      </w:r>
    </w:p>
    <w:p>
      <w:pPr>
        <w:numPr>
          <w:ilvl w:val="0"/>
          <w:numId w:val="22"/>
        </w:numPr>
        <w:spacing w:line="400" w:lineRule="exact"/>
        <w:ind w:firstLine="480"/>
        <w:rPr>
          <w:rFonts w:cs="宋体"/>
          <w:color w:val="000000"/>
          <w:sz w:val="24"/>
        </w:rPr>
      </w:pPr>
      <w:r>
        <w:rPr>
          <w:rFonts w:hint="eastAsia" w:cs="宋体"/>
          <w:color w:val="000000"/>
          <w:sz w:val="24"/>
        </w:rPr>
        <w:t>生成SM2算法的密钥对；</w:t>
      </w:r>
    </w:p>
    <w:p>
      <w:pPr>
        <w:numPr>
          <w:ilvl w:val="0"/>
          <w:numId w:val="22"/>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2"/>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2"/>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2"/>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2"/>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3"/>
        </w:numPr>
        <w:spacing w:line="400" w:lineRule="exact"/>
        <w:rPr>
          <w:rFonts w:cs="宋体"/>
          <w:color w:val="000000"/>
          <w:sz w:val="24"/>
        </w:rPr>
      </w:pPr>
      <w:r>
        <w:rPr>
          <w:rFonts w:hint="eastAsia" w:cs="宋体"/>
          <w:color w:val="000000"/>
          <w:sz w:val="24"/>
        </w:rPr>
        <w:t>异常行为管理机构识别到异常信息；</w:t>
      </w:r>
    </w:p>
    <w:p>
      <w:pPr>
        <w:numPr>
          <w:ilvl w:val="0"/>
          <w:numId w:val="23"/>
        </w:numPr>
        <w:spacing w:line="400" w:lineRule="exact"/>
        <w:rPr>
          <w:rFonts w:cs="宋体"/>
          <w:color w:val="000000"/>
          <w:sz w:val="24"/>
        </w:rPr>
      </w:pPr>
      <w:r>
        <w:rPr>
          <w:rFonts w:hint="eastAsia" w:cs="宋体"/>
          <w:color w:val="000000"/>
          <w:sz w:val="24"/>
        </w:rPr>
        <w:t>RA系统核实有问题后上报CA系统；</w:t>
      </w:r>
    </w:p>
    <w:p>
      <w:pPr>
        <w:numPr>
          <w:ilvl w:val="0"/>
          <w:numId w:val="23"/>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3"/>
        </w:numPr>
        <w:spacing w:line="400" w:lineRule="exact"/>
        <w:rPr>
          <w:rFonts w:cs="宋体"/>
          <w:color w:val="000000"/>
          <w:sz w:val="24"/>
        </w:rPr>
      </w:pPr>
      <w:r>
        <w:rPr>
          <w:rFonts w:hint="eastAsia" w:cs="宋体"/>
          <w:color w:val="000000"/>
          <w:sz w:val="24"/>
        </w:rPr>
        <w:t>RA系统申请下载当前CRL；</w:t>
      </w:r>
    </w:p>
    <w:p>
      <w:pPr>
        <w:numPr>
          <w:ilvl w:val="0"/>
          <w:numId w:val="23"/>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3"/>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4"/>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6"/>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8"/>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9"/>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70"/>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71"/>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72"/>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4"/>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5"/>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6"/>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7"/>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8"/>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9"/>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80"/>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4"/>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4"/>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5"/>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5"/>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5"/>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4"/>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5"/>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6"/>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7"/>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6"/>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6"/>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6"/>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6"/>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8"/>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9"/>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90"/>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91"/>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92"/>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7"/>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7"/>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7"/>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EFE3FFE0"/>
    <w:multiLevelType w:val="singleLevel"/>
    <w:tmpl w:val="EFE3FFE0"/>
    <w:lvl w:ilvl="0" w:tentative="0">
      <w:start w:val="1"/>
      <w:numFmt w:val="decimal"/>
      <w:suff w:val="space"/>
      <w:lvlText w:val="(%1)"/>
      <w:lvlJc w:val="left"/>
    </w:lvl>
  </w:abstractNum>
  <w:abstractNum w:abstractNumId="32">
    <w:nsid w:val="F6B3FF0D"/>
    <w:multiLevelType w:val="singleLevel"/>
    <w:tmpl w:val="F6B3FF0D"/>
    <w:lvl w:ilvl="0" w:tentative="0">
      <w:start w:val="1"/>
      <w:numFmt w:val="decimal"/>
      <w:lvlText w:val="%1."/>
      <w:lvlJc w:val="left"/>
      <w:pPr>
        <w:tabs>
          <w:tab w:val="left" w:pos="312"/>
        </w:tabs>
      </w:pPr>
    </w:lvl>
  </w:abstractNum>
  <w:abstractNum w:abstractNumId="33">
    <w:nsid w:val="FC74F208"/>
    <w:multiLevelType w:val="singleLevel"/>
    <w:tmpl w:val="FC74F208"/>
    <w:lvl w:ilvl="0" w:tentative="0">
      <w:start w:val="1"/>
      <w:numFmt w:val="decimal"/>
      <w:suff w:val="nothing"/>
      <w:lvlText w:val="%1）"/>
      <w:lvlJc w:val="left"/>
    </w:lvl>
  </w:abstractNum>
  <w:abstractNum w:abstractNumId="34">
    <w:nsid w:val="FFFF50D9"/>
    <w:multiLevelType w:val="singleLevel"/>
    <w:tmpl w:val="FFFF50D9"/>
    <w:lvl w:ilvl="0" w:tentative="0">
      <w:start w:val="1"/>
      <w:numFmt w:val="decimal"/>
      <w:suff w:val="nothing"/>
      <w:lvlText w:val="（%1）"/>
      <w:lvlJc w:val="left"/>
    </w:lvl>
  </w:abstractNum>
  <w:abstractNum w:abstractNumId="35">
    <w:nsid w:val="FFFFB285"/>
    <w:multiLevelType w:val="singleLevel"/>
    <w:tmpl w:val="FFFFB285"/>
    <w:lvl w:ilvl="0" w:tentative="0">
      <w:start w:val="1"/>
      <w:numFmt w:val="decimal"/>
      <w:suff w:val="nothing"/>
      <w:lvlText w:val="（%1）"/>
      <w:lvlJc w:val="left"/>
    </w:lvl>
  </w:abstractNum>
  <w:abstractNum w:abstractNumId="36">
    <w:nsid w:val="0A1FFE84"/>
    <w:multiLevelType w:val="singleLevel"/>
    <w:tmpl w:val="0A1FFE84"/>
    <w:lvl w:ilvl="0" w:tentative="0">
      <w:start w:val="1"/>
      <w:numFmt w:val="decimal"/>
      <w:lvlText w:val="%1."/>
      <w:lvlJc w:val="left"/>
      <w:pPr>
        <w:tabs>
          <w:tab w:val="left" w:pos="312"/>
        </w:tabs>
      </w:pPr>
    </w:lvl>
  </w:abstractNum>
  <w:abstractNum w:abstractNumId="37">
    <w:nsid w:val="100F4C05"/>
    <w:multiLevelType w:val="singleLevel"/>
    <w:tmpl w:val="100F4C05"/>
    <w:lvl w:ilvl="0" w:tentative="0">
      <w:start w:val="1"/>
      <w:numFmt w:val="decimal"/>
      <w:lvlText w:val="%1."/>
      <w:lvlJc w:val="left"/>
      <w:pPr>
        <w:tabs>
          <w:tab w:val="left" w:pos="312"/>
        </w:tabs>
      </w:pPr>
    </w:lvl>
  </w:abstractNum>
  <w:abstractNum w:abstractNumId="38">
    <w:nsid w:val="1EE86B5D"/>
    <w:multiLevelType w:val="singleLevel"/>
    <w:tmpl w:val="1EE86B5D"/>
    <w:lvl w:ilvl="0" w:tentative="0">
      <w:start w:val="1"/>
      <w:numFmt w:val="decimal"/>
      <w:lvlText w:val="%1."/>
      <w:lvlJc w:val="left"/>
      <w:pPr>
        <w:tabs>
          <w:tab w:val="left" w:pos="312"/>
        </w:tabs>
      </w:pPr>
    </w:lvl>
  </w:abstractNum>
  <w:abstractNum w:abstractNumId="39">
    <w:nsid w:val="3723140B"/>
    <w:multiLevelType w:val="singleLevel"/>
    <w:tmpl w:val="3723140B"/>
    <w:lvl w:ilvl="0" w:tentative="0">
      <w:start w:val="1"/>
      <w:numFmt w:val="decimal"/>
      <w:suff w:val="nothing"/>
      <w:lvlText w:val="（%1）"/>
      <w:lvlJc w:val="left"/>
    </w:lvl>
  </w:abstractNum>
  <w:abstractNum w:abstractNumId="40">
    <w:nsid w:val="3F58D486"/>
    <w:multiLevelType w:val="singleLevel"/>
    <w:tmpl w:val="3F58D486"/>
    <w:lvl w:ilvl="0" w:tentative="0">
      <w:start w:val="1"/>
      <w:numFmt w:val="decimal"/>
      <w:suff w:val="space"/>
      <w:lvlText w:val="（%1）"/>
      <w:lvlJc w:val="left"/>
    </w:lvl>
  </w:abstractNum>
  <w:abstractNum w:abstractNumId="41">
    <w:nsid w:val="4C14F343"/>
    <w:multiLevelType w:val="singleLevel"/>
    <w:tmpl w:val="4C14F343"/>
    <w:lvl w:ilvl="0" w:tentative="0">
      <w:start w:val="1"/>
      <w:numFmt w:val="decimal"/>
      <w:lvlText w:val="%1."/>
      <w:lvlJc w:val="left"/>
      <w:pPr>
        <w:tabs>
          <w:tab w:val="left" w:pos="312"/>
        </w:tabs>
      </w:pPr>
    </w:lvl>
  </w:abstractNum>
  <w:abstractNum w:abstractNumId="42">
    <w:nsid w:val="56F2D59C"/>
    <w:multiLevelType w:val="singleLevel"/>
    <w:tmpl w:val="56F2D59C"/>
    <w:lvl w:ilvl="0" w:tentative="0">
      <w:start w:val="1"/>
      <w:numFmt w:val="decimal"/>
      <w:lvlText w:val="%1."/>
      <w:lvlJc w:val="left"/>
      <w:pPr>
        <w:tabs>
          <w:tab w:val="left" w:pos="312"/>
        </w:tabs>
      </w:pPr>
    </w:lvl>
  </w:abstractNum>
  <w:abstractNum w:abstractNumId="43">
    <w:nsid w:val="757EC989"/>
    <w:multiLevelType w:val="singleLevel"/>
    <w:tmpl w:val="757EC989"/>
    <w:lvl w:ilvl="0" w:tentative="0">
      <w:start w:val="1"/>
      <w:numFmt w:val="decimal"/>
      <w:lvlText w:val="%1."/>
      <w:lvlJc w:val="left"/>
      <w:pPr>
        <w:tabs>
          <w:tab w:val="left" w:pos="312"/>
        </w:tabs>
      </w:pPr>
    </w:lvl>
  </w:abstractNum>
  <w:abstractNum w:abstractNumId="44">
    <w:nsid w:val="7DEC296E"/>
    <w:multiLevelType w:val="singleLevel"/>
    <w:tmpl w:val="7DEC296E"/>
    <w:lvl w:ilvl="0" w:tentative="0">
      <w:start w:val="1"/>
      <w:numFmt w:val="decimal"/>
      <w:suff w:val="space"/>
      <w:lvlText w:val="(%1)"/>
      <w:lvlJc w:val="left"/>
    </w:lvl>
  </w:abstractNum>
  <w:abstractNum w:abstractNumId="45">
    <w:nsid w:val="7E092ABC"/>
    <w:multiLevelType w:val="singleLevel"/>
    <w:tmpl w:val="7E092ABC"/>
    <w:lvl w:ilvl="0" w:tentative="0">
      <w:start w:val="1"/>
      <w:numFmt w:val="decimal"/>
      <w:lvlText w:val="%1."/>
      <w:lvlJc w:val="left"/>
      <w:pPr>
        <w:tabs>
          <w:tab w:val="left" w:pos="312"/>
        </w:tabs>
      </w:pPr>
    </w:lvl>
  </w:abstractNum>
  <w:abstractNum w:abstractNumId="46">
    <w:nsid w:val="7FFD534B"/>
    <w:multiLevelType w:val="singleLevel"/>
    <w:tmpl w:val="7FFD534B"/>
    <w:lvl w:ilvl="0" w:tentative="0">
      <w:start w:val="1"/>
      <w:numFmt w:val="decimal"/>
      <w:suff w:val="nothing"/>
      <w:lvlText w:val="%1）"/>
      <w:lvlJc w:val="left"/>
    </w:lvl>
  </w:abstractNum>
  <w:num w:numId="1">
    <w:abstractNumId w:val="46"/>
  </w:num>
  <w:num w:numId="2">
    <w:abstractNumId w:val="28"/>
  </w:num>
  <w:num w:numId="3">
    <w:abstractNumId w:val="23"/>
  </w:num>
  <w:num w:numId="4">
    <w:abstractNumId w:val="22"/>
  </w:num>
  <w:num w:numId="5">
    <w:abstractNumId w:val="33"/>
  </w:num>
  <w:num w:numId="6">
    <w:abstractNumId w:val="20"/>
  </w:num>
  <w:num w:numId="7">
    <w:abstractNumId w:val="15"/>
  </w:num>
  <w:num w:numId="8">
    <w:abstractNumId w:val="29"/>
  </w:num>
  <w:num w:numId="9">
    <w:abstractNumId w:val="14"/>
  </w:num>
  <w:num w:numId="10">
    <w:abstractNumId w:val="35"/>
  </w:num>
  <w:num w:numId="11">
    <w:abstractNumId w:val="25"/>
  </w:num>
  <w:num w:numId="12">
    <w:abstractNumId w:val="5"/>
  </w:num>
  <w:num w:numId="13">
    <w:abstractNumId w:val="34"/>
  </w:num>
  <w:num w:numId="14">
    <w:abstractNumId w:val="30"/>
  </w:num>
  <w:num w:numId="15">
    <w:abstractNumId w:val="27"/>
  </w:num>
  <w:num w:numId="16">
    <w:abstractNumId w:val="6"/>
  </w:num>
  <w:num w:numId="17">
    <w:abstractNumId w:val="39"/>
  </w:num>
  <w:num w:numId="18">
    <w:abstractNumId w:val="19"/>
  </w:num>
  <w:num w:numId="19">
    <w:abstractNumId w:val="31"/>
  </w:num>
  <w:num w:numId="20">
    <w:abstractNumId w:val="44"/>
  </w:num>
  <w:num w:numId="21">
    <w:abstractNumId w:val="2"/>
  </w:num>
  <w:num w:numId="22">
    <w:abstractNumId w:val="18"/>
  </w:num>
  <w:num w:numId="23">
    <w:abstractNumId w:val="26"/>
  </w:num>
  <w:num w:numId="24">
    <w:abstractNumId w:val="10"/>
  </w:num>
  <w:num w:numId="25">
    <w:abstractNumId w:val="0"/>
  </w:num>
  <w:num w:numId="26">
    <w:abstractNumId w:val="21"/>
  </w:num>
  <w:num w:numId="27">
    <w:abstractNumId w:val="8"/>
  </w:num>
  <w:num w:numId="28">
    <w:abstractNumId w:val="45"/>
  </w:num>
  <w:num w:numId="29">
    <w:abstractNumId w:val="41"/>
  </w:num>
  <w:num w:numId="30">
    <w:abstractNumId w:val="13"/>
  </w:num>
  <w:num w:numId="31">
    <w:abstractNumId w:val="1"/>
  </w:num>
  <w:num w:numId="32">
    <w:abstractNumId w:val="3"/>
  </w:num>
  <w:num w:numId="33">
    <w:abstractNumId w:val="11"/>
  </w:num>
  <w:num w:numId="34">
    <w:abstractNumId w:val="7"/>
  </w:num>
  <w:num w:numId="35">
    <w:abstractNumId w:val="37"/>
  </w:num>
  <w:num w:numId="36">
    <w:abstractNumId w:val="38"/>
  </w:num>
  <w:num w:numId="37">
    <w:abstractNumId w:val="17"/>
  </w:num>
  <w:num w:numId="38">
    <w:abstractNumId w:val="24"/>
  </w:num>
  <w:num w:numId="39">
    <w:abstractNumId w:val="43"/>
  </w:num>
  <w:num w:numId="40">
    <w:abstractNumId w:val="9"/>
  </w:num>
  <w:num w:numId="41">
    <w:abstractNumId w:val="16"/>
  </w:num>
  <w:num w:numId="42">
    <w:abstractNumId w:val="36"/>
  </w:num>
  <w:num w:numId="43">
    <w:abstractNumId w:val="12"/>
  </w:num>
  <w:num w:numId="44">
    <w:abstractNumId w:val="42"/>
  </w:num>
  <w:num w:numId="45">
    <w:abstractNumId w:val="32"/>
  </w:num>
  <w:num w:numId="46">
    <w:abstractNumId w:val="4"/>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2"/>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923843"/>
    <w:rsid w:val="15FB12C0"/>
    <w:rsid w:val="15FC03FA"/>
    <w:rsid w:val="15FF53D6"/>
    <w:rsid w:val="161016D9"/>
    <w:rsid w:val="163FFA98"/>
    <w:rsid w:val="1648273E"/>
    <w:rsid w:val="167D57A1"/>
    <w:rsid w:val="169F6CCA"/>
    <w:rsid w:val="16DF6155"/>
    <w:rsid w:val="16E3120E"/>
    <w:rsid w:val="17738AEA"/>
    <w:rsid w:val="1776D2E6"/>
    <w:rsid w:val="177A0841"/>
    <w:rsid w:val="17AF2699"/>
    <w:rsid w:val="17BB24F4"/>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5EA3BE"/>
    <w:rsid w:val="1EA428C0"/>
    <w:rsid w:val="1EE9111B"/>
    <w:rsid w:val="1EF7E7FB"/>
    <w:rsid w:val="1EFE16DD"/>
    <w:rsid w:val="1EFF2D39"/>
    <w:rsid w:val="1F1707DB"/>
    <w:rsid w:val="1F17128B"/>
    <w:rsid w:val="1F6D55C9"/>
    <w:rsid w:val="1F916079"/>
    <w:rsid w:val="1FA755B8"/>
    <w:rsid w:val="1FAF2A7F"/>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3A93A"/>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BF75F5"/>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8F1E12"/>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5FF06C0"/>
    <w:rsid w:val="36393709"/>
    <w:rsid w:val="36BC4705"/>
    <w:rsid w:val="36BFEDCC"/>
    <w:rsid w:val="36FEFB96"/>
    <w:rsid w:val="370EC254"/>
    <w:rsid w:val="371EA74F"/>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1BEE3A"/>
    <w:rsid w:val="3A7E4E4B"/>
    <w:rsid w:val="3AB60C95"/>
    <w:rsid w:val="3AFA59E2"/>
    <w:rsid w:val="3AFBD745"/>
    <w:rsid w:val="3B434590"/>
    <w:rsid w:val="3B7FF4E9"/>
    <w:rsid w:val="3B8064B4"/>
    <w:rsid w:val="3B8D206C"/>
    <w:rsid w:val="3B9FE574"/>
    <w:rsid w:val="3BBE44F4"/>
    <w:rsid w:val="3BBF18AD"/>
    <w:rsid w:val="3BBFE545"/>
    <w:rsid w:val="3BDD724D"/>
    <w:rsid w:val="3BDF2894"/>
    <w:rsid w:val="3BEE7E1F"/>
    <w:rsid w:val="3BF1644D"/>
    <w:rsid w:val="3BFB944C"/>
    <w:rsid w:val="3C06735A"/>
    <w:rsid w:val="3C147155"/>
    <w:rsid w:val="3C3DC550"/>
    <w:rsid w:val="3C6C279A"/>
    <w:rsid w:val="3C7A0F6B"/>
    <w:rsid w:val="3CAF4FAA"/>
    <w:rsid w:val="3CFF208D"/>
    <w:rsid w:val="3D114ACC"/>
    <w:rsid w:val="3D3A2324"/>
    <w:rsid w:val="3D6C2B14"/>
    <w:rsid w:val="3DA7441A"/>
    <w:rsid w:val="3DAD997E"/>
    <w:rsid w:val="3DB994CD"/>
    <w:rsid w:val="3DC71727"/>
    <w:rsid w:val="3DDE1CF1"/>
    <w:rsid w:val="3DFA6A71"/>
    <w:rsid w:val="3DFB957C"/>
    <w:rsid w:val="3DFD5293"/>
    <w:rsid w:val="3DFE2B3A"/>
    <w:rsid w:val="3DFF7D35"/>
    <w:rsid w:val="3E2D1EA8"/>
    <w:rsid w:val="3E56FE92"/>
    <w:rsid w:val="3E5F61F9"/>
    <w:rsid w:val="3E65EE1E"/>
    <w:rsid w:val="3E6B0792"/>
    <w:rsid w:val="3E7DAD9D"/>
    <w:rsid w:val="3E8F9150"/>
    <w:rsid w:val="3E9DAC55"/>
    <w:rsid w:val="3E9F0310"/>
    <w:rsid w:val="3EAB18E0"/>
    <w:rsid w:val="3ED86198"/>
    <w:rsid w:val="3EF20CA1"/>
    <w:rsid w:val="3EFEE166"/>
    <w:rsid w:val="3EFF472E"/>
    <w:rsid w:val="3EFF8C17"/>
    <w:rsid w:val="3EFF9314"/>
    <w:rsid w:val="3F37FDE6"/>
    <w:rsid w:val="3F5EF801"/>
    <w:rsid w:val="3F67295F"/>
    <w:rsid w:val="3F6C9079"/>
    <w:rsid w:val="3F71FC7C"/>
    <w:rsid w:val="3F73C670"/>
    <w:rsid w:val="3F7DDC64"/>
    <w:rsid w:val="3F7E363A"/>
    <w:rsid w:val="3F7F291C"/>
    <w:rsid w:val="3F7F5186"/>
    <w:rsid w:val="3F7F6A4A"/>
    <w:rsid w:val="3F7FCA3C"/>
    <w:rsid w:val="3F887E3A"/>
    <w:rsid w:val="3F8BD84F"/>
    <w:rsid w:val="3FADA4EE"/>
    <w:rsid w:val="3FAF945C"/>
    <w:rsid w:val="3FB43636"/>
    <w:rsid w:val="3FB752AA"/>
    <w:rsid w:val="3FBF242D"/>
    <w:rsid w:val="3FCA805C"/>
    <w:rsid w:val="3FD3AC1E"/>
    <w:rsid w:val="3FD7A3D5"/>
    <w:rsid w:val="3FE319A3"/>
    <w:rsid w:val="3FE98B0D"/>
    <w:rsid w:val="3FEC4726"/>
    <w:rsid w:val="3FF315A1"/>
    <w:rsid w:val="3FF778B3"/>
    <w:rsid w:val="3FF85681"/>
    <w:rsid w:val="3FFB143F"/>
    <w:rsid w:val="3FFEAEF4"/>
    <w:rsid w:val="3FFEDC77"/>
    <w:rsid w:val="3FFF2441"/>
    <w:rsid w:val="3FFF970A"/>
    <w:rsid w:val="3FFFFC03"/>
    <w:rsid w:val="400161EC"/>
    <w:rsid w:val="40171C42"/>
    <w:rsid w:val="40502609"/>
    <w:rsid w:val="407D02E1"/>
    <w:rsid w:val="40CB47CA"/>
    <w:rsid w:val="40D37A0C"/>
    <w:rsid w:val="40F1124F"/>
    <w:rsid w:val="4100064F"/>
    <w:rsid w:val="412A3307"/>
    <w:rsid w:val="417BB0A5"/>
    <w:rsid w:val="42523CDC"/>
    <w:rsid w:val="42834048"/>
    <w:rsid w:val="435500E0"/>
    <w:rsid w:val="435D552A"/>
    <w:rsid w:val="437EEE00"/>
    <w:rsid w:val="439A4A9F"/>
    <w:rsid w:val="43DFE2E1"/>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4F93E2"/>
    <w:rsid w:val="49A270E6"/>
    <w:rsid w:val="4A2043B0"/>
    <w:rsid w:val="4AB90E71"/>
    <w:rsid w:val="4AC017B2"/>
    <w:rsid w:val="4AFAAF85"/>
    <w:rsid w:val="4AFC51DC"/>
    <w:rsid w:val="4B372F60"/>
    <w:rsid w:val="4B444A88"/>
    <w:rsid w:val="4B8A0446"/>
    <w:rsid w:val="4BBF54FB"/>
    <w:rsid w:val="4BDF2FCD"/>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7A7CA0"/>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4FEF56F1"/>
    <w:rsid w:val="4FFCFA2B"/>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B5A373"/>
    <w:rsid w:val="59CF84A4"/>
    <w:rsid w:val="59E5D4C6"/>
    <w:rsid w:val="59EEF263"/>
    <w:rsid w:val="59EF1BF4"/>
    <w:rsid w:val="59F797CD"/>
    <w:rsid w:val="59FA4BDC"/>
    <w:rsid w:val="5A35427E"/>
    <w:rsid w:val="5A6F5592"/>
    <w:rsid w:val="5AAB217B"/>
    <w:rsid w:val="5B3F00F7"/>
    <w:rsid w:val="5B3F8DB4"/>
    <w:rsid w:val="5B53B340"/>
    <w:rsid w:val="5B592ED6"/>
    <w:rsid w:val="5BB27C8D"/>
    <w:rsid w:val="5BBDA939"/>
    <w:rsid w:val="5BCE6B04"/>
    <w:rsid w:val="5BD270EE"/>
    <w:rsid w:val="5BDDBADE"/>
    <w:rsid w:val="5BE77D8E"/>
    <w:rsid w:val="5BEF6899"/>
    <w:rsid w:val="5BF6D19E"/>
    <w:rsid w:val="5BF9B7F5"/>
    <w:rsid w:val="5BFB608F"/>
    <w:rsid w:val="5BFB8F6D"/>
    <w:rsid w:val="5BFF19DE"/>
    <w:rsid w:val="5BFFEF40"/>
    <w:rsid w:val="5C3F4133"/>
    <w:rsid w:val="5C7FDCBE"/>
    <w:rsid w:val="5C8375A0"/>
    <w:rsid w:val="5D55A858"/>
    <w:rsid w:val="5D7FD280"/>
    <w:rsid w:val="5D9729B5"/>
    <w:rsid w:val="5D9B7470"/>
    <w:rsid w:val="5DACD7B6"/>
    <w:rsid w:val="5DB7112B"/>
    <w:rsid w:val="5DBD142B"/>
    <w:rsid w:val="5DD2766C"/>
    <w:rsid w:val="5DDEAA67"/>
    <w:rsid w:val="5DEED609"/>
    <w:rsid w:val="5DEFFFDA"/>
    <w:rsid w:val="5DFB8145"/>
    <w:rsid w:val="5DFD0FC7"/>
    <w:rsid w:val="5DFDBA3A"/>
    <w:rsid w:val="5DFEABD0"/>
    <w:rsid w:val="5DFF8DB3"/>
    <w:rsid w:val="5DFFC60B"/>
    <w:rsid w:val="5E5999FB"/>
    <w:rsid w:val="5E5EBD17"/>
    <w:rsid w:val="5EAB5A40"/>
    <w:rsid w:val="5EBDB6A6"/>
    <w:rsid w:val="5EBF2FC8"/>
    <w:rsid w:val="5EBF4372"/>
    <w:rsid w:val="5EFF576A"/>
    <w:rsid w:val="5EFFF3A7"/>
    <w:rsid w:val="5F199BAF"/>
    <w:rsid w:val="5F3F7E66"/>
    <w:rsid w:val="5F41F9F9"/>
    <w:rsid w:val="5F4F06E3"/>
    <w:rsid w:val="5F5F3B8A"/>
    <w:rsid w:val="5F607481"/>
    <w:rsid w:val="5F67639D"/>
    <w:rsid w:val="5F687CB5"/>
    <w:rsid w:val="5F6BE4C9"/>
    <w:rsid w:val="5F6DFD36"/>
    <w:rsid w:val="5F6EC563"/>
    <w:rsid w:val="5F6F7121"/>
    <w:rsid w:val="5F7BCDF8"/>
    <w:rsid w:val="5F7E8C88"/>
    <w:rsid w:val="5F7FD35B"/>
    <w:rsid w:val="5F99C1DC"/>
    <w:rsid w:val="5FA2FBD7"/>
    <w:rsid w:val="5FB272B3"/>
    <w:rsid w:val="5FB3E4E4"/>
    <w:rsid w:val="5FBB142C"/>
    <w:rsid w:val="5FBF04E1"/>
    <w:rsid w:val="5FBFEB75"/>
    <w:rsid w:val="5FCA10ED"/>
    <w:rsid w:val="5FCD1B95"/>
    <w:rsid w:val="5FD43DF7"/>
    <w:rsid w:val="5FD51BCD"/>
    <w:rsid w:val="5FD54631"/>
    <w:rsid w:val="5FDA8D85"/>
    <w:rsid w:val="5FDF72E9"/>
    <w:rsid w:val="5FDF9268"/>
    <w:rsid w:val="5FEF7A22"/>
    <w:rsid w:val="5FF71D42"/>
    <w:rsid w:val="5FFB42DB"/>
    <w:rsid w:val="5FFBC378"/>
    <w:rsid w:val="5FFBDABF"/>
    <w:rsid w:val="5FFF2183"/>
    <w:rsid w:val="5FFF6563"/>
    <w:rsid w:val="5FFF6B7B"/>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73E3"/>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2EBA25"/>
    <w:rsid w:val="693B220F"/>
    <w:rsid w:val="6958755C"/>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BFC685A"/>
    <w:rsid w:val="6BFDEA60"/>
    <w:rsid w:val="6BFF4609"/>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6720"/>
    <w:rsid w:val="6DFF7FD4"/>
    <w:rsid w:val="6DFF8F0C"/>
    <w:rsid w:val="6E3E3012"/>
    <w:rsid w:val="6E6D4335"/>
    <w:rsid w:val="6E76941A"/>
    <w:rsid w:val="6E7FF3F3"/>
    <w:rsid w:val="6EB7768E"/>
    <w:rsid w:val="6ED1D4C6"/>
    <w:rsid w:val="6ED50301"/>
    <w:rsid w:val="6EDD0FA6"/>
    <w:rsid w:val="6EF3F5F0"/>
    <w:rsid w:val="6EF75578"/>
    <w:rsid w:val="6EF78159"/>
    <w:rsid w:val="6EF81E8B"/>
    <w:rsid w:val="6EFD151E"/>
    <w:rsid w:val="6EFFE04F"/>
    <w:rsid w:val="6F2DB8E7"/>
    <w:rsid w:val="6F2EF821"/>
    <w:rsid w:val="6F444B83"/>
    <w:rsid w:val="6F56E40A"/>
    <w:rsid w:val="6F7724CA"/>
    <w:rsid w:val="6F787B1F"/>
    <w:rsid w:val="6FB60B83"/>
    <w:rsid w:val="6FB6B12A"/>
    <w:rsid w:val="6FB760DC"/>
    <w:rsid w:val="6FBA8433"/>
    <w:rsid w:val="6FCE393B"/>
    <w:rsid w:val="6FDB0BCE"/>
    <w:rsid w:val="6FDF3D46"/>
    <w:rsid w:val="6FDFD846"/>
    <w:rsid w:val="6FE5F87B"/>
    <w:rsid w:val="6FE9C5C8"/>
    <w:rsid w:val="6FF77695"/>
    <w:rsid w:val="6FF7C08D"/>
    <w:rsid w:val="6FFB7B68"/>
    <w:rsid w:val="6FFB8029"/>
    <w:rsid w:val="6FFC4F6C"/>
    <w:rsid w:val="6FFD51C3"/>
    <w:rsid w:val="6FFE29A1"/>
    <w:rsid w:val="6FFEF694"/>
    <w:rsid w:val="6FFF16C3"/>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E3C81"/>
    <w:rsid w:val="72FF8437"/>
    <w:rsid w:val="72FFFC51"/>
    <w:rsid w:val="733A0D16"/>
    <w:rsid w:val="735E06F7"/>
    <w:rsid w:val="73761A7E"/>
    <w:rsid w:val="737BF074"/>
    <w:rsid w:val="739BC437"/>
    <w:rsid w:val="73BB2919"/>
    <w:rsid w:val="73D73FE6"/>
    <w:rsid w:val="73DFA0D8"/>
    <w:rsid w:val="73E79625"/>
    <w:rsid w:val="73F473F3"/>
    <w:rsid w:val="73FB0EAC"/>
    <w:rsid w:val="73FF1A0B"/>
    <w:rsid w:val="7459099B"/>
    <w:rsid w:val="7494705F"/>
    <w:rsid w:val="749531F1"/>
    <w:rsid w:val="74BF3D60"/>
    <w:rsid w:val="74DFE8F0"/>
    <w:rsid w:val="74E220C3"/>
    <w:rsid w:val="74F940B0"/>
    <w:rsid w:val="74FE4F2E"/>
    <w:rsid w:val="759A6884"/>
    <w:rsid w:val="75AF9FD1"/>
    <w:rsid w:val="75C418BE"/>
    <w:rsid w:val="75D98F46"/>
    <w:rsid w:val="75DB0B83"/>
    <w:rsid w:val="75F2341B"/>
    <w:rsid w:val="75F6994C"/>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72595"/>
    <w:rsid w:val="76FBD67F"/>
    <w:rsid w:val="76FD2FE0"/>
    <w:rsid w:val="76FD89AE"/>
    <w:rsid w:val="76FDF205"/>
    <w:rsid w:val="76FE4876"/>
    <w:rsid w:val="771F59FA"/>
    <w:rsid w:val="772FB4B7"/>
    <w:rsid w:val="77352C19"/>
    <w:rsid w:val="775648B1"/>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D25EA"/>
    <w:rsid w:val="77BDD126"/>
    <w:rsid w:val="77BEFE31"/>
    <w:rsid w:val="77BFFF00"/>
    <w:rsid w:val="77C32AB1"/>
    <w:rsid w:val="77D7F243"/>
    <w:rsid w:val="77DDA115"/>
    <w:rsid w:val="77DEF566"/>
    <w:rsid w:val="77DF0688"/>
    <w:rsid w:val="77DFA599"/>
    <w:rsid w:val="77DFF0E0"/>
    <w:rsid w:val="77E59552"/>
    <w:rsid w:val="77E7090D"/>
    <w:rsid w:val="77EDBCCD"/>
    <w:rsid w:val="77EE861F"/>
    <w:rsid w:val="77F3933A"/>
    <w:rsid w:val="77F5979E"/>
    <w:rsid w:val="77F72283"/>
    <w:rsid w:val="77F746B9"/>
    <w:rsid w:val="77FD1D15"/>
    <w:rsid w:val="77FDDBD4"/>
    <w:rsid w:val="77FED3EC"/>
    <w:rsid w:val="77FEDEA8"/>
    <w:rsid w:val="77FF283B"/>
    <w:rsid w:val="77FF3AA5"/>
    <w:rsid w:val="77FF98F5"/>
    <w:rsid w:val="77FFB941"/>
    <w:rsid w:val="77FFFBF8"/>
    <w:rsid w:val="78746DE5"/>
    <w:rsid w:val="78B6C054"/>
    <w:rsid w:val="78D229D3"/>
    <w:rsid w:val="78DEFDB8"/>
    <w:rsid w:val="78FF7ECA"/>
    <w:rsid w:val="7905501C"/>
    <w:rsid w:val="79CFD49A"/>
    <w:rsid w:val="79DB0CBD"/>
    <w:rsid w:val="79DF5065"/>
    <w:rsid w:val="79F7B159"/>
    <w:rsid w:val="79F9B746"/>
    <w:rsid w:val="79FEB3B0"/>
    <w:rsid w:val="79FF3C3F"/>
    <w:rsid w:val="7A2BC2B9"/>
    <w:rsid w:val="7A569382"/>
    <w:rsid w:val="7A7A4C8B"/>
    <w:rsid w:val="7A9F1A20"/>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CBE7ED"/>
    <w:rsid w:val="7BE722D6"/>
    <w:rsid w:val="7BE7CF53"/>
    <w:rsid w:val="7BF138E5"/>
    <w:rsid w:val="7BF63B49"/>
    <w:rsid w:val="7BFE65DA"/>
    <w:rsid w:val="7BFE794F"/>
    <w:rsid w:val="7BFE9F08"/>
    <w:rsid w:val="7BFEDF4A"/>
    <w:rsid w:val="7BFF0856"/>
    <w:rsid w:val="7BFF40E0"/>
    <w:rsid w:val="7BFF5E07"/>
    <w:rsid w:val="7BFF7920"/>
    <w:rsid w:val="7BFF8C87"/>
    <w:rsid w:val="7C191951"/>
    <w:rsid w:val="7C556335"/>
    <w:rsid w:val="7C5DED16"/>
    <w:rsid w:val="7C9B773D"/>
    <w:rsid w:val="7CAF2D9C"/>
    <w:rsid w:val="7CB70741"/>
    <w:rsid w:val="7CFB049E"/>
    <w:rsid w:val="7CFEBB7E"/>
    <w:rsid w:val="7CFF62A4"/>
    <w:rsid w:val="7D1B874F"/>
    <w:rsid w:val="7D2F871F"/>
    <w:rsid w:val="7D3067F4"/>
    <w:rsid w:val="7D5DD01D"/>
    <w:rsid w:val="7D7C1EBA"/>
    <w:rsid w:val="7D7F04E5"/>
    <w:rsid w:val="7DAF7496"/>
    <w:rsid w:val="7DAF786D"/>
    <w:rsid w:val="7DB562B8"/>
    <w:rsid w:val="7DBE7C75"/>
    <w:rsid w:val="7DBF01FF"/>
    <w:rsid w:val="7DD361BA"/>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5BDBE7"/>
    <w:rsid w:val="7E67DCF9"/>
    <w:rsid w:val="7E684C17"/>
    <w:rsid w:val="7E75D461"/>
    <w:rsid w:val="7E777088"/>
    <w:rsid w:val="7E7E7809"/>
    <w:rsid w:val="7E7EEC4B"/>
    <w:rsid w:val="7E7F62A9"/>
    <w:rsid w:val="7E7FED77"/>
    <w:rsid w:val="7E9A36DD"/>
    <w:rsid w:val="7EA66245"/>
    <w:rsid w:val="7EA729C5"/>
    <w:rsid w:val="7EB40E9C"/>
    <w:rsid w:val="7EB52E28"/>
    <w:rsid w:val="7EBBAC76"/>
    <w:rsid w:val="7EBF7998"/>
    <w:rsid w:val="7EBFFC36"/>
    <w:rsid w:val="7EC0284A"/>
    <w:rsid w:val="7EC6CDB1"/>
    <w:rsid w:val="7ECCB299"/>
    <w:rsid w:val="7ECE3379"/>
    <w:rsid w:val="7EDD4060"/>
    <w:rsid w:val="7EDF31A0"/>
    <w:rsid w:val="7EDF6D08"/>
    <w:rsid w:val="7EEA7BDF"/>
    <w:rsid w:val="7EED5D0E"/>
    <w:rsid w:val="7EEE7FE4"/>
    <w:rsid w:val="7EEFA524"/>
    <w:rsid w:val="7EF6734E"/>
    <w:rsid w:val="7EF67D28"/>
    <w:rsid w:val="7EF7F35D"/>
    <w:rsid w:val="7EFB2CE3"/>
    <w:rsid w:val="7EFD6A6A"/>
    <w:rsid w:val="7EFD8533"/>
    <w:rsid w:val="7EFDE5B3"/>
    <w:rsid w:val="7EFF0B2E"/>
    <w:rsid w:val="7EFF4598"/>
    <w:rsid w:val="7EFFA8CD"/>
    <w:rsid w:val="7EFFCB90"/>
    <w:rsid w:val="7EFFD53B"/>
    <w:rsid w:val="7F1701B1"/>
    <w:rsid w:val="7F1B24BE"/>
    <w:rsid w:val="7F3B289C"/>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9E47AE"/>
    <w:rsid w:val="7FA72D9A"/>
    <w:rsid w:val="7FAE2EA1"/>
    <w:rsid w:val="7FAFA257"/>
    <w:rsid w:val="7FB721F8"/>
    <w:rsid w:val="7FB7665D"/>
    <w:rsid w:val="7FB775B0"/>
    <w:rsid w:val="7FBB0AD6"/>
    <w:rsid w:val="7FBB3CFD"/>
    <w:rsid w:val="7FBB6E60"/>
    <w:rsid w:val="7FBD730D"/>
    <w:rsid w:val="7FBF128D"/>
    <w:rsid w:val="7FBF65FE"/>
    <w:rsid w:val="7FC5D692"/>
    <w:rsid w:val="7FCF46CD"/>
    <w:rsid w:val="7FCFF785"/>
    <w:rsid w:val="7FD782A6"/>
    <w:rsid w:val="7FD79246"/>
    <w:rsid w:val="7FD7FA52"/>
    <w:rsid w:val="7FDB698F"/>
    <w:rsid w:val="7FDBAF00"/>
    <w:rsid w:val="7FDC345A"/>
    <w:rsid w:val="7FDDF4D9"/>
    <w:rsid w:val="7FDE065F"/>
    <w:rsid w:val="7FDF17DC"/>
    <w:rsid w:val="7FDF9BCB"/>
    <w:rsid w:val="7FDFF045"/>
    <w:rsid w:val="7FE14CD4"/>
    <w:rsid w:val="7FE35AF9"/>
    <w:rsid w:val="7FE3E2F9"/>
    <w:rsid w:val="7FE4A5DD"/>
    <w:rsid w:val="7FEAAAC8"/>
    <w:rsid w:val="7FEB36E9"/>
    <w:rsid w:val="7FEC221A"/>
    <w:rsid w:val="7FEFA816"/>
    <w:rsid w:val="7FEFAAE4"/>
    <w:rsid w:val="7FEFC59B"/>
    <w:rsid w:val="7FEFE58F"/>
    <w:rsid w:val="7FF126FC"/>
    <w:rsid w:val="7FF283F0"/>
    <w:rsid w:val="7FF35250"/>
    <w:rsid w:val="7FF37141"/>
    <w:rsid w:val="7FF39F01"/>
    <w:rsid w:val="7FF4AE70"/>
    <w:rsid w:val="7FF54A62"/>
    <w:rsid w:val="7FF58BEF"/>
    <w:rsid w:val="7FF5B9B9"/>
    <w:rsid w:val="7FF6A152"/>
    <w:rsid w:val="7FF71B51"/>
    <w:rsid w:val="7FF760ED"/>
    <w:rsid w:val="7FF7CDAA"/>
    <w:rsid w:val="7FF7EE23"/>
    <w:rsid w:val="7FFB0078"/>
    <w:rsid w:val="7FFB00C7"/>
    <w:rsid w:val="7FFB2FAA"/>
    <w:rsid w:val="7FFB647C"/>
    <w:rsid w:val="7FFB785D"/>
    <w:rsid w:val="7FFB8326"/>
    <w:rsid w:val="7FFCF52C"/>
    <w:rsid w:val="7FFD03C8"/>
    <w:rsid w:val="7FFD434B"/>
    <w:rsid w:val="7FFD6DE7"/>
    <w:rsid w:val="7FFDE59F"/>
    <w:rsid w:val="7FFE4DFC"/>
    <w:rsid w:val="7FFE6271"/>
    <w:rsid w:val="7FFE67A8"/>
    <w:rsid w:val="7FFEB6E7"/>
    <w:rsid w:val="7FFEC0E5"/>
    <w:rsid w:val="7FFF048E"/>
    <w:rsid w:val="7FFF0BD7"/>
    <w:rsid w:val="7FFF199B"/>
    <w:rsid w:val="7FFF3530"/>
    <w:rsid w:val="7FFF5666"/>
    <w:rsid w:val="7FFF90C0"/>
    <w:rsid w:val="7FFFA202"/>
    <w:rsid w:val="7FFFC5F1"/>
    <w:rsid w:val="7FFFF12E"/>
    <w:rsid w:val="83FF39A5"/>
    <w:rsid w:val="86BF7155"/>
    <w:rsid w:val="879D957E"/>
    <w:rsid w:val="87FF773E"/>
    <w:rsid w:val="88FF83CB"/>
    <w:rsid w:val="89DA2EEC"/>
    <w:rsid w:val="8B679F78"/>
    <w:rsid w:val="8C1D93AA"/>
    <w:rsid w:val="8C7CD50E"/>
    <w:rsid w:val="8CBFCC40"/>
    <w:rsid w:val="8DFF549B"/>
    <w:rsid w:val="8DFF7D98"/>
    <w:rsid w:val="8DFF8989"/>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7F34AEF"/>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7FBA3"/>
    <w:rsid w:val="9DF9979C"/>
    <w:rsid w:val="9DFEADE1"/>
    <w:rsid w:val="9DFF44D7"/>
    <w:rsid w:val="9DFFBBCD"/>
    <w:rsid w:val="9E2F2238"/>
    <w:rsid w:val="9E9D9867"/>
    <w:rsid w:val="9EDE2AE3"/>
    <w:rsid w:val="9F3A62A6"/>
    <w:rsid w:val="9FAAF56C"/>
    <w:rsid w:val="9FBF9D7D"/>
    <w:rsid w:val="9FDD22FB"/>
    <w:rsid w:val="9FDF64D0"/>
    <w:rsid w:val="9FDF76F0"/>
    <w:rsid w:val="9FE826C2"/>
    <w:rsid w:val="9FEF3C92"/>
    <w:rsid w:val="9FF3C3C0"/>
    <w:rsid w:val="A36FD013"/>
    <w:rsid w:val="A5D31DBE"/>
    <w:rsid w:val="A77F4607"/>
    <w:rsid w:val="A7FF53A1"/>
    <w:rsid w:val="A97F177B"/>
    <w:rsid w:val="AAE7C279"/>
    <w:rsid w:val="AB7BA50B"/>
    <w:rsid w:val="ABE77582"/>
    <w:rsid w:val="ABFD9FCE"/>
    <w:rsid w:val="ABFDD93A"/>
    <w:rsid w:val="ABFFFF20"/>
    <w:rsid w:val="AC5BFD87"/>
    <w:rsid w:val="AC7F3EFE"/>
    <w:rsid w:val="ACFDA144"/>
    <w:rsid w:val="AD6508BC"/>
    <w:rsid w:val="AD731A41"/>
    <w:rsid w:val="ADED7ACE"/>
    <w:rsid w:val="ADFBF6B4"/>
    <w:rsid w:val="ADFFC455"/>
    <w:rsid w:val="AEF9A464"/>
    <w:rsid w:val="AF4AE082"/>
    <w:rsid w:val="AF7ECCFF"/>
    <w:rsid w:val="AFAF9E8E"/>
    <w:rsid w:val="AFB3E272"/>
    <w:rsid w:val="AFBBF37D"/>
    <w:rsid w:val="AFEFB96D"/>
    <w:rsid w:val="AFFB00C9"/>
    <w:rsid w:val="AFFBA072"/>
    <w:rsid w:val="AFFDA3EB"/>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BB519"/>
    <w:rsid w:val="B8FD3F35"/>
    <w:rsid w:val="B94BF061"/>
    <w:rsid w:val="B9FFA46B"/>
    <w:rsid w:val="BA5CBEC6"/>
    <w:rsid w:val="BA7B47D3"/>
    <w:rsid w:val="BABF8010"/>
    <w:rsid w:val="BABF9DBC"/>
    <w:rsid w:val="BAFE325E"/>
    <w:rsid w:val="BB3EF1B1"/>
    <w:rsid w:val="BB6F5F25"/>
    <w:rsid w:val="BB7D7ACF"/>
    <w:rsid w:val="BB7FBD5F"/>
    <w:rsid w:val="BB9B5D46"/>
    <w:rsid w:val="BBBD4418"/>
    <w:rsid w:val="BBBFED61"/>
    <w:rsid w:val="BBD6ACF3"/>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DFEDDE"/>
    <w:rsid w:val="BDF242FC"/>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044A"/>
    <w:rsid w:val="BF5D39C5"/>
    <w:rsid w:val="BF7F7F0E"/>
    <w:rsid w:val="BF9ED908"/>
    <w:rsid w:val="BFB28CA5"/>
    <w:rsid w:val="BFB5EC12"/>
    <w:rsid w:val="BFBE4404"/>
    <w:rsid w:val="BFBEE69E"/>
    <w:rsid w:val="BFBF56C5"/>
    <w:rsid w:val="BFCFF33F"/>
    <w:rsid w:val="BFD2E4F5"/>
    <w:rsid w:val="BFDAFEF1"/>
    <w:rsid w:val="BFDBD17E"/>
    <w:rsid w:val="BFDDDFFA"/>
    <w:rsid w:val="BFDFCF6F"/>
    <w:rsid w:val="BFEBE407"/>
    <w:rsid w:val="BFF02670"/>
    <w:rsid w:val="BFF590DD"/>
    <w:rsid w:val="BFF6A232"/>
    <w:rsid w:val="BFF72883"/>
    <w:rsid w:val="BFF74BFC"/>
    <w:rsid w:val="BFFA81D8"/>
    <w:rsid w:val="BFFB0211"/>
    <w:rsid w:val="BFFD5722"/>
    <w:rsid w:val="BFFD7427"/>
    <w:rsid w:val="BFFE233E"/>
    <w:rsid w:val="BFFE7CC2"/>
    <w:rsid w:val="BFFED776"/>
    <w:rsid w:val="C34D65C1"/>
    <w:rsid w:val="C5BB27A5"/>
    <w:rsid w:val="C6BF10A5"/>
    <w:rsid w:val="C7B41E1C"/>
    <w:rsid w:val="C7DDE9FF"/>
    <w:rsid w:val="C7FFE71A"/>
    <w:rsid w:val="C9D7FA45"/>
    <w:rsid w:val="CB9F3FC4"/>
    <w:rsid w:val="CBF70D76"/>
    <w:rsid w:val="CBFA74AC"/>
    <w:rsid w:val="CBFDDE46"/>
    <w:rsid w:val="CDA5C7D2"/>
    <w:rsid w:val="CDDD8EDB"/>
    <w:rsid w:val="CDFFA4CA"/>
    <w:rsid w:val="CDFFADC5"/>
    <w:rsid w:val="CE938DC6"/>
    <w:rsid w:val="CF45158F"/>
    <w:rsid w:val="CF7D8BE1"/>
    <w:rsid w:val="CFB6DB2E"/>
    <w:rsid w:val="CFBA992E"/>
    <w:rsid w:val="CFBD1627"/>
    <w:rsid w:val="CFD71A2E"/>
    <w:rsid w:val="CFE7F362"/>
    <w:rsid w:val="CFF98620"/>
    <w:rsid w:val="CFFDC2A4"/>
    <w:rsid w:val="CFFFBACC"/>
    <w:rsid w:val="D13E0CBF"/>
    <w:rsid w:val="D15B0EF0"/>
    <w:rsid w:val="D1D60DD3"/>
    <w:rsid w:val="D1D9FFF6"/>
    <w:rsid w:val="D1EB2765"/>
    <w:rsid w:val="D1F9BB59"/>
    <w:rsid w:val="D37664D3"/>
    <w:rsid w:val="D3DF5173"/>
    <w:rsid w:val="D4FF2834"/>
    <w:rsid w:val="D57CC64F"/>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E4C0B"/>
    <w:rsid w:val="DBFE606A"/>
    <w:rsid w:val="DBFF3CBC"/>
    <w:rsid w:val="DC8E399A"/>
    <w:rsid w:val="DC9F23ED"/>
    <w:rsid w:val="DCF7FCBF"/>
    <w:rsid w:val="DCFBF91C"/>
    <w:rsid w:val="DDD61ECE"/>
    <w:rsid w:val="DDFB0923"/>
    <w:rsid w:val="DDFD42AE"/>
    <w:rsid w:val="DDFFAF02"/>
    <w:rsid w:val="DE1F9D1D"/>
    <w:rsid w:val="DE3AA1A7"/>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A3ED0"/>
    <w:rsid w:val="DFABCEF3"/>
    <w:rsid w:val="DFABD177"/>
    <w:rsid w:val="DFAE5131"/>
    <w:rsid w:val="DFBBB7BD"/>
    <w:rsid w:val="DFBDE002"/>
    <w:rsid w:val="DFBE4B55"/>
    <w:rsid w:val="DFBF046A"/>
    <w:rsid w:val="DFC5C4FD"/>
    <w:rsid w:val="DFC5DC5A"/>
    <w:rsid w:val="DFCE9A63"/>
    <w:rsid w:val="DFD3B952"/>
    <w:rsid w:val="DFD6AE3B"/>
    <w:rsid w:val="DFD84BBA"/>
    <w:rsid w:val="DFDB7B89"/>
    <w:rsid w:val="DFDCC01C"/>
    <w:rsid w:val="DFDF8B3B"/>
    <w:rsid w:val="DFE7E80C"/>
    <w:rsid w:val="DFF4C9BD"/>
    <w:rsid w:val="DFF696AE"/>
    <w:rsid w:val="DFF739C1"/>
    <w:rsid w:val="DFF9001D"/>
    <w:rsid w:val="DFF93F58"/>
    <w:rsid w:val="DFFA9BDD"/>
    <w:rsid w:val="DFFB0175"/>
    <w:rsid w:val="DFFB6D38"/>
    <w:rsid w:val="DFFC13F7"/>
    <w:rsid w:val="DFFD038F"/>
    <w:rsid w:val="DFFE2720"/>
    <w:rsid w:val="DFFF3252"/>
    <w:rsid w:val="DFFF70F1"/>
    <w:rsid w:val="DFFF9D9D"/>
    <w:rsid w:val="E0FA2432"/>
    <w:rsid w:val="E1FD7804"/>
    <w:rsid w:val="E37F0848"/>
    <w:rsid w:val="E39F1914"/>
    <w:rsid w:val="E3D766FE"/>
    <w:rsid w:val="E3FE9DB1"/>
    <w:rsid w:val="E47D5950"/>
    <w:rsid w:val="E4DAAEDF"/>
    <w:rsid w:val="E55DFB81"/>
    <w:rsid w:val="E5CAE4E2"/>
    <w:rsid w:val="E5CEDE9B"/>
    <w:rsid w:val="E5FD0BC1"/>
    <w:rsid w:val="E636E1FA"/>
    <w:rsid w:val="E679D313"/>
    <w:rsid w:val="E69A994E"/>
    <w:rsid w:val="E6EB41DC"/>
    <w:rsid w:val="E6FDD701"/>
    <w:rsid w:val="E77B6D96"/>
    <w:rsid w:val="E77FD1A9"/>
    <w:rsid w:val="E7B5C8B5"/>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FBAA93"/>
    <w:rsid w:val="EAFF1AF1"/>
    <w:rsid w:val="EB5E3CB2"/>
    <w:rsid w:val="EBCA4121"/>
    <w:rsid w:val="EBCE7211"/>
    <w:rsid w:val="EBDE81AE"/>
    <w:rsid w:val="EBDF0A43"/>
    <w:rsid w:val="EBEECCB9"/>
    <w:rsid w:val="EBEFA672"/>
    <w:rsid w:val="EBEFD9D0"/>
    <w:rsid w:val="EBF86B2E"/>
    <w:rsid w:val="EBFE8B27"/>
    <w:rsid w:val="EBFFCBDA"/>
    <w:rsid w:val="EC7C262F"/>
    <w:rsid w:val="ECDD891C"/>
    <w:rsid w:val="ED1389A5"/>
    <w:rsid w:val="ED3C087E"/>
    <w:rsid w:val="ED3D0747"/>
    <w:rsid w:val="ED7D2F81"/>
    <w:rsid w:val="ED978444"/>
    <w:rsid w:val="EDDB0315"/>
    <w:rsid w:val="EDDB1ACE"/>
    <w:rsid w:val="EDED3930"/>
    <w:rsid w:val="EDF7289F"/>
    <w:rsid w:val="EDF97518"/>
    <w:rsid w:val="EDFB357A"/>
    <w:rsid w:val="EDFBADD6"/>
    <w:rsid w:val="EDFD7D6E"/>
    <w:rsid w:val="EE8EFDEC"/>
    <w:rsid w:val="EEAF7242"/>
    <w:rsid w:val="EEDB5E28"/>
    <w:rsid w:val="EEDF28AA"/>
    <w:rsid w:val="EEDFBCFE"/>
    <w:rsid w:val="EEE5EE47"/>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EF807"/>
    <w:rsid w:val="EFDF51E2"/>
    <w:rsid w:val="EFF0AC50"/>
    <w:rsid w:val="EFF137AB"/>
    <w:rsid w:val="EFF2AEF5"/>
    <w:rsid w:val="EFF57E73"/>
    <w:rsid w:val="EFF727E7"/>
    <w:rsid w:val="EFFA1918"/>
    <w:rsid w:val="EFFAAB69"/>
    <w:rsid w:val="EFFCC0C1"/>
    <w:rsid w:val="EFFDDCE6"/>
    <w:rsid w:val="EFFE35CC"/>
    <w:rsid w:val="EFFF8FAE"/>
    <w:rsid w:val="EFFF9FB4"/>
    <w:rsid w:val="EFFFD03D"/>
    <w:rsid w:val="EFFFF399"/>
    <w:rsid w:val="F0EFA174"/>
    <w:rsid w:val="F1662D8A"/>
    <w:rsid w:val="F1AF4E16"/>
    <w:rsid w:val="F1D8F34F"/>
    <w:rsid w:val="F1EB14A1"/>
    <w:rsid w:val="F1FECEF6"/>
    <w:rsid w:val="F297A469"/>
    <w:rsid w:val="F2CFD398"/>
    <w:rsid w:val="F3736517"/>
    <w:rsid w:val="F37F1A6B"/>
    <w:rsid w:val="F37F6DD9"/>
    <w:rsid w:val="F3D63749"/>
    <w:rsid w:val="F3F5A866"/>
    <w:rsid w:val="F3FBDEB7"/>
    <w:rsid w:val="F3FC6FA9"/>
    <w:rsid w:val="F3FF28FB"/>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750AA8"/>
    <w:rsid w:val="F6B5EB19"/>
    <w:rsid w:val="F6BF8ABA"/>
    <w:rsid w:val="F6D87B73"/>
    <w:rsid w:val="F6E79DAC"/>
    <w:rsid w:val="F6EBABEE"/>
    <w:rsid w:val="F6F455DC"/>
    <w:rsid w:val="F6F6A11D"/>
    <w:rsid w:val="F6FBA7D2"/>
    <w:rsid w:val="F6FD00E5"/>
    <w:rsid w:val="F6FFA95C"/>
    <w:rsid w:val="F7539ED6"/>
    <w:rsid w:val="F75586CC"/>
    <w:rsid w:val="F757BE1B"/>
    <w:rsid w:val="F77E7B9E"/>
    <w:rsid w:val="F77F4DE8"/>
    <w:rsid w:val="F7953A46"/>
    <w:rsid w:val="F7AB730B"/>
    <w:rsid w:val="F7B7D3B2"/>
    <w:rsid w:val="F7BD1594"/>
    <w:rsid w:val="F7BFA339"/>
    <w:rsid w:val="F7C51E90"/>
    <w:rsid w:val="F7D8FE52"/>
    <w:rsid w:val="F7DA33A1"/>
    <w:rsid w:val="F7DF06F9"/>
    <w:rsid w:val="F7EF3847"/>
    <w:rsid w:val="F7EFC247"/>
    <w:rsid w:val="F7F30B1A"/>
    <w:rsid w:val="F7F627DC"/>
    <w:rsid w:val="F7F6BE77"/>
    <w:rsid w:val="F7F9C488"/>
    <w:rsid w:val="F7F9E291"/>
    <w:rsid w:val="F7FA8869"/>
    <w:rsid w:val="F7FB4CD4"/>
    <w:rsid w:val="F7FD192F"/>
    <w:rsid w:val="F7FD2715"/>
    <w:rsid w:val="F7FD7969"/>
    <w:rsid w:val="F7FEF956"/>
    <w:rsid w:val="F7FF25CC"/>
    <w:rsid w:val="F7FF9795"/>
    <w:rsid w:val="F8BFB7AD"/>
    <w:rsid w:val="F8E86A9F"/>
    <w:rsid w:val="F8F3B041"/>
    <w:rsid w:val="F8F50656"/>
    <w:rsid w:val="F94FDB23"/>
    <w:rsid w:val="F95FF6D4"/>
    <w:rsid w:val="F96974A4"/>
    <w:rsid w:val="F96B2CFE"/>
    <w:rsid w:val="F98F06C5"/>
    <w:rsid w:val="F9B7DC72"/>
    <w:rsid w:val="F9DB51E2"/>
    <w:rsid w:val="F9DF5CED"/>
    <w:rsid w:val="F9E63BEF"/>
    <w:rsid w:val="F9F77F36"/>
    <w:rsid w:val="F9FB0670"/>
    <w:rsid w:val="F9FB6721"/>
    <w:rsid w:val="F9FEBE7F"/>
    <w:rsid w:val="FA5E03B6"/>
    <w:rsid w:val="FA7F1D70"/>
    <w:rsid w:val="FA955BCC"/>
    <w:rsid w:val="FABB6EFD"/>
    <w:rsid w:val="FADF54C2"/>
    <w:rsid w:val="FAF6DF8D"/>
    <w:rsid w:val="FB15E6D2"/>
    <w:rsid w:val="FB370B58"/>
    <w:rsid w:val="FB3EB951"/>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E3759"/>
    <w:rsid w:val="FBBFF928"/>
    <w:rsid w:val="FBC1C639"/>
    <w:rsid w:val="FBDFADD2"/>
    <w:rsid w:val="FBDFCEC7"/>
    <w:rsid w:val="FBE23C45"/>
    <w:rsid w:val="FBEDAB20"/>
    <w:rsid w:val="FBEEBF1A"/>
    <w:rsid w:val="FBEFAD1F"/>
    <w:rsid w:val="FBF5771C"/>
    <w:rsid w:val="FBF7CE61"/>
    <w:rsid w:val="FBF7D02E"/>
    <w:rsid w:val="FBF88F0A"/>
    <w:rsid w:val="FBF93B4E"/>
    <w:rsid w:val="FBF9B9CB"/>
    <w:rsid w:val="FBFBE0E5"/>
    <w:rsid w:val="FBFBEB82"/>
    <w:rsid w:val="FBFE8703"/>
    <w:rsid w:val="FBFF8324"/>
    <w:rsid w:val="FBFFB287"/>
    <w:rsid w:val="FBFFBC88"/>
    <w:rsid w:val="FBFFD768"/>
    <w:rsid w:val="FBFFF823"/>
    <w:rsid w:val="FC7FB26B"/>
    <w:rsid w:val="FCBF2E03"/>
    <w:rsid w:val="FCC76187"/>
    <w:rsid w:val="FCCD2BF3"/>
    <w:rsid w:val="FCE728BD"/>
    <w:rsid w:val="FCFBC210"/>
    <w:rsid w:val="FCFF0F3B"/>
    <w:rsid w:val="FCFFFEBC"/>
    <w:rsid w:val="FD2BA9A1"/>
    <w:rsid w:val="FD2FA0EB"/>
    <w:rsid w:val="FD3E4B9C"/>
    <w:rsid w:val="FD52EE52"/>
    <w:rsid w:val="FD6F7635"/>
    <w:rsid w:val="FD7F222D"/>
    <w:rsid w:val="FD7F5B4A"/>
    <w:rsid w:val="FD7F7D7A"/>
    <w:rsid w:val="FD7FF813"/>
    <w:rsid w:val="FD9A135E"/>
    <w:rsid w:val="FD9F3ACB"/>
    <w:rsid w:val="FD9F88ED"/>
    <w:rsid w:val="FDA39AA1"/>
    <w:rsid w:val="FDA6D35D"/>
    <w:rsid w:val="FDAF1EE6"/>
    <w:rsid w:val="FDB326BF"/>
    <w:rsid w:val="FDB5308D"/>
    <w:rsid w:val="FDB53266"/>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9FAAAA"/>
    <w:rsid w:val="FEBDA84F"/>
    <w:rsid w:val="FECD36E5"/>
    <w:rsid w:val="FED51164"/>
    <w:rsid w:val="FED74D73"/>
    <w:rsid w:val="FEDE614B"/>
    <w:rsid w:val="FEDE8939"/>
    <w:rsid w:val="FEDF0612"/>
    <w:rsid w:val="FEE67C90"/>
    <w:rsid w:val="FEEB8154"/>
    <w:rsid w:val="FEEEE0A9"/>
    <w:rsid w:val="FEF33F68"/>
    <w:rsid w:val="FEF3D17F"/>
    <w:rsid w:val="FEF3E509"/>
    <w:rsid w:val="FEF5E285"/>
    <w:rsid w:val="FEF60562"/>
    <w:rsid w:val="FEF61B71"/>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4EE44"/>
    <w:rsid w:val="FF773934"/>
    <w:rsid w:val="FF791B9D"/>
    <w:rsid w:val="FF79C9B6"/>
    <w:rsid w:val="FF7BDFEA"/>
    <w:rsid w:val="FF7EDF8A"/>
    <w:rsid w:val="FF7F4F7D"/>
    <w:rsid w:val="FF7F5123"/>
    <w:rsid w:val="FF7F8AF1"/>
    <w:rsid w:val="FF7F9FDA"/>
    <w:rsid w:val="FF973A04"/>
    <w:rsid w:val="FF9C973E"/>
    <w:rsid w:val="FF9CF1FF"/>
    <w:rsid w:val="FF9DE724"/>
    <w:rsid w:val="FFA7EB66"/>
    <w:rsid w:val="FFA93AEE"/>
    <w:rsid w:val="FFAA9BF8"/>
    <w:rsid w:val="FFB4D7E4"/>
    <w:rsid w:val="FFB65CAD"/>
    <w:rsid w:val="FFB73D5D"/>
    <w:rsid w:val="FFB7A89F"/>
    <w:rsid w:val="FFB7F74C"/>
    <w:rsid w:val="FFBB3F78"/>
    <w:rsid w:val="FFBC7C87"/>
    <w:rsid w:val="FFBE2368"/>
    <w:rsid w:val="FFBEE479"/>
    <w:rsid w:val="FFBF1793"/>
    <w:rsid w:val="FFBF8302"/>
    <w:rsid w:val="FFC7AECA"/>
    <w:rsid w:val="FFCB8E04"/>
    <w:rsid w:val="FFCBEB0E"/>
    <w:rsid w:val="FFCEF076"/>
    <w:rsid w:val="FFCFEACA"/>
    <w:rsid w:val="FFD27586"/>
    <w:rsid w:val="FFD7A005"/>
    <w:rsid w:val="FFDA3A54"/>
    <w:rsid w:val="FFDBC2AB"/>
    <w:rsid w:val="FFDC302C"/>
    <w:rsid w:val="FFDF14C5"/>
    <w:rsid w:val="FFDF2639"/>
    <w:rsid w:val="FFDF8759"/>
    <w:rsid w:val="FFDFFC5F"/>
    <w:rsid w:val="FFE59807"/>
    <w:rsid w:val="FFE5D90C"/>
    <w:rsid w:val="FFE61391"/>
    <w:rsid w:val="FFE72B01"/>
    <w:rsid w:val="FFE94EC2"/>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6CCF"/>
    <w:rsid w:val="FFFF7481"/>
    <w:rsid w:val="FFFF9DA9"/>
    <w:rsid w:val="FFFFA5C2"/>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51.png"/><Relationship Id="rId91" Type="http://schemas.openxmlformats.org/officeDocument/2006/relationships/image" Target="media/image50.png"/><Relationship Id="rId90" Type="http://schemas.openxmlformats.org/officeDocument/2006/relationships/image" Target="media/image49.png"/><Relationship Id="rId9" Type="http://schemas.openxmlformats.org/officeDocument/2006/relationships/header" Target="header3.xml"/><Relationship Id="rId89" Type="http://schemas.openxmlformats.org/officeDocument/2006/relationships/image" Target="media/image48.png"/><Relationship Id="rId88" Type="http://schemas.openxmlformats.org/officeDocument/2006/relationships/image" Target="media/image47.jpeg"/><Relationship Id="rId87" Type="http://schemas.openxmlformats.org/officeDocument/2006/relationships/image" Target="media/image46.png"/><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wmf"/><Relationship Id="rId82" Type="http://schemas.openxmlformats.org/officeDocument/2006/relationships/image" Target="media/image41.wmf"/><Relationship Id="rId81" Type="http://schemas.openxmlformats.org/officeDocument/2006/relationships/image" Target="media/image40.wmf"/><Relationship Id="rId80" Type="http://schemas.openxmlformats.org/officeDocument/2006/relationships/image" Target="media/image39.wmf"/><Relationship Id="rId8" Type="http://schemas.openxmlformats.org/officeDocument/2006/relationships/footer" Target="footer3.xml"/><Relationship Id="rId79" Type="http://schemas.openxmlformats.org/officeDocument/2006/relationships/image" Target="media/image38.wmf"/><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png"/><Relationship Id="rId6" Type="http://schemas.openxmlformats.org/officeDocument/2006/relationships/header" Target="header2.xml"/><Relationship Id="rId59" Type="http://schemas.openxmlformats.org/officeDocument/2006/relationships/image" Target="media/image18.png"/><Relationship Id="rId58" Type="http://schemas.openxmlformats.org/officeDocument/2006/relationships/image" Target="media/image17.png"/><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0</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2023-06-08T21:01:32Z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