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line="400" w:lineRule="exact"/>
        <w:rPr>
          <w:rFonts w:hint="default"/>
          <w:sz w:val="24"/>
        </w:rPr>
      </w:pPr>
      <w:r>
        <w:rPr>
          <w:rFonts w:hint="default"/>
          <w:sz w:val="24"/>
        </w:rPr>
        <w:t>清洁算系统是支付系统的一个核心子系统，它和其他子系统交互协作，从而构成完整的支付系统。完整的支付核心系统根据分层结构从上到下分为服务接入层、支付核心和聚道三层，整体的支付清结算系统架构如下图所示：</w:t>
      </w:r>
    </w:p>
    <w:p>
      <w:pPr>
        <w:spacing w:before="480" w:after="120"/>
        <w:outlineLvl w:val="1"/>
        <w:rPr>
          <w:rFonts w:hint="eastAsia" w:ascii="黑体" w:hAnsi="宋体" w:eastAsia="黑体"/>
          <w:color w:val="000000"/>
          <w:sz w:val="28"/>
          <w:szCs w:val="28"/>
        </w:rPr>
      </w:pPr>
      <w:bookmarkStart w:id="21" w:name="_Toc27326"/>
      <w:r>
        <w:rPr>
          <w:color w:val="000000"/>
        </w:rPr>
        <w:drawing>
          <wp:inline distT="0" distB="0" distL="114300" distR="114300">
            <wp:extent cx="5307965" cy="3660140"/>
            <wp:effectExtent l="0" t="0" r="635" b="228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8"/>
                    <a:stretch>
                      <a:fillRect/>
                    </a:stretch>
                  </pic:blipFill>
                  <pic:spPr>
                    <a:xfrm>
                      <a:off x="0" y="0"/>
                      <a:ext cx="5307965" cy="3660140"/>
                    </a:xfrm>
                    <a:prstGeom prst="rect">
                      <a:avLst/>
                    </a:prstGeom>
                    <a:noFill/>
                    <a:ln>
                      <a:noFill/>
                    </a:ln>
                  </pic:spPr>
                </pic:pic>
              </a:graphicData>
            </a:graphic>
          </wp:inline>
        </w:drawing>
      </w:r>
    </w:p>
    <w:p>
      <w:pPr>
        <w:spacing w:line="400" w:lineRule="exact"/>
        <w:ind w:firstLine="480" w:firstLineChars="200"/>
        <w:rPr>
          <w:rFonts w:hint="eastAsia" w:ascii="黑体" w:hAnsi="宋体" w:eastAsia="黑体"/>
          <w:color w:val="000000"/>
          <w:sz w:val="28"/>
          <w:szCs w:val="28"/>
        </w:rPr>
      </w:pPr>
      <w:r>
        <w:rPr>
          <w:rFonts w:hint="default" w:eastAsia="宋体"/>
          <w:sz w:val="24"/>
        </w:rPr>
        <w:t>从图可以看出，</w:t>
      </w:r>
      <w:r>
        <w:rPr>
          <w:rFonts w:hint="eastAsia" w:eastAsia="宋体"/>
          <w:sz w:val="24"/>
        </w:rPr>
        <w:t>支付</w:t>
      </w:r>
      <w:r>
        <w:rPr>
          <w:rFonts w:hint="default" w:eastAsia="宋体"/>
          <w:sz w:val="24"/>
        </w:rPr>
        <w:t>核心</w:t>
      </w:r>
      <w:r>
        <w:rPr>
          <w:rFonts w:hint="eastAsia" w:eastAsia="宋体"/>
          <w:sz w:val="24"/>
        </w:rPr>
        <w:t>包含交易中心、支付中心、清结算中心、运营平台、账务核心和商户平台等模块。</w:t>
      </w:r>
      <w:r>
        <w:rPr>
          <w:rFonts w:hint="default" w:eastAsia="宋体"/>
          <w:sz w:val="24"/>
        </w:rPr>
        <w:t>清结算中心需要和交易中心、账户中心和商户平台交互协调。</w:t>
      </w:r>
    </w:p>
    <w:p>
      <w:pPr>
        <w:spacing w:before="480" w:after="120"/>
        <w:outlineLvl w:val="1"/>
        <w:rPr>
          <w:rFonts w:hint="default" w:ascii="黑体" w:hAnsi="宋体" w:eastAsia="黑体"/>
          <w:color w:val="000000"/>
          <w:sz w:val="28"/>
          <w:szCs w:val="28"/>
        </w:rPr>
      </w:pPr>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业务需求分析</w:t>
      </w:r>
    </w:p>
    <w:p>
      <w:pPr>
        <w:spacing w:line="400" w:lineRule="exact"/>
        <w:ind w:firstLine="480" w:firstLineChars="200"/>
        <w:rPr>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是支付系统的内部子系统，不像运营平台和商户平台，使用对象分别是A企业运营人员和商家，清结算系统</w:t>
      </w:r>
      <w:r>
        <w:rPr>
          <w:rFonts w:hint="default"/>
          <w:sz w:val="24"/>
        </w:rPr>
        <w:t>除开后台开发人员，其他人员无法直接操作系统</w:t>
      </w:r>
      <w:r>
        <w:rPr>
          <w:rFonts w:hint="default"/>
          <w:sz w:val="24"/>
        </w:rPr>
        <w:t>。因此，清结算系统的使用者是和清结算系统有直接交互关系的其他支付子系统，如商户系统、账户系统和运营系统。</w:t>
      </w:r>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r>
        <w:rPr>
          <w:color w:val="000000"/>
        </w:rPr>
        <w:drawing>
          <wp:inline distT="0" distB="0" distL="114300" distR="114300">
            <wp:extent cx="5161915" cy="5890895"/>
            <wp:effectExtent l="0" t="0" r="19685"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a:stretch>
                      <a:fillRect/>
                    </a:stretch>
                  </pic:blipFill>
                  <pic:spPr>
                    <a:xfrm>
                      <a:off x="0" y="0"/>
                      <a:ext cx="5161915" cy="5890895"/>
                    </a:xfrm>
                    <a:prstGeom prst="rect">
                      <a:avLst/>
                    </a:prstGeom>
                    <a:noFill/>
                    <a:ln>
                      <a:noFill/>
                    </a:ln>
                  </pic:spPr>
                </pic:pic>
              </a:graphicData>
            </a:graphic>
          </wp:inline>
        </w:drawing>
      </w:r>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bookmarkStart w:id="24" w:name="_Toc9748"/>
      <w:r>
        <w:rPr>
          <w:rFonts w:hint="eastAsia" w:eastAsia="黑体" w:cs="黑体"/>
          <w:color w:val="000000"/>
          <w:kern w:val="0"/>
          <w:sz w:val="26"/>
          <w:lang w:bidi="ar"/>
        </w:rPr>
        <w:t xml:space="preserve">3.2.3  </w:t>
      </w:r>
      <w:bookmarkEnd w:id="24"/>
      <w:r>
        <w:rPr>
          <w:rFonts w:hint="eastAsia" w:eastAsia="黑体" w:cs="黑体"/>
          <w:color w:val="000000"/>
          <w:kern w:val="0"/>
          <w:sz w:val="26"/>
          <w:lang w:bidi="ar"/>
        </w:rPr>
        <w:t>业务用例分析</w:t>
      </w:r>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0"/>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结算配置管理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w:t>
            </w:r>
            <w:r>
              <w:rPr>
                <w:rFonts w:hint="default" w:eastAsia="宋体"/>
                <w:color w:val="000000"/>
                <w:sz w:val="24"/>
                <w:szCs w:val="24"/>
                <w:vertAlign w:val="baseline"/>
              </w:rPr>
              <w:t>商户</w:t>
            </w:r>
            <w:r>
              <w:rPr>
                <w:rFonts w:hint="default" w:eastAsia="宋体"/>
                <w:color w:val="000000"/>
                <w:sz w:val="24"/>
                <w:szCs w:val="24"/>
                <w:vertAlign w:val="baseline"/>
              </w:rPr>
              <w:t>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w:t>
            </w:r>
            <w:r>
              <w:rPr>
                <w:rFonts w:hint="default" w:eastAsia="宋体"/>
                <w:color w:val="000000"/>
                <w:sz w:val="24"/>
                <w:szCs w:val="24"/>
                <w:vertAlign w:val="baseline"/>
              </w:rPr>
              <w:t>作为清结算系统，我想要系统</w:t>
            </w:r>
            <w:r>
              <w:rPr>
                <w:rFonts w:hint="default" w:eastAsia="宋体"/>
                <w:color w:val="000000"/>
                <w:sz w:val="24"/>
                <w:szCs w:val="24"/>
                <w:vertAlign w:val="baseline"/>
              </w:rPr>
              <w:t>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numId w:val="0"/>
        </w:numPr>
        <w:spacing w:before="156" w:beforeLines="50"/>
        <w:jc w:val="both"/>
        <w:rPr>
          <w:rFonts w:hint="default" w:eastAsia="宋体"/>
          <w:color w:val="000000"/>
          <w:sz w:val="24"/>
          <w:szCs w:val="24"/>
          <w:vertAlign w:val="baseline"/>
        </w:rPr>
      </w:pPr>
    </w:p>
    <w:p>
      <w:pPr>
        <w:widowControl w:val="0"/>
        <w:numPr>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w:t>
      </w:r>
      <w:r>
        <w:rPr>
          <w:rFonts w:hint="default" w:eastAsia="宋体"/>
          <w:color w:val="000000"/>
          <w:sz w:val="24"/>
          <w:szCs w:val="24"/>
          <w:vertAlign w:val="baseline"/>
        </w:rPr>
        <w:t>2</w:t>
      </w:r>
      <w:r>
        <w:rPr>
          <w:rFonts w:hint="default" w:eastAsia="宋体"/>
          <w:color w:val="000000"/>
          <w:sz w:val="24"/>
          <w:szCs w:val="24"/>
          <w:vertAlign w:val="baseline"/>
        </w:rPr>
        <w:t xml:space="preserve"> </w:t>
      </w:r>
      <w:r>
        <w:rPr>
          <w:rFonts w:hint="default" w:eastAsia="宋体"/>
          <w:color w:val="000000"/>
          <w:sz w:val="24"/>
          <w:szCs w:val="24"/>
          <w:vertAlign w:val="baseline"/>
        </w:rPr>
        <w:t>交易数据处理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w:t>
            </w:r>
            <w:r>
              <w:rPr>
                <w:rFonts w:hint="default" w:eastAsia="宋体"/>
                <w:color w:val="000000"/>
                <w:sz w:val="24"/>
                <w:szCs w:val="24"/>
                <w:vertAlign w:val="baseline"/>
              </w:rPr>
              <w:t>2</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w:t>
            </w:r>
            <w:r>
              <w:rPr>
                <w:rFonts w:hint="default" w:eastAsia="宋体"/>
                <w:color w:val="000000"/>
                <w:sz w:val="24"/>
                <w:szCs w:val="24"/>
                <w:vertAlign w:val="baseline"/>
              </w:rPr>
              <w:t>，进行数据解析和校验，保证数据的合法性</w:t>
            </w:r>
            <w:r>
              <w:rPr>
                <w:rFonts w:hint="default" w:eastAsia="宋体"/>
                <w:color w:val="000000"/>
                <w:sz w:val="24"/>
                <w:szCs w:val="24"/>
                <w:vertAlign w:val="baseline"/>
              </w:rPr>
              <w:t>，以便为清算流程做好数据准备。</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w:t>
      </w:r>
      <w:r>
        <w:rPr>
          <w:rFonts w:hint="default" w:eastAsia="宋体"/>
          <w:sz w:val="24"/>
        </w:rPr>
        <w:t>3</w:t>
      </w:r>
      <w:r>
        <w:rPr>
          <w:rFonts w:hint="default" w:eastAsia="宋体"/>
          <w:sz w:val="24"/>
        </w:rPr>
        <w:t>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w:t>
            </w:r>
            <w:r>
              <w:rPr>
                <w:rFonts w:hint="default" w:eastAsia="宋体"/>
                <w:sz w:val="24"/>
              </w:rPr>
              <w:t>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w:t>
      </w:r>
      <w:r>
        <w:rPr>
          <w:rFonts w:hint="default" w:eastAsia="宋体"/>
          <w:sz w:val="24"/>
        </w:rPr>
        <w:t>-4费项</w:t>
      </w:r>
      <w:r>
        <w:rPr>
          <w:rFonts w:hint="default" w:eastAsia="宋体"/>
          <w:sz w:val="24"/>
        </w:rPr>
        <w:t>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w:t>
            </w:r>
            <w:r>
              <w:rPr>
                <w:rFonts w:hint="default" w:eastAsia="宋体"/>
                <w:sz w:val="24"/>
              </w:rPr>
              <w:t>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w:t>
            </w:r>
            <w:r>
              <w:rPr>
                <w:rFonts w:hint="default" w:eastAsia="宋体"/>
                <w:sz w:val="24"/>
              </w:rPr>
              <w:t>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w:t>
            </w:r>
            <w:r>
              <w:rPr>
                <w:rFonts w:hint="default" w:eastAsia="宋体"/>
                <w:sz w:val="24"/>
              </w:rPr>
              <w:t>等费项的</w:t>
            </w:r>
            <w:r>
              <w:rPr>
                <w:rFonts w:hint="default" w:eastAsia="宋体"/>
                <w:sz w:val="24"/>
              </w:rPr>
              <w:t>记账，更新</w:t>
            </w:r>
            <w:r>
              <w:rPr>
                <w:rFonts w:hint="default" w:eastAsia="宋体"/>
                <w:sz w:val="24"/>
              </w:rPr>
              <w:t>商户和平台相关</w:t>
            </w:r>
            <w:r>
              <w:rPr>
                <w:rFonts w:hint="default" w:eastAsia="宋体"/>
                <w:sz w:val="24"/>
              </w:rPr>
              <w:t>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numId w:val="0"/>
        </w:numPr>
        <w:spacing w:line="400" w:lineRule="exact"/>
        <w:ind w:left="1680" w:leftChars="0" w:firstLine="420" w:firstLineChars="0"/>
        <w:rPr>
          <w:rFonts w:hint="default" w:eastAsia="宋体"/>
          <w:sz w:val="24"/>
        </w:rPr>
      </w:pPr>
      <w:r>
        <w:rPr>
          <w:rFonts w:hint="default" w:eastAsia="宋体"/>
          <w:sz w:val="24"/>
        </w:rPr>
        <w:t>表3</w:t>
      </w:r>
      <w:r>
        <w:rPr>
          <w:rFonts w:hint="default" w:eastAsia="宋体"/>
          <w:sz w:val="24"/>
        </w:rPr>
        <w:t>-5</w:t>
      </w:r>
      <w:r>
        <w:rPr>
          <w:rFonts w:hint="default" w:eastAsia="宋体"/>
          <w:sz w:val="24"/>
        </w:rPr>
        <w:t>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numId w:val="0"/>
              </w:numPr>
              <w:spacing w:line="400" w:lineRule="exact"/>
              <w:rPr>
                <w:rFonts w:hint="default" w:eastAsia="宋体"/>
                <w:sz w:val="24"/>
              </w:rPr>
            </w:pPr>
            <w:r>
              <w:rPr>
                <w:rFonts w:hint="default" w:eastAsia="宋体"/>
                <w:sz w:val="24"/>
              </w:rPr>
              <w:t>UC-0</w:t>
            </w:r>
            <w:r>
              <w:rPr>
                <w:rFonts w:hint="default" w:eastAsia="宋体"/>
                <w:sz w:val="24"/>
              </w:rPr>
              <w:t>5</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numId w:val="0"/>
              </w:numPr>
              <w:spacing w:line="400" w:lineRule="exact"/>
              <w:rPr>
                <w:rFonts w:hint="default" w:eastAsia="宋体"/>
                <w:sz w:val="24"/>
              </w:rPr>
            </w:pPr>
            <w:r>
              <w:rPr>
                <w:rFonts w:hint="default" w:eastAsia="宋体"/>
                <w:sz w:val="24"/>
              </w:rPr>
              <w:t>作为清结算系统，我想要</w:t>
            </w:r>
            <w:r>
              <w:rPr>
                <w:rFonts w:hint="default" w:eastAsia="宋体"/>
                <w:sz w:val="24"/>
              </w:rPr>
              <w:t>定期</w:t>
            </w:r>
            <w:r>
              <w:rPr>
                <w:rFonts w:hint="default" w:eastAsia="宋体"/>
                <w:sz w:val="24"/>
              </w:rPr>
              <w:t>汇总清分单，生成结算单并记账</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w:t>
            </w:r>
            <w:r>
              <w:rPr>
                <w:rFonts w:hint="default" w:eastAsia="宋体"/>
                <w:sz w:val="24"/>
              </w:rPr>
              <w:t>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default" w:eastAsia="宋体"/>
                <w:sz w:val="24"/>
                <w:lang w:eastAsia="zh-Hans"/>
              </w:rPr>
              <w:t xml:space="preserve">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w:t>
      </w:r>
      <w:r>
        <w:rPr>
          <w:rFonts w:hint="default" w:eastAsia="宋体"/>
          <w:sz w:val="24"/>
        </w:rPr>
        <w:t>6 净额提现</w:t>
      </w:r>
      <w:r>
        <w:rPr>
          <w:rFonts w:hint="default" w:eastAsia="宋体"/>
          <w:sz w:val="24"/>
        </w:rPr>
        <w:t>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w:t>
            </w:r>
            <w:r>
              <w:rPr>
                <w:rFonts w:hint="default" w:eastAsia="宋体"/>
                <w:sz w:val="24"/>
              </w:rPr>
              <w:t>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w:t>
            </w:r>
            <w:r>
              <w:rPr>
                <w:rFonts w:hint="default" w:eastAsia="宋体"/>
                <w:sz w:val="24"/>
              </w:rPr>
              <w:t>在完成费用结算后，</w:t>
            </w:r>
            <w:r>
              <w:rPr>
                <w:rFonts w:hint="default" w:eastAsia="宋体"/>
                <w:sz w:val="24"/>
              </w:rPr>
              <w:t>根据</w:t>
            </w:r>
            <w:r>
              <w:rPr>
                <w:rFonts w:hint="default" w:eastAsia="宋体"/>
                <w:sz w:val="24"/>
              </w:rPr>
              <w:t>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w:t>
            </w:r>
            <w:r>
              <w:rPr>
                <w:rFonts w:hint="default"/>
                <w:color w:val="000000"/>
                <w:sz w:val="24"/>
                <w:szCs w:val="24"/>
                <w:vertAlign w:val="baseline"/>
              </w:rPr>
              <w:t>提现配置不合法</w:t>
            </w:r>
            <w:r>
              <w:rPr>
                <w:rFonts w:hint="default"/>
                <w:color w:val="000000"/>
                <w:sz w:val="24"/>
                <w:szCs w:val="24"/>
                <w:vertAlign w:val="baseline"/>
              </w:rPr>
              <w:t>，记录日志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w:t>
      </w:r>
      <w:r>
        <w:rPr>
          <w:rFonts w:hint="default" w:eastAsia="宋体"/>
          <w:sz w:val="24"/>
        </w:rPr>
        <w:t>7</w:t>
      </w:r>
      <w:r>
        <w:rPr>
          <w:rFonts w:hint="default" w:eastAsia="宋体"/>
          <w:sz w:val="24"/>
        </w:rPr>
        <w:t xml:space="preserve"> </w:t>
      </w:r>
      <w:r>
        <w:rPr>
          <w:rFonts w:hint="default" w:eastAsia="宋体"/>
          <w:sz w:val="24"/>
        </w:rPr>
        <w:t>异常处理</w:t>
      </w:r>
      <w:r>
        <w:rPr>
          <w:rFonts w:hint="default" w:eastAsia="宋体"/>
          <w:sz w:val="24"/>
        </w:rPr>
        <w:t>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w:t>
            </w:r>
            <w:r>
              <w:rPr>
                <w:rFonts w:hint="default" w:eastAsia="宋体"/>
                <w:sz w:val="24"/>
              </w:rPr>
              <w:t>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w:t>
            </w:r>
            <w:r>
              <w:rPr>
                <w:rFonts w:hint="default" w:eastAsia="宋体"/>
                <w:sz w:val="24"/>
              </w:rPr>
              <w:t>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bookmarkStart w:id="93" w:name="_GoBack"/>
            <w:bookmarkEnd w:id="93"/>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27"/>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27"/>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1"/>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2"/>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3"/>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8"/>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8"/>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8"/>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8"/>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8"/>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4"/>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5"/>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6"/>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7"/>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8"/>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9"/>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0"/>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3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3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3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3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1"/>
        </w:numPr>
        <w:spacing w:line="400" w:lineRule="exact"/>
        <w:ind w:firstLine="480"/>
        <w:rPr>
          <w:rFonts w:cs="宋体"/>
          <w:color w:val="000000"/>
          <w:sz w:val="24"/>
        </w:rPr>
      </w:pPr>
      <w:r>
        <w:rPr>
          <w:rFonts w:hint="eastAsia" w:cs="宋体"/>
          <w:color w:val="000000"/>
          <w:sz w:val="24"/>
        </w:rPr>
        <w:t>生成空白证书模板；</w:t>
      </w:r>
    </w:p>
    <w:p>
      <w:pPr>
        <w:numPr>
          <w:ilvl w:val="0"/>
          <w:numId w:val="31"/>
        </w:numPr>
        <w:spacing w:line="400" w:lineRule="exact"/>
        <w:ind w:firstLine="480"/>
        <w:rPr>
          <w:rFonts w:cs="宋体"/>
          <w:color w:val="000000"/>
          <w:sz w:val="24"/>
        </w:rPr>
      </w:pPr>
      <w:r>
        <w:rPr>
          <w:rFonts w:hint="eastAsia" w:cs="宋体"/>
          <w:color w:val="000000"/>
          <w:sz w:val="24"/>
        </w:rPr>
        <w:t>生成SM2算法的密钥对；</w:t>
      </w:r>
    </w:p>
    <w:p>
      <w:pPr>
        <w:numPr>
          <w:ilvl w:val="0"/>
          <w:numId w:val="3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2"/>
        </w:numPr>
        <w:spacing w:line="400" w:lineRule="exact"/>
        <w:rPr>
          <w:rFonts w:cs="宋体"/>
          <w:color w:val="000000"/>
          <w:sz w:val="24"/>
        </w:rPr>
      </w:pPr>
      <w:r>
        <w:rPr>
          <w:rFonts w:hint="eastAsia" w:cs="宋体"/>
          <w:color w:val="000000"/>
          <w:sz w:val="24"/>
        </w:rPr>
        <w:t>异常行为管理机构识别到异常信息；</w:t>
      </w:r>
    </w:p>
    <w:p>
      <w:pPr>
        <w:numPr>
          <w:ilvl w:val="0"/>
          <w:numId w:val="32"/>
        </w:numPr>
        <w:spacing w:line="400" w:lineRule="exact"/>
        <w:rPr>
          <w:rFonts w:cs="宋体"/>
          <w:color w:val="000000"/>
          <w:sz w:val="24"/>
        </w:rPr>
      </w:pPr>
      <w:r>
        <w:rPr>
          <w:rFonts w:hint="eastAsia" w:cs="宋体"/>
          <w:color w:val="000000"/>
          <w:sz w:val="24"/>
        </w:rPr>
        <w:t>RA系统核实有问题后上报CA系统；</w:t>
      </w:r>
    </w:p>
    <w:p>
      <w:pPr>
        <w:numPr>
          <w:ilvl w:val="0"/>
          <w:numId w:val="3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2"/>
        </w:numPr>
        <w:spacing w:line="400" w:lineRule="exact"/>
        <w:rPr>
          <w:rFonts w:cs="宋体"/>
          <w:color w:val="000000"/>
          <w:sz w:val="24"/>
        </w:rPr>
      </w:pPr>
      <w:r>
        <w:rPr>
          <w:rFonts w:hint="eastAsia" w:cs="宋体"/>
          <w:color w:val="000000"/>
          <w:sz w:val="24"/>
        </w:rPr>
        <w:t>RA系统申请下载当前CRL；</w:t>
      </w:r>
    </w:p>
    <w:p>
      <w:pPr>
        <w:numPr>
          <w:ilvl w:val="0"/>
          <w:numId w:val="3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1"/>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2"/>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4"/>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6"/>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7"/>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8"/>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9"/>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0"/>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2"/>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3"/>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4"/>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5"/>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6"/>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7"/>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8"/>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2"/>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3"/>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4"/>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5"/>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6"/>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7"/>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8"/>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9"/>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0"/>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777D160"/>
    <w:multiLevelType w:val="singleLevel"/>
    <w:tmpl w:val="A777D160"/>
    <w:lvl w:ilvl="0" w:tentative="0">
      <w:start w:val="1"/>
      <w:numFmt w:val="decimal"/>
      <w:suff w:val="space"/>
      <w:lvlText w:val="%1."/>
      <w:lvlJc w:val="left"/>
    </w:lvl>
  </w:abstractNum>
  <w:abstractNum w:abstractNumId="9">
    <w:nsid w:val="A9284455"/>
    <w:multiLevelType w:val="singleLevel"/>
    <w:tmpl w:val="A9284455"/>
    <w:lvl w:ilvl="0" w:tentative="0">
      <w:start w:val="1"/>
      <w:numFmt w:val="decimal"/>
      <w:suff w:val="nothing"/>
      <w:lvlText w:val="（%1）"/>
      <w:lvlJc w:val="left"/>
    </w:lvl>
  </w:abstractNum>
  <w:abstractNum w:abstractNumId="10">
    <w:nsid w:val="A9388E69"/>
    <w:multiLevelType w:val="singleLevel"/>
    <w:tmpl w:val="A9388E69"/>
    <w:lvl w:ilvl="0" w:tentative="0">
      <w:start w:val="1"/>
      <w:numFmt w:val="decimal"/>
      <w:lvlText w:val="%1."/>
      <w:lvlJc w:val="left"/>
      <w:pPr>
        <w:tabs>
          <w:tab w:val="left" w:pos="312"/>
        </w:tabs>
      </w:pPr>
    </w:lvl>
  </w:abstractNum>
  <w:abstractNum w:abstractNumId="11">
    <w:nsid w:val="AF65AD9E"/>
    <w:multiLevelType w:val="singleLevel"/>
    <w:tmpl w:val="AF65AD9E"/>
    <w:lvl w:ilvl="0" w:tentative="0">
      <w:start w:val="1"/>
      <w:numFmt w:val="decimal"/>
      <w:lvlText w:val="%1."/>
      <w:lvlJc w:val="left"/>
      <w:pPr>
        <w:tabs>
          <w:tab w:val="left" w:pos="312"/>
        </w:tabs>
      </w:pPr>
    </w:lvl>
  </w:abstractNum>
  <w:abstractNum w:abstractNumId="12">
    <w:nsid w:val="AFA93D17"/>
    <w:multiLevelType w:val="singleLevel"/>
    <w:tmpl w:val="AFA93D17"/>
    <w:lvl w:ilvl="0" w:tentative="0">
      <w:start w:val="1"/>
      <w:numFmt w:val="decimal"/>
      <w:lvlText w:val="%1."/>
      <w:lvlJc w:val="left"/>
      <w:pPr>
        <w:tabs>
          <w:tab w:val="left" w:pos="312"/>
        </w:tabs>
      </w:pPr>
    </w:lvl>
  </w:abstractNum>
  <w:abstractNum w:abstractNumId="13">
    <w:nsid w:val="AFFC7802"/>
    <w:multiLevelType w:val="singleLevel"/>
    <w:tmpl w:val="AFFC7802"/>
    <w:lvl w:ilvl="0" w:tentative="0">
      <w:start w:val="1"/>
      <w:numFmt w:val="decimal"/>
      <w:suff w:val="nothing"/>
      <w:lvlText w:val="（%1）"/>
      <w:lvlJc w:val="left"/>
    </w:lvl>
  </w:abstractNum>
  <w:abstractNum w:abstractNumId="14">
    <w:nsid w:val="B3FED548"/>
    <w:multiLevelType w:val="singleLevel"/>
    <w:tmpl w:val="B3FED548"/>
    <w:lvl w:ilvl="0" w:tentative="0">
      <w:start w:val="1"/>
      <w:numFmt w:val="decimal"/>
      <w:suff w:val="nothing"/>
      <w:lvlText w:val="（%1）"/>
      <w:lvlJc w:val="left"/>
    </w:lvl>
  </w:abstractNum>
  <w:abstractNum w:abstractNumId="15">
    <w:nsid w:val="B6D99740"/>
    <w:multiLevelType w:val="singleLevel"/>
    <w:tmpl w:val="B6D99740"/>
    <w:lvl w:ilvl="0" w:tentative="0">
      <w:start w:val="1"/>
      <w:numFmt w:val="decimal"/>
      <w:lvlText w:val="%1."/>
      <w:lvlJc w:val="left"/>
      <w:pPr>
        <w:tabs>
          <w:tab w:val="left" w:pos="312"/>
        </w:tabs>
      </w:pPr>
    </w:lvl>
  </w:abstractNum>
  <w:abstractNum w:abstractNumId="16">
    <w:nsid w:val="BDE587AE"/>
    <w:multiLevelType w:val="singleLevel"/>
    <w:tmpl w:val="BDE587AE"/>
    <w:lvl w:ilvl="0" w:tentative="0">
      <w:start w:val="1"/>
      <w:numFmt w:val="decimal"/>
      <w:lvlText w:val="%1."/>
      <w:lvlJc w:val="left"/>
      <w:pPr>
        <w:tabs>
          <w:tab w:val="left" w:pos="312"/>
        </w:tabs>
      </w:pPr>
    </w:lvl>
  </w:abstractNum>
  <w:abstractNum w:abstractNumId="17">
    <w:nsid w:val="BF4ED3C4"/>
    <w:multiLevelType w:val="singleLevel"/>
    <w:tmpl w:val="BF4ED3C4"/>
    <w:lvl w:ilvl="0" w:tentative="0">
      <w:start w:val="1"/>
      <w:numFmt w:val="decimal"/>
      <w:suff w:val="nothing"/>
      <w:lvlText w:val="（%1）"/>
      <w:lvlJc w:val="left"/>
      <w:pPr>
        <w:ind w:left="-60"/>
      </w:pPr>
    </w:lvl>
  </w:abstractNum>
  <w:abstractNum w:abstractNumId="18">
    <w:nsid w:val="BFD209A3"/>
    <w:multiLevelType w:val="singleLevel"/>
    <w:tmpl w:val="BFD209A3"/>
    <w:lvl w:ilvl="0" w:tentative="0">
      <w:start w:val="1"/>
      <w:numFmt w:val="decimal"/>
      <w:suff w:val="space"/>
      <w:lvlText w:val="%1."/>
      <w:lvlJc w:val="left"/>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6F613FA"/>
    <w:multiLevelType w:val="singleLevel"/>
    <w:tmpl w:val="C6F613FA"/>
    <w:lvl w:ilvl="0" w:tentative="0">
      <w:start w:val="1"/>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BFE1B1A"/>
    <w:multiLevelType w:val="singleLevel"/>
    <w:tmpl w:val="DBFE1B1A"/>
    <w:lvl w:ilvl="0" w:tentative="0">
      <w:start w:val="1"/>
      <w:numFmt w:val="decimal"/>
      <w:suff w:val="space"/>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DF2E2DB9"/>
    <w:multiLevelType w:val="singleLevel"/>
    <w:tmpl w:val="DF2E2DB9"/>
    <w:lvl w:ilvl="0" w:tentative="0">
      <w:start w:val="1"/>
      <w:numFmt w:val="decimal"/>
      <w:suff w:val="space"/>
      <w:lvlText w:val="%1."/>
      <w:lvlJc w:val="left"/>
    </w:lvl>
  </w:abstractNum>
  <w:abstractNum w:abstractNumId="28">
    <w:nsid w:val="E5FF41B4"/>
    <w:multiLevelType w:val="singleLevel"/>
    <w:tmpl w:val="E5FF41B4"/>
    <w:lvl w:ilvl="0" w:tentative="0">
      <w:start w:val="1"/>
      <w:numFmt w:val="decimal"/>
      <w:suff w:val="space"/>
      <w:lvlText w:val="%1."/>
      <w:lvlJc w:val="left"/>
    </w:lvl>
  </w:abstractNum>
  <w:abstractNum w:abstractNumId="29">
    <w:nsid w:val="E7BE5EEA"/>
    <w:multiLevelType w:val="singleLevel"/>
    <w:tmpl w:val="E7BE5EEA"/>
    <w:lvl w:ilvl="0" w:tentative="0">
      <w:start w:val="1"/>
      <w:numFmt w:val="decimal"/>
      <w:suff w:val="space"/>
      <w:lvlText w:val="%1."/>
      <w:lvlJc w:val="left"/>
    </w:lvl>
  </w:abstractNum>
  <w:abstractNum w:abstractNumId="30">
    <w:nsid w:val="EAFF42CC"/>
    <w:multiLevelType w:val="singleLevel"/>
    <w:tmpl w:val="EAFF42CC"/>
    <w:lvl w:ilvl="0" w:tentative="0">
      <w:start w:val="2"/>
      <w:numFmt w:val="decimal"/>
      <w:suff w:val="nothing"/>
      <w:lvlText w:val="（%1）"/>
      <w:lvlJc w:val="left"/>
    </w:lvl>
  </w:abstractNum>
  <w:abstractNum w:abstractNumId="31">
    <w:nsid w:val="EBF940FB"/>
    <w:multiLevelType w:val="singleLevel"/>
    <w:tmpl w:val="EBF940FB"/>
    <w:lvl w:ilvl="0" w:tentative="0">
      <w:start w:val="1"/>
      <w:numFmt w:val="decimal"/>
      <w:suff w:val="space"/>
      <w:lvlText w:val="%1."/>
      <w:lvlJc w:val="left"/>
    </w:lvl>
  </w:abstractNum>
  <w:abstractNum w:abstractNumId="32">
    <w:nsid w:val="ED1664F0"/>
    <w:multiLevelType w:val="singleLevel"/>
    <w:tmpl w:val="ED1664F0"/>
    <w:lvl w:ilvl="0" w:tentative="0">
      <w:start w:val="1"/>
      <w:numFmt w:val="decimal"/>
      <w:suff w:val="nothing"/>
      <w:lvlText w:val="（%1）"/>
      <w:lvlJc w:val="left"/>
    </w:lvl>
  </w:abstractNum>
  <w:abstractNum w:abstractNumId="33">
    <w:nsid w:val="F06D41BA"/>
    <w:multiLevelType w:val="singleLevel"/>
    <w:tmpl w:val="F06D41BA"/>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CE2BB"/>
    <w:multiLevelType w:val="singleLevel"/>
    <w:tmpl w:val="7FFCE2BB"/>
    <w:lvl w:ilvl="0" w:tentative="0">
      <w:start w:val="1"/>
      <w:numFmt w:val="decimal"/>
      <w:suff w:val="space"/>
      <w:lvlText w:val="(%1)"/>
      <w:lvlJc w:val="left"/>
    </w:lvl>
  </w:abstractNum>
  <w:abstractNum w:abstractNumId="55">
    <w:nsid w:val="7FFD534B"/>
    <w:multiLevelType w:val="singleLevel"/>
    <w:tmpl w:val="7FFD534B"/>
    <w:lvl w:ilvl="0" w:tentative="0">
      <w:start w:val="1"/>
      <w:numFmt w:val="decimal"/>
      <w:suff w:val="nothing"/>
      <w:lvlText w:val="%1）"/>
      <w:lvlJc w:val="left"/>
    </w:lvl>
  </w:abstractNum>
  <w:num w:numId="1">
    <w:abstractNumId w:val="55"/>
  </w:num>
  <w:num w:numId="2">
    <w:abstractNumId w:val="30"/>
  </w:num>
  <w:num w:numId="3">
    <w:abstractNumId w:val="22"/>
  </w:num>
  <w:num w:numId="4">
    <w:abstractNumId w:val="21"/>
  </w:num>
  <w:num w:numId="5">
    <w:abstractNumId w:val="36"/>
  </w:num>
  <w:num w:numId="6">
    <w:abstractNumId w:val="19"/>
  </w:num>
  <w:num w:numId="7">
    <w:abstractNumId w:val="14"/>
  </w:num>
  <w:num w:numId="8">
    <w:abstractNumId w:val="32"/>
  </w:num>
  <w:num w:numId="9">
    <w:abstractNumId w:val="13"/>
  </w:num>
  <w:num w:numId="10">
    <w:abstractNumId w:val="38"/>
  </w:num>
  <w:num w:numId="11">
    <w:abstractNumId w:val="54"/>
  </w:num>
  <w:num w:numId="12">
    <w:abstractNumId w:val="33"/>
  </w:num>
  <w:num w:numId="13">
    <w:abstractNumId w:val="8"/>
  </w:num>
  <w:num w:numId="14">
    <w:abstractNumId w:val="49"/>
  </w:num>
  <w:num w:numId="15">
    <w:abstractNumId w:val="25"/>
  </w:num>
  <w:num w:numId="16">
    <w:abstractNumId w:val="44"/>
  </w:num>
  <w:num w:numId="17">
    <w:abstractNumId w:val="47"/>
  </w:num>
  <w:num w:numId="18">
    <w:abstractNumId w:val="50"/>
  </w:num>
  <w:num w:numId="19">
    <w:abstractNumId w:val="27"/>
  </w:num>
  <w:num w:numId="20">
    <w:abstractNumId w:val="37"/>
  </w:num>
  <w:num w:numId="21">
    <w:abstractNumId w:val="18"/>
  </w:num>
  <w:num w:numId="22">
    <w:abstractNumId w:val="28"/>
  </w:num>
  <w:num w:numId="23">
    <w:abstractNumId w:val="31"/>
  </w:num>
  <w:num w:numId="24">
    <w:abstractNumId w:val="29"/>
  </w:num>
  <w:num w:numId="25">
    <w:abstractNumId w:val="35"/>
  </w:num>
  <w:num w:numId="26">
    <w:abstractNumId w:val="52"/>
  </w:num>
  <w:num w:numId="27">
    <w:abstractNumId w:val="23"/>
  </w:num>
  <w:num w:numId="28">
    <w:abstractNumId w:val="42"/>
  </w:num>
  <w:num w:numId="29">
    <w:abstractNumId w:val="48"/>
  </w:num>
  <w:num w:numId="30">
    <w:abstractNumId w:val="2"/>
  </w:num>
  <w:num w:numId="31">
    <w:abstractNumId w:val="17"/>
  </w:num>
  <w:num w:numId="32">
    <w:abstractNumId w:val="26"/>
  </w:num>
  <w:num w:numId="33">
    <w:abstractNumId w:val="9"/>
  </w:num>
  <w:num w:numId="34">
    <w:abstractNumId w:val="0"/>
  </w:num>
  <w:num w:numId="35">
    <w:abstractNumId w:val="20"/>
  </w:num>
  <w:num w:numId="36">
    <w:abstractNumId w:val="6"/>
  </w:num>
  <w:num w:numId="37">
    <w:abstractNumId w:val="53"/>
  </w:num>
  <w:num w:numId="38">
    <w:abstractNumId w:val="45"/>
  </w:num>
  <w:num w:numId="39">
    <w:abstractNumId w:val="12"/>
  </w:num>
  <w:num w:numId="40">
    <w:abstractNumId w:val="1"/>
  </w:num>
  <w:num w:numId="41">
    <w:abstractNumId w:val="3"/>
  </w:num>
  <w:num w:numId="42">
    <w:abstractNumId w:val="10"/>
  </w:num>
  <w:num w:numId="43">
    <w:abstractNumId w:val="5"/>
  </w:num>
  <w:num w:numId="44">
    <w:abstractNumId w:val="40"/>
  </w:num>
  <w:num w:numId="45">
    <w:abstractNumId w:val="41"/>
  </w:num>
  <w:num w:numId="46">
    <w:abstractNumId w:val="16"/>
  </w:num>
  <w:num w:numId="47">
    <w:abstractNumId w:val="24"/>
  </w:num>
  <w:num w:numId="48">
    <w:abstractNumId w:val="51"/>
  </w:num>
  <w:num w:numId="49">
    <w:abstractNumId w:val="7"/>
  </w:num>
  <w:num w:numId="50">
    <w:abstractNumId w:val="15"/>
  </w:num>
  <w:num w:numId="51">
    <w:abstractNumId w:val="39"/>
  </w:num>
  <w:num w:numId="52">
    <w:abstractNumId w:val="11"/>
  </w:num>
  <w:num w:numId="53">
    <w:abstractNumId w:val="46"/>
  </w:num>
  <w:num w:numId="54">
    <w:abstractNumId w:val="34"/>
  </w:num>
  <w:num w:numId="55">
    <w:abstractNumId w:val="4"/>
  </w:num>
  <w:num w:numId="5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6BDA5A"/>
    <w:rsid w:val="4EA62912"/>
    <w:rsid w:val="4EC608C3"/>
    <w:rsid w:val="4EE54C93"/>
    <w:rsid w:val="4EF76852"/>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B03C0"/>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BFFEF40"/>
    <w:rsid w:val="5C3F4133"/>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7BCDF8"/>
    <w:rsid w:val="5F7E8C88"/>
    <w:rsid w:val="5F99C1DC"/>
    <w:rsid w:val="5FA2FBD7"/>
    <w:rsid w:val="5FB272B3"/>
    <w:rsid w:val="5FBB142C"/>
    <w:rsid w:val="5FBF04E1"/>
    <w:rsid w:val="5FCA10ED"/>
    <w:rsid w:val="5FCD1B95"/>
    <w:rsid w:val="5FD43DF7"/>
    <w:rsid w:val="5FD54631"/>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8533"/>
    <w:rsid w:val="7EFDE5B3"/>
    <w:rsid w:val="7EFFA8CD"/>
    <w:rsid w:val="7F1701B1"/>
    <w:rsid w:val="7F3F6B7B"/>
    <w:rsid w:val="7F490149"/>
    <w:rsid w:val="7F4BD664"/>
    <w:rsid w:val="7F4C3CDD"/>
    <w:rsid w:val="7F4D05E1"/>
    <w:rsid w:val="7F564EB8"/>
    <w:rsid w:val="7F5EBE6F"/>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775B0"/>
    <w:rsid w:val="7FBD730D"/>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ABF9DBC"/>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6DB2E"/>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1FD7804"/>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1389A5"/>
    <w:rsid w:val="ED3D0747"/>
    <w:rsid w:val="ED978444"/>
    <w:rsid w:val="EDDB0315"/>
    <w:rsid w:val="EDED3930"/>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DDCE6"/>
    <w:rsid w:val="EFFE35CC"/>
    <w:rsid w:val="EFFF8FAE"/>
    <w:rsid w:val="EFFF9FB4"/>
    <w:rsid w:val="EFFFD03D"/>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B7D3B2"/>
    <w:rsid w:val="F7BD1594"/>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DF54C2"/>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7F222D"/>
    <w:rsid w:val="FD9A135E"/>
    <w:rsid w:val="FD9F3ACB"/>
    <w:rsid w:val="FD9F88ED"/>
    <w:rsid w:val="FDA39AA1"/>
    <w:rsid w:val="FDA6D35D"/>
    <w:rsid w:val="FDAF1EE6"/>
    <w:rsid w:val="FDB5308D"/>
    <w:rsid w:val="FDBB51CB"/>
    <w:rsid w:val="FDBF4B7B"/>
    <w:rsid w:val="FDBF4E2D"/>
    <w:rsid w:val="FDBFE6F0"/>
    <w:rsid w:val="FDCD8551"/>
    <w:rsid w:val="FDD7341B"/>
    <w:rsid w:val="FDE3B753"/>
    <w:rsid w:val="FDEF4B0E"/>
    <w:rsid w:val="FDF34DA2"/>
    <w:rsid w:val="FDF496D1"/>
    <w:rsid w:val="FDF70727"/>
    <w:rsid w:val="FDFCFB85"/>
    <w:rsid w:val="FDFE5E87"/>
    <w:rsid w:val="FE17D1BD"/>
    <w:rsid w:val="FE374326"/>
    <w:rsid w:val="FE39E98B"/>
    <w:rsid w:val="FE6158C9"/>
    <w:rsid w:val="FE6BFD21"/>
    <w:rsid w:val="FE6F2352"/>
    <w:rsid w:val="FE7187B9"/>
    <w:rsid w:val="FE76A943"/>
    <w:rsid w:val="FE77EE29"/>
    <w:rsid w:val="FE7A0AD7"/>
    <w:rsid w:val="FE7F23A3"/>
    <w:rsid w:val="FEBDA84F"/>
    <w:rsid w:val="FED74D73"/>
    <w:rsid w:val="FEDE614B"/>
    <w:rsid w:val="FEDE8939"/>
    <w:rsid w:val="FEE67C90"/>
    <w:rsid w:val="FEEB8154"/>
    <w:rsid w:val="FEF5E285"/>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7.png"/><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jpe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wmf"/><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2023-05-29T18:13:49Z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