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223520</wp:posOffset>
            </wp:positionH>
            <wp:positionV relativeFrom="paragraph">
              <wp:posOffset>123825</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w:t>
      </w:r>
      <w:r>
        <w:rPr>
          <w:rFonts w:hint="default" w:eastAsia="宋体"/>
          <w:sz w:val="24"/>
        </w:rPr>
        <w:t>处理</w:t>
      </w:r>
      <w:r>
        <w:rPr>
          <w:rFonts w:hint="default" w:eastAsia="宋体"/>
          <w:sz w:val="24"/>
        </w:rPr>
        <w:t>：根据交易类型对交易数据进行条件过滤，只保留满足清算条件的交易数据。比如对于支付类交易，清算条件为交易成功且是外部商户。根据交易类型对交易数据进行合法性校验，并组装清分实体落库。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w:t>
      </w:r>
      <w:r>
        <w:rPr>
          <w:rFonts w:hint="default" w:eastAsia="宋体"/>
          <w:sz w:val="24"/>
        </w:rPr>
        <w:t>计费：根据</w:t>
      </w:r>
      <w:r>
        <w:rPr>
          <w:rFonts w:hint="default" w:eastAsia="宋体"/>
          <w:sz w:val="24"/>
        </w:rPr>
        <w:t>交易数据中的交易类型和商户计费配置</w:t>
      </w:r>
      <w:r>
        <w:rPr>
          <w:rFonts w:hint="default" w:eastAsia="宋体"/>
          <w:sz w:val="24"/>
        </w:rPr>
        <w:t>计算手续费、净额</w:t>
      </w:r>
      <w:r>
        <w:rPr>
          <w:rFonts w:hint="default" w:eastAsia="宋体"/>
          <w:sz w:val="24"/>
        </w:rPr>
        <w:t>等所有费项，</w:t>
      </w:r>
      <w:r>
        <w:rPr>
          <w:rFonts w:hint="default" w:eastAsia="宋体"/>
          <w:sz w:val="24"/>
        </w:rPr>
        <w:t>更新清分实</w:t>
      </w:r>
      <w:r>
        <w:rPr>
          <w:rFonts w:hint="default" w:eastAsia="宋体"/>
          <w:sz w:val="24"/>
        </w:rPr>
        <w:t>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w:t>
      </w:r>
      <w:r>
        <w:rPr>
          <w:rFonts w:hint="default" w:eastAsia="宋体"/>
          <w:sz w:val="24"/>
        </w:rPr>
        <w:t>调用账户中心</w:t>
      </w:r>
      <w:r>
        <w:rPr>
          <w:rFonts w:hint="default" w:eastAsia="宋体"/>
          <w:sz w:val="24"/>
        </w:rPr>
        <w:t>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w:t>
      </w:r>
      <w:r>
        <w:rPr>
          <w:rFonts w:hint="default" w:eastAsia="宋体"/>
          <w:sz w:val="24"/>
        </w:rPr>
        <w:t>商户交易类型将</w:t>
      </w:r>
      <w:r>
        <w:rPr>
          <w:rFonts w:hint="default" w:eastAsia="宋体"/>
          <w:sz w:val="24"/>
        </w:rPr>
        <w:t>手续费累加结算明细</w:t>
      </w:r>
      <w:r>
        <w:rPr>
          <w:rFonts w:hint="default" w:eastAsia="宋体"/>
          <w:sz w:val="24"/>
        </w:rPr>
        <w:t>单</w:t>
      </w:r>
      <w:r>
        <w:rPr>
          <w:rFonts w:hint="default" w:eastAsia="宋体"/>
          <w:sz w:val="24"/>
        </w:rPr>
        <w:t>，生成手续费</w:t>
      </w:r>
      <w:r>
        <w:rPr>
          <w:rFonts w:hint="default" w:eastAsia="宋体"/>
          <w:sz w:val="24"/>
        </w:rPr>
        <w:t>结算详情</w:t>
      </w:r>
      <w:r>
        <w:rPr>
          <w:rFonts w:hint="default" w:eastAsia="宋体"/>
          <w:sz w:val="24"/>
        </w:rPr>
        <w:t>单。</w:t>
      </w:r>
    </w:p>
    <w:p>
      <w:pPr>
        <w:numPr>
          <w:ilvl w:val="0"/>
          <w:numId w:val="11"/>
        </w:numPr>
        <w:spacing w:line="400" w:lineRule="exact"/>
        <w:ind w:firstLine="420" w:firstLineChars="0"/>
        <w:rPr>
          <w:rFonts w:hint="default" w:eastAsia="宋体"/>
          <w:sz w:val="24"/>
        </w:rPr>
      </w:pPr>
      <w:r>
        <w:rPr>
          <w:rFonts w:hint="default" w:eastAsia="宋体"/>
          <w:sz w:val="24"/>
        </w:rPr>
        <w:t>汇总结算</w:t>
      </w:r>
      <w:r>
        <w:rPr>
          <w:rFonts w:hint="default" w:eastAsia="宋体"/>
          <w:sz w:val="24"/>
        </w:rPr>
        <w:t>：对结算配置为周期结算的交易，定期汇总已清分记账的</w:t>
      </w:r>
      <w:r>
        <w:rPr>
          <w:rFonts w:hint="default" w:eastAsia="宋体"/>
          <w:sz w:val="24"/>
        </w:rPr>
        <w:t>结算详情单</w:t>
      </w:r>
      <w:r>
        <w:rPr>
          <w:rFonts w:hint="default" w:eastAsia="宋体"/>
          <w:sz w:val="24"/>
        </w:rPr>
        <w:t>，生成付款结算单和收费结算单并调用账务系统记账。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w:t>
      </w:r>
      <w:r>
        <w:rPr>
          <w:rFonts w:hint="default" w:eastAsia="宋体"/>
          <w:sz w:val="24"/>
        </w:rPr>
        <w:t>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w:t>
            </w:r>
            <w:bookmarkStart w:id="86" w:name="_GoBack"/>
            <w:bookmarkEnd w:id="86"/>
            <w:r>
              <w:rPr>
                <w:rFonts w:hint="default" w:ascii="仿宋_GB2312" w:hAnsi="Courier New" w:eastAsia="仿宋_GB2312" w:cs="Courier New"/>
                <w:lang w:eastAsia="zh-Hans"/>
              </w:rPr>
              <w:t>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ascii="仿宋_GB2312" w:hAnsi="Courier New" w:eastAsia="仿宋_GB2312" w:cs="Courier New"/>
                <w:lang w:eastAsia="zh-Hans"/>
              </w:rPr>
            </w:pPr>
            <w:r>
              <w:rPr>
                <w:rFonts w:hint="eastAsia" w:ascii="仿宋_GB2312" w:hAnsi="Courier New" w:eastAsia="仿宋_GB2312" w:cs="Courier New"/>
                <w:lang w:eastAsia="zh-Hans"/>
              </w:rPr>
              <w:t>管理员菜品信息的修改、增加新菜品或者删除已下架的菜品</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ascii="仿宋_GB2312" w:hAnsi="Courier New" w:eastAsia="仿宋_GB2312" w:cs="Courier New"/>
                <w:lang w:eastAsia="zh-Hans"/>
              </w:rPr>
            </w:pPr>
            <w:r>
              <w:rPr>
                <w:rFonts w:hint="eastAsia" w:ascii="仿宋_GB2312" w:hAnsi="Courier New" w:eastAsia="仿宋_GB2312" w:cs="Courier New"/>
                <w:lang w:eastAsia="zh-Hans"/>
              </w:rPr>
              <w:t>管理员可以进行结算服务</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ascii="仿宋_GB2312" w:hAnsi="Courier New" w:eastAsia="仿宋_GB2312" w:cs="Courier New"/>
                <w:lang w:eastAsia="zh-Hans"/>
              </w:rPr>
            </w:pPr>
            <w:r>
              <w:rPr>
                <w:rFonts w:hint="eastAsia" w:ascii="仿宋_GB2312" w:hAnsi="Courier New" w:eastAsia="仿宋_GB2312" w:cs="Courier New"/>
                <w:lang w:eastAsia="zh-Hans"/>
              </w:rPr>
              <w:t>厨师登陆系统</w:t>
            </w:r>
          </w:p>
        </w:tc>
      </w:tr>
    </w:tbl>
    <w:p>
      <w:pPr>
        <w:spacing w:line="400" w:lineRule="exact"/>
        <w:ind w:firstLine="420" w:firstLineChars="0"/>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结算配置管理业务用例规约表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3.4.1  性能需求</w:t>
      </w:r>
      <w:bookmarkEnd w:id="25"/>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6" w:name="_Toc13661"/>
      <w:r>
        <w:rPr>
          <w:rFonts w:hint="eastAsia" w:eastAsia="黑体" w:cs="黑体"/>
          <w:color w:val="000000"/>
          <w:kern w:val="0"/>
          <w:sz w:val="26"/>
          <w:lang w:bidi="ar"/>
        </w:rPr>
        <w:t>3.4.2  可扩展性与可维护性</w:t>
      </w:r>
      <w:bookmarkEnd w:id="26"/>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1"/>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2"/>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3"/>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4"/>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5"/>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6"/>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7"/>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8"/>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9"/>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1"/>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3"/>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4"/>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5"/>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6"/>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7"/>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9"/>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0"/>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1"/>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2"/>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3"/>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4"/>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5"/>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9"/>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0"/>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1"/>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2"/>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3"/>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4"/>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5"/>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6"/>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7"/>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BFE1B1A"/>
    <w:multiLevelType w:val="singleLevel"/>
    <w:tmpl w:val="DBFE1B1A"/>
    <w:lvl w:ilvl="0" w:tentative="0">
      <w:start w:val="1"/>
      <w:numFmt w:val="decimal"/>
      <w:suff w:val="space"/>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DF2E2DB9"/>
    <w:multiLevelType w:val="singleLevel"/>
    <w:tmpl w:val="DF2E2DB9"/>
    <w:lvl w:ilvl="0" w:tentative="0">
      <w:start w:val="1"/>
      <w:numFmt w:val="decimal"/>
      <w:suff w:val="space"/>
      <w:lvlText w:val="%1."/>
      <w:lvlJc w:val="left"/>
    </w:lvl>
  </w:abstractNum>
  <w:abstractNum w:abstractNumId="29">
    <w:nsid w:val="E5FF41B4"/>
    <w:multiLevelType w:val="singleLevel"/>
    <w:tmpl w:val="E5FF41B4"/>
    <w:lvl w:ilvl="0" w:tentative="0">
      <w:start w:val="1"/>
      <w:numFmt w:val="decimal"/>
      <w:suff w:val="space"/>
      <w:lvlText w:val="%1."/>
      <w:lvlJc w:val="left"/>
    </w:lvl>
  </w:abstractNum>
  <w:abstractNum w:abstractNumId="30">
    <w:nsid w:val="E7BE5EEA"/>
    <w:multiLevelType w:val="singleLevel"/>
    <w:tmpl w:val="E7BE5EEA"/>
    <w:lvl w:ilvl="0" w:tentative="0">
      <w:start w:val="1"/>
      <w:numFmt w:val="decimal"/>
      <w:suff w:val="space"/>
      <w:lvlText w:val="%1."/>
      <w:lvlJc w:val="left"/>
    </w:lvl>
  </w:abstractNum>
  <w:abstractNum w:abstractNumId="31">
    <w:nsid w:val="EAFF42CC"/>
    <w:multiLevelType w:val="singleLevel"/>
    <w:tmpl w:val="EAFF42CC"/>
    <w:lvl w:ilvl="0" w:tentative="0">
      <w:start w:val="2"/>
      <w:numFmt w:val="decimal"/>
      <w:suff w:val="nothing"/>
      <w:lvlText w:val="（%1）"/>
      <w:lvlJc w:val="left"/>
    </w:lvl>
  </w:abstractNum>
  <w:abstractNum w:abstractNumId="32">
    <w:nsid w:val="EBF940FB"/>
    <w:multiLevelType w:val="singleLevel"/>
    <w:tmpl w:val="EBF940FB"/>
    <w:lvl w:ilvl="0" w:tentative="0">
      <w:start w:val="1"/>
      <w:numFmt w:val="decimal"/>
      <w:suff w:val="space"/>
      <w:lvlText w:val="%1."/>
      <w:lvlJc w:val="left"/>
    </w:lvl>
  </w:abstractNum>
  <w:abstractNum w:abstractNumId="33">
    <w:nsid w:val="ED1664F0"/>
    <w:multiLevelType w:val="singleLevel"/>
    <w:tmpl w:val="ED1664F0"/>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31"/>
  </w:num>
  <w:num w:numId="3">
    <w:abstractNumId w:val="23"/>
  </w:num>
  <w:num w:numId="4">
    <w:abstractNumId w:val="22"/>
  </w:num>
  <w:num w:numId="5">
    <w:abstractNumId w:val="36"/>
  </w:num>
  <w:num w:numId="6">
    <w:abstractNumId w:val="20"/>
  </w:num>
  <w:num w:numId="7">
    <w:abstractNumId w:val="15"/>
  </w:num>
  <w:num w:numId="8">
    <w:abstractNumId w:val="33"/>
  </w:num>
  <w:num w:numId="9">
    <w:abstractNumId w:val="14"/>
  </w:num>
  <w:num w:numId="10">
    <w:abstractNumId w:val="38"/>
  </w:num>
  <w:num w:numId="11">
    <w:abstractNumId w:val="25"/>
  </w:num>
  <w:num w:numId="12">
    <w:abstractNumId w:val="5"/>
  </w:num>
  <w:num w:numId="13">
    <w:abstractNumId w:val="9"/>
  </w:num>
  <w:num w:numId="14">
    <w:abstractNumId w:val="49"/>
  </w:num>
  <w:num w:numId="15">
    <w:abstractNumId w:val="26"/>
  </w:num>
  <w:num w:numId="16">
    <w:abstractNumId w:val="44"/>
  </w:num>
  <w:num w:numId="17">
    <w:abstractNumId w:val="47"/>
  </w:num>
  <w:num w:numId="18">
    <w:abstractNumId w:val="50"/>
  </w:num>
  <w:num w:numId="19">
    <w:abstractNumId w:val="28"/>
  </w:num>
  <w:num w:numId="20">
    <w:abstractNumId w:val="37"/>
  </w:num>
  <w:num w:numId="21">
    <w:abstractNumId w:val="19"/>
  </w:num>
  <w:num w:numId="22">
    <w:abstractNumId w:val="29"/>
  </w:num>
  <w:num w:numId="23">
    <w:abstractNumId w:val="32"/>
  </w:num>
  <w:num w:numId="24">
    <w:abstractNumId w:val="30"/>
  </w:num>
  <w:num w:numId="25">
    <w:abstractNumId w:val="35"/>
  </w:num>
  <w:num w:numId="26">
    <w:abstractNumId w:val="52"/>
  </w:num>
  <w:num w:numId="27">
    <w:abstractNumId w:val="42"/>
  </w:num>
  <w:num w:numId="28">
    <w:abstractNumId w:val="48"/>
  </w:num>
  <w:num w:numId="29">
    <w:abstractNumId w:val="2"/>
  </w:num>
  <w:num w:numId="30">
    <w:abstractNumId w:val="18"/>
  </w:num>
  <w:num w:numId="31">
    <w:abstractNumId w:val="27"/>
  </w:num>
  <w:num w:numId="32">
    <w:abstractNumId w:val="10"/>
  </w:num>
  <w:num w:numId="33">
    <w:abstractNumId w:val="0"/>
  </w:num>
  <w:num w:numId="34">
    <w:abstractNumId w:val="21"/>
  </w:num>
  <w:num w:numId="35">
    <w:abstractNumId w:val="7"/>
  </w:num>
  <w:num w:numId="36">
    <w:abstractNumId w:val="53"/>
  </w:num>
  <w:num w:numId="37">
    <w:abstractNumId w:val="45"/>
  </w:num>
  <w:num w:numId="38">
    <w:abstractNumId w:val="13"/>
  </w:num>
  <w:num w:numId="39">
    <w:abstractNumId w:val="1"/>
  </w:num>
  <w:num w:numId="40">
    <w:abstractNumId w:val="3"/>
  </w:num>
  <w:num w:numId="41">
    <w:abstractNumId w:val="11"/>
  </w:num>
  <w:num w:numId="42">
    <w:abstractNumId w:val="6"/>
  </w:num>
  <w:num w:numId="43">
    <w:abstractNumId w:val="40"/>
  </w:num>
  <w:num w:numId="44">
    <w:abstractNumId w:val="41"/>
  </w:num>
  <w:num w:numId="45">
    <w:abstractNumId w:val="17"/>
  </w:num>
  <w:num w:numId="46">
    <w:abstractNumId w:val="24"/>
  </w:num>
  <w:num w:numId="47">
    <w:abstractNumId w:val="51"/>
  </w:num>
  <w:num w:numId="48">
    <w:abstractNumId w:val="8"/>
  </w:num>
  <w:num w:numId="49">
    <w:abstractNumId w:val="16"/>
  </w:num>
  <w:num w:numId="50">
    <w:abstractNumId w:val="39"/>
  </w:num>
  <w:num w:numId="51">
    <w:abstractNumId w:val="12"/>
  </w:num>
  <w:num w:numId="52">
    <w:abstractNumId w:val="46"/>
  </w:num>
  <w:num w:numId="53">
    <w:abstractNumId w:val="34"/>
  </w:num>
  <w:num w:numId="54">
    <w:abstractNumId w:val="4"/>
  </w:num>
  <w:num w:numId="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1"/>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E44F4"/>
    <w:rsid w:val="3BBF18AD"/>
    <w:rsid w:val="3BBFE545"/>
    <w:rsid w:val="3BDD724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CA805C"/>
    <w:rsid w:val="3FD3AC1E"/>
    <w:rsid w:val="3FD7A3D5"/>
    <w:rsid w:val="3FE319A3"/>
    <w:rsid w:val="3FEC4726"/>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BFEDA46"/>
    <w:rsid w:val="4C4C6B0D"/>
    <w:rsid w:val="4CA318F1"/>
    <w:rsid w:val="4CAD2B19"/>
    <w:rsid w:val="4CBC72ED"/>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FD6E0A"/>
    <w:rsid w:val="66FE59B0"/>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CE335B9"/>
    <w:rsid w:val="6D1D4F10"/>
    <w:rsid w:val="6D250DCB"/>
    <w:rsid w:val="6D7EC9CB"/>
    <w:rsid w:val="6D857548"/>
    <w:rsid w:val="6D951588"/>
    <w:rsid w:val="6DBB7EC7"/>
    <w:rsid w:val="6DCD72AE"/>
    <w:rsid w:val="6DE63E59"/>
    <w:rsid w:val="6DFE6EE4"/>
    <w:rsid w:val="6DFF7FD4"/>
    <w:rsid w:val="6E6D4335"/>
    <w:rsid w:val="6EDD0FA6"/>
    <w:rsid w:val="6EF81E8B"/>
    <w:rsid w:val="6EFFE04F"/>
    <w:rsid w:val="6F2DB8E7"/>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7C03E"/>
    <w:rsid w:val="76DEB736"/>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E3905"/>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4AE70"/>
    <w:rsid w:val="7FF58BEF"/>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7B60CE"/>
    <w:rsid w:val="9BEF9F59"/>
    <w:rsid w:val="9BFF7D52"/>
    <w:rsid w:val="9CF37C49"/>
    <w:rsid w:val="9D5ECB08"/>
    <w:rsid w:val="9D7BFADC"/>
    <w:rsid w:val="9DAFC0A9"/>
    <w:rsid w:val="9DF9979C"/>
    <w:rsid w:val="9E2F2238"/>
    <w:rsid w:val="9E9D9867"/>
    <w:rsid w:val="9EDE2AE3"/>
    <w:rsid w:val="9F3A62A6"/>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BF6B4"/>
    <w:rsid w:val="ADFFC455"/>
    <w:rsid w:val="AF4AE082"/>
    <w:rsid w:val="AFB3E272"/>
    <w:rsid w:val="AFBBF37D"/>
    <w:rsid w:val="AFEFB96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FB6119"/>
    <w:rsid w:val="BDFB69EE"/>
    <w:rsid w:val="BDFFFC66"/>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BD17E"/>
    <w:rsid w:val="BFDFCF6F"/>
    <w:rsid w:val="BFEBE407"/>
    <w:rsid w:val="BFF02670"/>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D13E0CBF"/>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CFBF91C"/>
    <w:rsid w:val="DDD61ECE"/>
    <w:rsid w:val="DDFD42AE"/>
    <w:rsid w:val="DDFFAF02"/>
    <w:rsid w:val="DE7DE3A9"/>
    <w:rsid w:val="DE9F45B9"/>
    <w:rsid w:val="DEBBBACC"/>
    <w:rsid w:val="DEDCFAD1"/>
    <w:rsid w:val="DEDF58F7"/>
    <w:rsid w:val="DEFBA4C6"/>
    <w:rsid w:val="DF4B365C"/>
    <w:rsid w:val="DF57690D"/>
    <w:rsid w:val="DF6D3DA2"/>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FA672"/>
    <w:rsid w:val="EBFE8B27"/>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FAA07"/>
    <w:rsid w:val="EFBF55DC"/>
    <w:rsid w:val="EFDEF807"/>
    <w:rsid w:val="EFDF51E2"/>
    <w:rsid w:val="EFF0AC50"/>
    <w:rsid w:val="EFF137AB"/>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6AEF3"/>
    <w:rsid w:val="F4FE255C"/>
    <w:rsid w:val="F57D59BA"/>
    <w:rsid w:val="F59F9348"/>
    <w:rsid w:val="F5AD9AB3"/>
    <w:rsid w:val="F5B70854"/>
    <w:rsid w:val="F5CECF11"/>
    <w:rsid w:val="F5E37445"/>
    <w:rsid w:val="F5ED776E"/>
    <w:rsid w:val="F5FBF73C"/>
    <w:rsid w:val="F66E28C5"/>
    <w:rsid w:val="F6B5EB19"/>
    <w:rsid w:val="F6BF8ABA"/>
    <w:rsid w:val="F6EBABEE"/>
    <w:rsid w:val="F6FBA7D2"/>
    <w:rsid w:val="F6FD00E5"/>
    <w:rsid w:val="F7539ED6"/>
    <w:rsid w:val="F75586CC"/>
    <w:rsid w:val="F757BE1B"/>
    <w:rsid w:val="F77F4DE8"/>
    <w:rsid w:val="F7953A46"/>
    <w:rsid w:val="F7B7D3B2"/>
    <w:rsid w:val="F7BD1594"/>
    <w:rsid w:val="F7C51E90"/>
    <w:rsid w:val="F7D8FE52"/>
    <w:rsid w:val="F7EF3847"/>
    <w:rsid w:val="F7EFC247"/>
    <w:rsid w:val="F7F30B1A"/>
    <w:rsid w:val="F7F627DC"/>
    <w:rsid w:val="F7F6BE77"/>
    <w:rsid w:val="F7F9E291"/>
    <w:rsid w:val="F7FA8869"/>
    <w:rsid w:val="F7FD192F"/>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5FB189"/>
    <w:rsid w:val="FB602046"/>
    <w:rsid w:val="FB69A8B8"/>
    <w:rsid w:val="FB6D0209"/>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5E285"/>
    <w:rsid w:val="FEFBA8F9"/>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1967"/>
    <w:rsid w:val="FFF762FC"/>
    <w:rsid w:val="FFF77317"/>
    <w:rsid w:val="FFF7C599"/>
    <w:rsid w:val="FFF89DCC"/>
    <w:rsid w:val="FFF97D85"/>
    <w:rsid w:val="FFFA6A64"/>
    <w:rsid w:val="FFFABAD1"/>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jpe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png"/><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6</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2023-06-01T11:40:26Z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