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555625</wp:posOffset>
            </wp:positionH>
            <wp:positionV relativeFrom="paragraph">
              <wp:posOffset>12065</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p>
    <w:p>
      <w:pPr>
        <w:widowControl/>
        <w:spacing w:before="240" w:after="120"/>
        <w:jc w:val="center"/>
        <w:outlineLvl w:val="2"/>
      </w:pPr>
      <w:r>
        <w:drawing>
          <wp:anchor distT="0" distB="0" distL="114300" distR="114300" simplePos="0" relativeHeight="251685888" behindDoc="0" locked="0" layoutInCell="1" allowOverlap="1">
            <wp:simplePos x="0" y="0"/>
            <wp:positionH relativeFrom="column">
              <wp:posOffset>335280</wp:posOffset>
            </wp:positionH>
            <wp:positionV relativeFrom="paragraph">
              <wp:posOffset>-3810</wp:posOffset>
            </wp:positionV>
            <wp:extent cx="4803775" cy="3325495"/>
            <wp:effectExtent l="0" t="0" r="22225" b="1905"/>
            <wp:wrapTopAndBottom/>
            <wp:docPr id="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2"/>
                    <pic:cNvPicPr>
                      <a:picLocks noChangeAspect="1"/>
                    </pic:cNvPicPr>
                  </pic:nvPicPr>
                  <pic:blipFill>
                    <a:blip r:embed="rId56"/>
                    <a:stretch>
                      <a:fillRect/>
                    </a:stretch>
                  </pic:blipFill>
                  <pic:spPr>
                    <a:xfrm>
                      <a:off x="0" y="0"/>
                      <a:ext cx="4803775" cy="332549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5.2.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计费</w:t>
      </w:r>
      <w:r>
        <w:rPr>
          <w:rFonts w:hint="default" w:eastAsia="黑体" w:cs="黑体"/>
          <w:color w:val="000000"/>
          <w:kern w:val="0"/>
          <w:sz w:val="26"/>
          <w:lang w:bidi="ar"/>
        </w:rPr>
        <w:t>设计</w:t>
      </w:r>
    </w:p>
    <w:p>
      <w:pPr>
        <w:spacing w:line="400" w:lineRule="exact"/>
        <w:ind w:firstLine="420" w:firstLineChars="0"/>
        <w:rPr>
          <w:rFonts w:hint="default" w:eastAsia="宋体" w:cs="宋体"/>
          <w:color w:val="000000"/>
          <w:sz w:val="24"/>
        </w:rPr>
      </w:pPr>
      <w:r>
        <w:rPr>
          <w:rFonts w:hint="default" w:eastAsia="宋体" w:cs="宋体"/>
          <w:color w:val="000000"/>
          <w:sz w:val="24"/>
        </w:rPr>
        <w:t>清分模块的核心目标就是计算商户一笔交易的各种手续费。然而，作为第三方支付平台，所服务的商户数多达几十万、数百万，并提供数十种交易服务，计费服务必须能合理高效的对数量庞大的商户、丰富的交易类型以及不同商户的计费配置进行手续费计算。为此，清结算系统将商户结算配置抽离出来，单独配置和保存，整个计费流程根据商户的计费配置进行处理。为了解决不同交易类型，计费逻辑不同的问题，计费模块通过接口和抽象类和子类继承的方式，使得每种交易类型对应一种计费服务。类图如图所示。</w:t>
      </w:r>
    </w:p>
    <w:p>
      <w:pPr>
        <w:spacing w:line="400" w:lineRule="exact"/>
        <w:ind w:firstLine="420" w:firstLineChars="0"/>
        <w:rPr>
          <w:rFonts w:hint="default" w:eastAsia="宋体" w:cs="宋体"/>
          <w:color w:val="000000"/>
          <w:sz w:val="24"/>
        </w:rPr>
      </w:pPr>
      <w:r>
        <w:drawing>
          <wp:anchor distT="0" distB="0" distL="114300" distR="114300" simplePos="0" relativeHeight="251684864" behindDoc="0" locked="0" layoutInCell="1" allowOverlap="1">
            <wp:simplePos x="0" y="0"/>
            <wp:positionH relativeFrom="column">
              <wp:posOffset>556260</wp:posOffset>
            </wp:positionH>
            <wp:positionV relativeFrom="paragraph">
              <wp:posOffset>82550</wp:posOffset>
            </wp:positionV>
            <wp:extent cx="4377055" cy="2191385"/>
            <wp:effectExtent l="0" t="0" r="17145" b="18415"/>
            <wp:wrapTopAndBottom/>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31"/>
                    <pic:cNvPicPr>
                      <a:picLocks noChangeAspect="1"/>
                    </pic:cNvPicPr>
                  </pic:nvPicPr>
                  <pic:blipFill>
                    <a:blip r:embed="rId57"/>
                    <a:stretch>
                      <a:fillRect/>
                    </a:stretch>
                  </pic:blipFill>
                  <pic:spPr>
                    <a:xfrm>
                      <a:off x="0" y="0"/>
                      <a:ext cx="4377055" cy="2191385"/>
                    </a:xfrm>
                    <a:prstGeom prst="rect">
                      <a:avLst/>
                    </a:prstGeom>
                    <a:noFill/>
                    <a:ln>
                      <a:noFill/>
                    </a:ln>
                  </pic:spPr>
                </pic:pic>
              </a:graphicData>
            </a:graphic>
          </wp:anchor>
        </w:drawing>
      </w:r>
    </w:p>
    <w:p>
      <w:pPr>
        <w:spacing w:line="400" w:lineRule="exact"/>
        <w:ind w:firstLine="420" w:firstLineChars="0"/>
        <w:rPr>
          <w:rFonts w:hint="default" w:cs="宋体"/>
          <w:color w:val="000000"/>
          <w:sz w:val="24"/>
          <w:lang w:eastAsia="zh-CN"/>
        </w:rPr>
      </w:pPr>
      <w:r>
        <w:rPr>
          <w:rFonts w:hint="default" w:cs="宋体"/>
          <w:color w:val="000000"/>
          <w:sz w:val="24"/>
        </w:rPr>
        <w:t>ClearCalculateService 作为计费统一接口，定义了清分操作calculate 方法签名。为了保持通用，calculate 入参为泛型，返回结果为值对象ClearResult。抽象类</w:t>
      </w:r>
      <w:r>
        <w:rPr>
          <w:rFonts w:hint="default" w:cs="宋体"/>
          <w:color w:val="000000"/>
          <w:sz w:val="24"/>
          <w:lang w:eastAsia="zh-CN"/>
        </w:rPr>
        <w:t>AbstractCearCalculateService实现该接口，并添加参数预校验方法preCheck</w:t>
      </w:r>
      <w:r>
        <w:rPr>
          <w:rFonts w:hint="default" w:cs="宋体"/>
          <w:color w:val="000000"/>
          <w:sz w:val="24"/>
          <w:lang w:eastAsia="zh-CN"/>
        </w:rPr>
        <w:t>和</w:t>
      </w:r>
      <w:r>
        <w:rPr>
          <w:rFonts w:hint="default" w:cs="宋体"/>
          <w:color w:val="000000"/>
          <w:sz w:val="24"/>
          <w:lang w:eastAsia="zh-CN"/>
        </w:rPr>
        <w:t>计费方法</w:t>
      </w:r>
      <w:r>
        <w:rPr>
          <w:rFonts w:hint="default" w:cs="宋体"/>
          <w:color w:val="000000"/>
          <w:sz w:val="24"/>
          <w:lang w:eastAsia="zh-CN"/>
        </w:rPr>
        <w:t>doCalculate</w:t>
      </w:r>
      <w:r>
        <w:rPr>
          <w:rFonts w:hint="default" w:cs="宋体"/>
          <w:color w:val="000000"/>
          <w:sz w:val="24"/>
          <w:lang w:eastAsia="zh-CN"/>
        </w:rPr>
        <w:t>，分别</w:t>
      </w:r>
      <w:r>
        <w:rPr>
          <w:rFonts w:hint="default" w:cs="宋体"/>
          <w:color w:val="000000"/>
          <w:sz w:val="24"/>
          <w:lang w:eastAsia="zh-CN"/>
        </w:rPr>
        <w:t>判断入参是否满足计费条件和负责具体的计费逻辑。子类继承该抽象类，覆盖doCalculate方法，添加计费逻辑。为了简化计费流程，calculate方法采用设计模式的</w:t>
      </w:r>
      <w:r>
        <w:rPr>
          <w:rFonts w:hint="default" w:cs="宋体"/>
          <w:color w:val="000000"/>
          <w:sz w:val="24"/>
          <w:lang w:eastAsia="zh-CN"/>
        </w:rPr>
        <w:t>模版方法</w:t>
      </w:r>
      <w:r>
        <w:rPr>
          <w:rFonts w:hint="default" w:cs="宋体"/>
          <w:color w:val="000000"/>
          <w:sz w:val="24"/>
          <w:lang w:eastAsia="zh-CN"/>
        </w:rPr>
        <w:t>，统一了计费的标准流程。具体流程为：先参数校验，校验成功后再计费，否则返回失败的ClearResult对象。Pay</w:t>
      </w:r>
      <w:r>
        <w:rPr>
          <w:rFonts w:hint="default" w:cs="宋体"/>
          <w:color w:val="000000"/>
          <w:sz w:val="24"/>
          <w:lang w:eastAsia="zh-CN"/>
        </w:rPr>
        <w:t>CearCalculateService</w:t>
      </w:r>
      <w:r>
        <w:rPr>
          <w:rFonts w:hint="default" w:cs="宋体"/>
          <w:color w:val="000000"/>
          <w:sz w:val="24"/>
          <w:lang w:eastAsia="zh-CN"/>
        </w:rPr>
        <w:t>和Refund</w:t>
      </w:r>
      <w:r>
        <w:rPr>
          <w:rFonts w:hint="default" w:cs="宋体"/>
          <w:color w:val="000000"/>
          <w:sz w:val="24"/>
          <w:lang w:eastAsia="zh-CN"/>
        </w:rPr>
        <w:t>CearCalculateService</w:t>
      </w:r>
      <w:r>
        <w:rPr>
          <w:rFonts w:hint="default" w:cs="宋体"/>
          <w:color w:val="000000"/>
          <w:sz w:val="24"/>
          <w:lang w:eastAsia="zh-CN"/>
        </w:rPr>
        <w:t>分别为支付计费服务和退款计费服务，内部将计费服务委托给ChargeCalculatorService这个实际的收费服务，得到计费列表后再更新清分实体。这样处理的原因是划分收费服务边界上下文，使得收费服务保持独立，与清分上下文解耦，使得模块间的职责边界更加清晰，符合高内聚低耦合的编码原则。</w:t>
      </w:r>
      <w:r>
        <w:rPr>
          <w:rFonts w:hint="default" w:cs="宋体"/>
          <w:color w:val="000000"/>
          <w:sz w:val="24"/>
          <w:lang w:eastAsia="zh-CN"/>
        </w:rPr>
        <w:t>ChargeCalculatorService</w:t>
      </w:r>
      <w:r>
        <w:rPr>
          <w:rFonts w:hint="default" w:cs="宋体"/>
          <w:color w:val="000000"/>
          <w:sz w:val="24"/>
          <w:lang w:eastAsia="zh-CN"/>
        </w:rPr>
        <w:t>分别负责支付和退款交易的收费服务，对于支付交易，需要计算交易手续费、分期费、税费和净额；对于退款交易，需要计算退款手续费、退分期费、退税费和退净额。支付计费整体的交互时顺序如图所示。</w:t>
      </w:r>
    </w:p>
    <w:p>
      <w:pPr>
        <w:spacing w:line="400" w:lineRule="exact"/>
        <w:ind w:firstLine="420" w:firstLineChars="0"/>
        <w:rPr>
          <w:rFonts w:hint="default" w:cs="宋体"/>
          <w:color w:val="000000"/>
          <w:sz w:val="24"/>
          <w:lang w:eastAsia="zh-CN"/>
        </w:rPr>
      </w:pPr>
      <w:r>
        <w:drawing>
          <wp:anchor distT="0" distB="0" distL="114300" distR="114300" simplePos="0" relativeHeight="251686912" behindDoc="0" locked="0" layoutInCell="1" allowOverlap="1">
            <wp:simplePos x="0" y="0"/>
            <wp:positionH relativeFrom="column">
              <wp:posOffset>328295</wp:posOffset>
            </wp:positionH>
            <wp:positionV relativeFrom="paragraph">
              <wp:posOffset>31115</wp:posOffset>
            </wp:positionV>
            <wp:extent cx="4763770" cy="4345305"/>
            <wp:effectExtent l="0" t="0" r="11430" b="23495"/>
            <wp:wrapTopAndBottom/>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4"/>
                    <pic:cNvPicPr>
                      <a:picLocks noChangeAspect="1"/>
                    </pic:cNvPicPr>
                  </pic:nvPicPr>
                  <pic:blipFill>
                    <a:blip r:embed="rId58"/>
                    <a:stretch>
                      <a:fillRect/>
                    </a:stretch>
                  </pic:blipFill>
                  <pic:spPr>
                    <a:xfrm>
                      <a:off x="0" y="0"/>
                      <a:ext cx="4763770" cy="4345305"/>
                    </a:xfrm>
                    <a:prstGeom prst="rect">
                      <a:avLst/>
                    </a:prstGeom>
                    <a:noFill/>
                    <a:ln>
                      <a:noFill/>
                    </a:ln>
                  </pic:spPr>
                </pic:pic>
              </a:graphicData>
            </a:graphic>
          </wp:anchor>
        </w:drawing>
      </w:r>
      <w:r>
        <w:rPr>
          <w:rFonts w:hint="default" w:cs="宋体"/>
          <w:color w:val="000000"/>
          <w:sz w:val="24"/>
          <w:lang w:eastAsia="zh-CN"/>
        </w:rPr>
        <w:t xml:space="preserve">  </w:t>
      </w:r>
    </w:p>
    <w:p>
      <w:pPr>
        <w:spacing w:line="400" w:lineRule="exact"/>
        <w:rPr>
          <w:rFonts w:hint="default" w:cs="宋体"/>
          <w:color w:val="000000"/>
          <w:sz w:val="24"/>
          <w:lang w:eastAsia="zh-CN"/>
        </w:rPr>
      </w:pPr>
      <w:r>
        <w:rPr>
          <w:rFonts w:hint="default" w:cs="宋体"/>
          <w:color w:val="000000"/>
          <w:sz w:val="24"/>
        </w:rPr>
        <w:t>从上图可知，</w:t>
      </w:r>
      <w:r>
        <w:rPr>
          <w:rFonts w:hint="default" w:cs="宋体"/>
          <w:color w:val="000000"/>
          <w:sz w:val="24"/>
          <w:lang w:eastAsia="zh-CN"/>
        </w:rPr>
        <w:t>PayCearCalculateService</w:t>
      </w:r>
      <w:r>
        <w:rPr>
          <w:rFonts w:hint="default" w:cs="宋体"/>
          <w:color w:val="000000"/>
          <w:sz w:val="24"/>
          <w:lang w:eastAsia="zh-CN"/>
        </w:rPr>
        <w:t>主要任务是组转计费参数，即根据分服务传递的清分实体ClearingBillEntity抽取出</w:t>
      </w:r>
      <w:r>
        <w:rPr>
          <w:rFonts w:hint="default" w:cs="宋体"/>
          <w:color w:val="000000"/>
          <w:sz w:val="24"/>
          <w:lang w:eastAsia="zh-CN"/>
        </w:rPr>
        <w:t>ChargeCalculatorService</w:t>
      </w:r>
      <w:r>
        <w:rPr>
          <w:rFonts w:hint="default" w:cs="宋体"/>
          <w:color w:val="000000"/>
          <w:sz w:val="24"/>
          <w:lang w:eastAsia="zh-CN"/>
        </w:rPr>
        <w:t>需要的计费参数实体TradeInfo，然后调用</w:t>
      </w:r>
      <w:r>
        <w:rPr>
          <w:rFonts w:hint="default" w:cs="宋体"/>
          <w:color w:val="000000"/>
          <w:sz w:val="24"/>
          <w:lang w:eastAsia="zh-CN"/>
        </w:rPr>
        <w:t>ChargeCalculatorService</w:t>
      </w:r>
      <w:r>
        <w:rPr>
          <w:rFonts w:hint="default" w:cs="宋体"/>
          <w:color w:val="000000"/>
          <w:sz w:val="24"/>
          <w:lang w:eastAsia="zh-CN"/>
        </w:rPr>
        <w:t>进行计费；</w:t>
      </w:r>
      <w:r>
        <w:rPr>
          <w:rFonts w:hint="default" w:cs="宋体"/>
          <w:color w:val="000000"/>
          <w:sz w:val="24"/>
          <w:lang w:eastAsia="zh-CN"/>
        </w:rPr>
        <w:t>支付计费的</w:t>
      </w:r>
      <w:r>
        <w:rPr>
          <w:rFonts w:hint="default" w:cs="宋体"/>
          <w:color w:val="000000"/>
          <w:sz w:val="24"/>
          <w:lang w:eastAsia="zh-CN"/>
        </w:rPr>
        <w:t>逻辑</w:t>
      </w:r>
      <w:r>
        <w:rPr>
          <w:rFonts w:hint="default" w:cs="宋体"/>
          <w:color w:val="000000"/>
          <w:sz w:val="24"/>
          <w:lang w:eastAsia="zh-CN"/>
        </w:rPr>
        <w:t>分为</w:t>
      </w:r>
      <w:r>
        <w:rPr>
          <w:rFonts w:hint="default" w:cs="宋体"/>
          <w:color w:val="000000"/>
          <w:sz w:val="24"/>
          <w:lang w:eastAsia="zh-CN"/>
        </w:rPr>
        <w:t>两部分</w:t>
      </w:r>
      <w:r>
        <w:rPr>
          <w:rFonts w:hint="default" w:cs="宋体"/>
          <w:color w:val="000000"/>
          <w:sz w:val="24"/>
          <w:lang w:eastAsia="zh-CN"/>
        </w:rPr>
        <w:t>，前置</w:t>
      </w:r>
      <w:r>
        <w:rPr>
          <w:rFonts w:hint="default" w:cs="宋体"/>
          <w:color w:val="000000"/>
          <w:sz w:val="24"/>
          <w:lang w:eastAsia="zh-CN"/>
        </w:rPr>
        <w:t>计费</w:t>
      </w:r>
      <w:r>
        <w:rPr>
          <w:rFonts w:hint="default" w:cs="宋体"/>
          <w:color w:val="000000"/>
          <w:sz w:val="24"/>
          <w:lang w:eastAsia="zh-CN"/>
        </w:rPr>
        <w:t>和后置</w:t>
      </w:r>
      <w:r>
        <w:rPr>
          <w:rFonts w:hint="default" w:cs="宋体"/>
          <w:color w:val="000000"/>
          <w:sz w:val="24"/>
          <w:lang w:eastAsia="zh-CN"/>
        </w:rPr>
        <w:t>计费</w:t>
      </w:r>
      <w:r>
        <w:rPr>
          <w:rFonts w:hint="default" w:cs="宋体"/>
          <w:color w:val="000000"/>
          <w:sz w:val="24"/>
          <w:lang w:eastAsia="zh-CN"/>
        </w:rPr>
        <w:t>。前置计费即交易手续费计费，</w:t>
      </w:r>
      <w:r>
        <w:rPr>
          <w:rFonts w:hint="default" w:cs="宋体"/>
          <w:color w:val="000000"/>
          <w:sz w:val="24"/>
          <w:lang w:eastAsia="zh-CN"/>
        </w:rPr>
        <w:t>需要先计算，</w:t>
      </w:r>
      <w:r>
        <w:rPr>
          <w:rFonts w:hint="default" w:cs="宋体"/>
          <w:color w:val="000000"/>
          <w:sz w:val="24"/>
          <w:lang w:eastAsia="zh-CN"/>
        </w:rPr>
        <w:t>后置</w:t>
      </w:r>
      <w:r>
        <w:rPr>
          <w:rFonts w:hint="default" w:cs="宋体"/>
          <w:color w:val="000000"/>
          <w:sz w:val="24"/>
          <w:lang w:eastAsia="zh-CN"/>
        </w:rPr>
        <w:t>费项在手续费基础上计算。</w:t>
      </w:r>
      <w:r>
        <w:rPr>
          <w:rFonts w:hint="default" w:cs="宋体"/>
          <w:color w:val="000000"/>
          <w:sz w:val="24"/>
          <w:lang w:eastAsia="zh-CN"/>
        </w:rPr>
        <w:t>ChargeCalculatorService</w:t>
      </w:r>
      <w:r>
        <w:rPr>
          <w:rFonts w:hint="default" w:cs="宋体"/>
          <w:color w:val="000000"/>
          <w:sz w:val="24"/>
          <w:lang w:eastAsia="zh-CN"/>
        </w:rPr>
        <w:t>把交易手续费计算逻辑委托给收费模型ChargeCalculator，然后再计算其他费项。</w:t>
      </w:r>
    </w:p>
    <w:p>
      <w:pPr>
        <w:spacing w:line="400" w:lineRule="exact"/>
        <w:ind w:firstLine="420" w:firstLineChars="0"/>
        <w:rPr>
          <w:rFonts w:hint="default" w:cs="宋体"/>
          <w:color w:val="000000"/>
          <w:sz w:val="24"/>
          <w:lang w:eastAsia="zh-CN"/>
        </w:rPr>
      </w:pPr>
      <w:r>
        <w:rPr>
          <w:rFonts w:hint="default" w:cs="宋体"/>
          <w:color w:val="000000"/>
          <w:sz w:val="24"/>
          <w:lang w:eastAsia="zh-CN"/>
        </w:rPr>
        <w:t>ChargeCalculator</w:t>
      </w:r>
      <w:r>
        <w:rPr>
          <w:rFonts w:hint="default" w:cs="宋体"/>
          <w:color w:val="000000"/>
          <w:sz w:val="24"/>
          <w:lang w:eastAsia="zh-CN"/>
        </w:rPr>
        <w:t>模型计算交易手续费是计费模块的热点代码，需要处理大批量计费请求。同时，计费模型需要根据商户配置中的费率和计算方式计算，即通过配置转换成相应的计费实体。对此，根据领域驱动设计思想，设计计费模型、计费仓库和计费服务，整体类图如下所示。</w:t>
      </w:r>
    </w:p>
    <w:p>
      <w:pPr>
        <w:spacing w:line="400" w:lineRule="exact"/>
        <w:ind w:firstLine="420" w:firstLineChars="0"/>
        <w:rPr>
          <w:rFonts w:hint="default" w:cs="宋体"/>
          <w:color w:val="000000"/>
          <w:sz w:val="24"/>
          <w:lang w:eastAsia="zh-CN"/>
        </w:rPr>
      </w:pPr>
      <w:r>
        <w:drawing>
          <wp:anchor distT="0" distB="0" distL="114300" distR="114300" simplePos="0" relativeHeight="251687936" behindDoc="0" locked="0" layoutInCell="1" allowOverlap="1">
            <wp:simplePos x="0" y="0"/>
            <wp:positionH relativeFrom="column">
              <wp:posOffset>507365</wp:posOffset>
            </wp:positionH>
            <wp:positionV relativeFrom="paragraph">
              <wp:posOffset>144145</wp:posOffset>
            </wp:positionV>
            <wp:extent cx="4732020" cy="3570605"/>
            <wp:effectExtent l="0" t="0" r="17780" b="10795"/>
            <wp:wrapTopAndBottom/>
            <wp:docPr id="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5"/>
                    <pic:cNvPicPr>
                      <a:picLocks noChangeAspect="1"/>
                    </pic:cNvPicPr>
                  </pic:nvPicPr>
                  <pic:blipFill>
                    <a:blip r:embed="rId59"/>
                    <a:stretch>
                      <a:fillRect/>
                    </a:stretch>
                  </pic:blipFill>
                  <pic:spPr>
                    <a:xfrm>
                      <a:off x="0" y="0"/>
                      <a:ext cx="4732020" cy="3570605"/>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ChargeCalculator领域模型包含一个分组的子项计算器map，用来做缓存。其中的calculate方法被</w:t>
      </w:r>
      <w:r>
        <w:rPr>
          <w:rFonts w:hint="default" w:cs="宋体"/>
          <w:color w:val="000000"/>
          <w:sz w:val="24"/>
          <w:lang w:eastAsia="zh-CN"/>
        </w:rPr>
        <w:t>ChargeCalculatorService</w:t>
      </w:r>
      <w:r>
        <w:rPr>
          <w:rFonts w:hint="default" w:cs="宋体"/>
          <w:color w:val="000000"/>
          <w:sz w:val="24"/>
          <w:lang w:eastAsia="zh-CN"/>
        </w:rPr>
        <w:t>调用，接受计费参数对象TradeInfo，返回一个费项计费列表。每个费项列表值对象FeeCalItem根据费项配置FeeConf、该费项金额feeAount和币种组成。费项配置值对象FeeConf由该费项编码feeCode、商户配置ID configId 和费项币种组成。费项计算器由三部分组成，分别是费项配置FeeConf、计费匹配器TradeMatcher和计算器IComputer。计费配置器中的match方法根据参数中的产品类型、交易类型、支付类型和币种进行匹配，匹配成功才进行计算。计算器根据配置中的费基、费率、最小费用和最大费用计费，而具体的计算方式由子类决定。BinaryLinarComputer 表示按照 a + bx 方式计费，a表示费基，b表示费率，x表示支付金额，计费结果满足最小和最大费用限制。</w:t>
      </w:r>
      <w:bookmarkStart w:id="83" w:name="_GoBack"/>
      <w:bookmarkEnd w:id="83"/>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60"/>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1"/>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2"/>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3"/>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5"/>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7"/>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8"/>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9"/>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70"/>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1"/>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3"/>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4"/>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5"/>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6"/>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7"/>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8"/>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9"/>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3"/>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4"/>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5"/>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6"/>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7"/>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8"/>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9"/>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90"/>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1"/>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3"/>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B24F4"/>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E16DD"/>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BF75F5"/>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8F1E12"/>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5FF06C0"/>
    <w:rsid w:val="36393709"/>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1BEE3A"/>
    <w:rsid w:val="3A7E4E4B"/>
    <w:rsid w:val="3AB60C95"/>
    <w:rsid w:val="3AFA59E2"/>
    <w:rsid w:val="3AFBD745"/>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7441A"/>
    <w:rsid w:val="3DAD997E"/>
    <w:rsid w:val="3DB994CD"/>
    <w:rsid w:val="3DC71727"/>
    <w:rsid w:val="3DDE1CF1"/>
    <w:rsid w:val="3DFA6A71"/>
    <w:rsid w:val="3DFB957C"/>
    <w:rsid w:val="3DFD5293"/>
    <w:rsid w:val="3DFE2B3A"/>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8C17"/>
    <w:rsid w:val="3EFF9314"/>
    <w:rsid w:val="3F37FDE6"/>
    <w:rsid w:val="3F5EF801"/>
    <w:rsid w:val="3F67295F"/>
    <w:rsid w:val="3F6C9079"/>
    <w:rsid w:val="3F71FC7C"/>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17BB0A5"/>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4F93E2"/>
    <w:rsid w:val="49A270E6"/>
    <w:rsid w:val="4A2043B0"/>
    <w:rsid w:val="4AB90E71"/>
    <w:rsid w:val="4AC017B2"/>
    <w:rsid w:val="4AFAAF85"/>
    <w:rsid w:val="4AFC51DC"/>
    <w:rsid w:val="4B372F60"/>
    <w:rsid w:val="4B444A88"/>
    <w:rsid w:val="4B8A0446"/>
    <w:rsid w:val="4BBF54FB"/>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EF56F1"/>
    <w:rsid w:val="4FFCFA2B"/>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EF263"/>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B8F6D"/>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ED609"/>
    <w:rsid w:val="5DEFFFDA"/>
    <w:rsid w:val="5DFB8145"/>
    <w:rsid w:val="5DFD0FC7"/>
    <w:rsid w:val="5DFDBA3A"/>
    <w:rsid w:val="5DFEABD0"/>
    <w:rsid w:val="5DFF8DB3"/>
    <w:rsid w:val="5DFFC60B"/>
    <w:rsid w:val="5E5999FB"/>
    <w:rsid w:val="5E5EBD17"/>
    <w:rsid w:val="5EAB5A40"/>
    <w:rsid w:val="5EBDB6A6"/>
    <w:rsid w:val="5EBF2FC8"/>
    <w:rsid w:val="5EBF4372"/>
    <w:rsid w:val="5EFF576A"/>
    <w:rsid w:val="5EFFF3A7"/>
    <w:rsid w:val="5F199BAF"/>
    <w:rsid w:val="5F3F7E66"/>
    <w:rsid w:val="5F41F9F9"/>
    <w:rsid w:val="5F4F06E3"/>
    <w:rsid w:val="5F5F3B8A"/>
    <w:rsid w:val="5F607481"/>
    <w:rsid w:val="5F67639D"/>
    <w:rsid w:val="5F687CB5"/>
    <w:rsid w:val="5F6BE4C9"/>
    <w:rsid w:val="5F6DFD36"/>
    <w:rsid w:val="5F6EC563"/>
    <w:rsid w:val="5F6F7121"/>
    <w:rsid w:val="5F7BCDF8"/>
    <w:rsid w:val="5F7E8C88"/>
    <w:rsid w:val="5F7FD35B"/>
    <w:rsid w:val="5F99C1DC"/>
    <w:rsid w:val="5FA2FBD7"/>
    <w:rsid w:val="5FB272B3"/>
    <w:rsid w:val="5FB3E4E4"/>
    <w:rsid w:val="5FBB142C"/>
    <w:rsid w:val="5FBF04E1"/>
    <w:rsid w:val="5FBFEB75"/>
    <w:rsid w:val="5FCA10ED"/>
    <w:rsid w:val="5FCD1B95"/>
    <w:rsid w:val="5FD43DF7"/>
    <w:rsid w:val="5FD51BCD"/>
    <w:rsid w:val="5FD54631"/>
    <w:rsid w:val="5FDA8D85"/>
    <w:rsid w:val="5FDF72E9"/>
    <w:rsid w:val="5FDF9268"/>
    <w:rsid w:val="5FEF7A22"/>
    <w:rsid w:val="5FF71D42"/>
    <w:rsid w:val="5FFB42DB"/>
    <w:rsid w:val="5FFBC378"/>
    <w:rsid w:val="5FFBDABF"/>
    <w:rsid w:val="5FFF2183"/>
    <w:rsid w:val="5FFF6563"/>
    <w:rsid w:val="5FFF6B7B"/>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73E3"/>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C685A"/>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B7768E"/>
    <w:rsid w:val="6ED1D4C6"/>
    <w:rsid w:val="6ED50301"/>
    <w:rsid w:val="6EDD0FA6"/>
    <w:rsid w:val="6EF3F5F0"/>
    <w:rsid w:val="6EF75578"/>
    <w:rsid w:val="6EF78159"/>
    <w:rsid w:val="6EF81E8B"/>
    <w:rsid w:val="6EFD151E"/>
    <w:rsid w:val="6EFFE04F"/>
    <w:rsid w:val="6F2DB8E7"/>
    <w:rsid w:val="6F2EF821"/>
    <w:rsid w:val="6F444B83"/>
    <w:rsid w:val="6F56E40A"/>
    <w:rsid w:val="6F7724CA"/>
    <w:rsid w:val="6F787B1F"/>
    <w:rsid w:val="6FB60B83"/>
    <w:rsid w:val="6FB6B12A"/>
    <w:rsid w:val="6FB760DC"/>
    <w:rsid w:val="6FBA8433"/>
    <w:rsid w:val="6FCE393B"/>
    <w:rsid w:val="6FDB0BCE"/>
    <w:rsid w:val="6FDF3D46"/>
    <w:rsid w:val="6FDFD846"/>
    <w:rsid w:val="6FE5F87B"/>
    <w:rsid w:val="6FE9C5C8"/>
    <w:rsid w:val="6FF77695"/>
    <w:rsid w:val="6FF7C08D"/>
    <w:rsid w:val="6FFB7B68"/>
    <w:rsid w:val="6FFB8029"/>
    <w:rsid w:val="6FFC4F6C"/>
    <w:rsid w:val="6FFD51C3"/>
    <w:rsid w:val="6FFE29A1"/>
    <w:rsid w:val="6FFEF694"/>
    <w:rsid w:val="6FFF16C3"/>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E3C81"/>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BF3D60"/>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D25EA"/>
    <w:rsid w:val="77BDD126"/>
    <w:rsid w:val="77BEFE31"/>
    <w:rsid w:val="77BFFF00"/>
    <w:rsid w:val="77C32AB1"/>
    <w:rsid w:val="77D7F243"/>
    <w:rsid w:val="77DDA115"/>
    <w:rsid w:val="77DEF566"/>
    <w:rsid w:val="77DF0688"/>
    <w:rsid w:val="77DFA599"/>
    <w:rsid w:val="77DFF0E0"/>
    <w:rsid w:val="77E59552"/>
    <w:rsid w:val="77E7090D"/>
    <w:rsid w:val="77EDBCCD"/>
    <w:rsid w:val="77EE861F"/>
    <w:rsid w:val="77F3933A"/>
    <w:rsid w:val="77F5979E"/>
    <w:rsid w:val="77F72283"/>
    <w:rsid w:val="77F746B9"/>
    <w:rsid w:val="77FD1D15"/>
    <w:rsid w:val="77FDDBD4"/>
    <w:rsid w:val="77FED3EC"/>
    <w:rsid w:val="77FEDEA8"/>
    <w:rsid w:val="77FF283B"/>
    <w:rsid w:val="77FF3AA5"/>
    <w:rsid w:val="77FF98F5"/>
    <w:rsid w:val="77FFB941"/>
    <w:rsid w:val="77FFFBF8"/>
    <w:rsid w:val="78746DE5"/>
    <w:rsid w:val="78B6C054"/>
    <w:rsid w:val="78D229D3"/>
    <w:rsid w:val="78DEFDB8"/>
    <w:rsid w:val="78FF7ECA"/>
    <w:rsid w:val="7905501C"/>
    <w:rsid w:val="79CFD49A"/>
    <w:rsid w:val="79DB0CBD"/>
    <w:rsid w:val="79DF5065"/>
    <w:rsid w:val="79F7B159"/>
    <w:rsid w:val="79F9B746"/>
    <w:rsid w:val="79FEB3B0"/>
    <w:rsid w:val="79FF3C3F"/>
    <w:rsid w:val="7A2BC2B9"/>
    <w:rsid w:val="7A569382"/>
    <w:rsid w:val="7A7A4C8B"/>
    <w:rsid w:val="7A9F1A20"/>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EDF4A"/>
    <w:rsid w:val="7BFF0856"/>
    <w:rsid w:val="7BFF40E0"/>
    <w:rsid w:val="7BFF5E07"/>
    <w:rsid w:val="7BFF7920"/>
    <w:rsid w:val="7BFF8C87"/>
    <w:rsid w:val="7C191951"/>
    <w:rsid w:val="7C556335"/>
    <w:rsid w:val="7C5DED16"/>
    <w:rsid w:val="7C9B773D"/>
    <w:rsid w:val="7CAF2D9C"/>
    <w:rsid w:val="7CB70741"/>
    <w:rsid w:val="7CFB049E"/>
    <w:rsid w:val="7CFEBB7E"/>
    <w:rsid w:val="7CFF62A4"/>
    <w:rsid w:val="7D1B874F"/>
    <w:rsid w:val="7D2F871F"/>
    <w:rsid w:val="7D3067F4"/>
    <w:rsid w:val="7D5DD01D"/>
    <w:rsid w:val="7D7C1EBA"/>
    <w:rsid w:val="7D7F04E5"/>
    <w:rsid w:val="7DAF7496"/>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EEC4B"/>
    <w:rsid w:val="7E7F62A9"/>
    <w:rsid w:val="7E7FED77"/>
    <w:rsid w:val="7E9A36DD"/>
    <w:rsid w:val="7EA66245"/>
    <w:rsid w:val="7EA729C5"/>
    <w:rsid w:val="7EB40E9C"/>
    <w:rsid w:val="7EB52E28"/>
    <w:rsid w:val="7EBBAC76"/>
    <w:rsid w:val="7EBF7998"/>
    <w:rsid w:val="7EBFFC36"/>
    <w:rsid w:val="7EC0284A"/>
    <w:rsid w:val="7EC6CDB1"/>
    <w:rsid w:val="7ECCB299"/>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EFFD53B"/>
    <w:rsid w:val="7F1701B1"/>
    <w:rsid w:val="7F1B24BE"/>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46CD"/>
    <w:rsid w:val="7FCFF785"/>
    <w:rsid w:val="7FD782A6"/>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816"/>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0BD7"/>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7B47D3"/>
    <w:rsid w:val="BABF8010"/>
    <w:rsid w:val="BABF9DBC"/>
    <w:rsid w:val="BAFE325E"/>
    <w:rsid w:val="BB3EF1B1"/>
    <w:rsid w:val="BB6F5F25"/>
    <w:rsid w:val="BB7D7ACF"/>
    <w:rsid w:val="BB7FBD5F"/>
    <w:rsid w:val="BB9B5D46"/>
    <w:rsid w:val="BBBD4418"/>
    <w:rsid w:val="BBBFED61"/>
    <w:rsid w:val="BBD6ACF3"/>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242FC"/>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044A"/>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590DD"/>
    <w:rsid w:val="BFF6A232"/>
    <w:rsid w:val="BFF72883"/>
    <w:rsid w:val="BFF74BFC"/>
    <w:rsid w:val="BFFA81D8"/>
    <w:rsid w:val="BFFB0211"/>
    <w:rsid w:val="BFFD5722"/>
    <w:rsid w:val="BFFD7427"/>
    <w:rsid w:val="BFFE233E"/>
    <w:rsid w:val="BFFE7CC2"/>
    <w:rsid w:val="BFFED776"/>
    <w:rsid w:val="C34D65C1"/>
    <w:rsid w:val="C5BB27A5"/>
    <w:rsid w:val="C6BF10A5"/>
    <w:rsid w:val="C7B41E1C"/>
    <w:rsid w:val="C7DDE9FF"/>
    <w:rsid w:val="C7FFE71A"/>
    <w:rsid w:val="C9D7FA45"/>
    <w:rsid w:val="CB9F3FC4"/>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CFFFBACC"/>
    <w:rsid w:val="D13E0CBF"/>
    <w:rsid w:val="D15B0EF0"/>
    <w:rsid w:val="D1D60DD3"/>
    <w:rsid w:val="D1D9FFF6"/>
    <w:rsid w:val="D1EB2765"/>
    <w:rsid w:val="D1F9BB59"/>
    <w:rsid w:val="D37664D3"/>
    <w:rsid w:val="D3DF5173"/>
    <w:rsid w:val="D4FF2834"/>
    <w:rsid w:val="D57CC64F"/>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CE9A63"/>
    <w:rsid w:val="DFD3B952"/>
    <w:rsid w:val="DFD6AE3B"/>
    <w:rsid w:val="DFD84BBA"/>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4DAAEDF"/>
    <w:rsid w:val="E55DFB81"/>
    <w:rsid w:val="E5CAE4E2"/>
    <w:rsid w:val="E5CEDE9B"/>
    <w:rsid w:val="E5FD0BC1"/>
    <w:rsid w:val="E636E1FA"/>
    <w:rsid w:val="E679D313"/>
    <w:rsid w:val="E69A994E"/>
    <w:rsid w:val="E6EB41DC"/>
    <w:rsid w:val="E6FDD701"/>
    <w:rsid w:val="E77B6D96"/>
    <w:rsid w:val="E77FD1A9"/>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BAA93"/>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DFBCFE"/>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EB14A1"/>
    <w:rsid w:val="F1FECEF6"/>
    <w:rsid w:val="F297A469"/>
    <w:rsid w:val="F2CFD398"/>
    <w:rsid w:val="F3736517"/>
    <w:rsid w:val="F37F1A6B"/>
    <w:rsid w:val="F37F6DD9"/>
    <w:rsid w:val="F3D63749"/>
    <w:rsid w:val="F3F5A866"/>
    <w:rsid w:val="F3FBDEB7"/>
    <w:rsid w:val="F3FC6FA9"/>
    <w:rsid w:val="F3FF28FB"/>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750AA8"/>
    <w:rsid w:val="F6B5EB19"/>
    <w:rsid w:val="F6BF8ABA"/>
    <w:rsid w:val="F6D87B73"/>
    <w:rsid w:val="F6E79DAC"/>
    <w:rsid w:val="F6EBABEE"/>
    <w:rsid w:val="F6F455DC"/>
    <w:rsid w:val="F6F6A11D"/>
    <w:rsid w:val="F6FBA7D2"/>
    <w:rsid w:val="F6FD00E5"/>
    <w:rsid w:val="F6FFA95C"/>
    <w:rsid w:val="F7539ED6"/>
    <w:rsid w:val="F75586CC"/>
    <w:rsid w:val="F757BE1B"/>
    <w:rsid w:val="F77E7B9E"/>
    <w:rsid w:val="F77F4DE8"/>
    <w:rsid w:val="F7953A46"/>
    <w:rsid w:val="F7AB730B"/>
    <w:rsid w:val="F7B7D3B2"/>
    <w:rsid w:val="F7BD1594"/>
    <w:rsid w:val="F7BFA339"/>
    <w:rsid w:val="F7C51E90"/>
    <w:rsid w:val="F7D8FE52"/>
    <w:rsid w:val="F7DA33A1"/>
    <w:rsid w:val="F7DF06F9"/>
    <w:rsid w:val="F7EF3847"/>
    <w:rsid w:val="F7EFC247"/>
    <w:rsid w:val="F7F30B1A"/>
    <w:rsid w:val="F7F627DC"/>
    <w:rsid w:val="F7F6BE77"/>
    <w:rsid w:val="F7F9C488"/>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3B4E"/>
    <w:rsid w:val="FBF9B9CB"/>
    <w:rsid w:val="FBFBE0E5"/>
    <w:rsid w:val="FBFBEB82"/>
    <w:rsid w:val="FBFE8703"/>
    <w:rsid w:val="FBFF8324"/>
    <w:rsid w:val="FBFFB287"/>
    <w:rsid w:val="FBFFBC88"/>
    <w:rsid w:val="FBFFD768"/>
    <w:rsid w:val="FBFFF823"/>
    <w:rsid w:val="FC7FB26B"/>
    <w:rsid w:val="FCBF2E03"/>
    <w:rsid w:val="FCC76187"/>
    <w:rsid w:val="FCCD2BF3"/>
    <w:rsid w:val="FCE728BD"/>
    <w:rsid w:val="FCFBC210"/>
    <w:rsid w:val="FCFF0F3B"/>
    <w:rsid w:val="FCFFFEBC"/>
    <w:rsid w:val="FD2BA9A1"/>
    <w:rsid w:val="FD2FA0EB"/>
    <w:rsid w:val="FD3E4B9C"/>
    <w:rsid w:val="FD52EE52"/>
    <w:rsid w:val="FD6F7635"/>
    <w:rsid w:val="FD7F222D"/>
    <w:rsid w:val="FD7F5B4A"/>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4EE44"/>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65CAD"/>
    <w:rsid w:val="FFB73D5D"/>
    <w:rsid w:val="FFB7A89F"/>
    <w:rsid w:val="FFB7F74C"/>
    <w:rsid w:val="FFBB3F78"/>
    <w:rsid w:val="FFBC7C87"/>
    <w:rsid w:val="FFBE2368"/>
    <w:rsid w:val="FFBEE479"/>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61391"/>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50.png"/><Relationship Id="rId90" Type="http://schemas.openxmlformats.org/officeDocument/2006/relationships/image" Target="media/image49.png"/><Relationship Id="rId9" Type="http://schemas.openxmlformats.org/officeDocument/2006/relationships/header" Target="header3.xml"/><Relationship Id="rId89" Type="http://schemas.openxmlformats.org/officeDocument/2006/relationships/image" Target="media/image48.png"/><Relationship Id="rId88" Type="http://schemas.openxmlformats.org/officeDocument/2006/relationships/image" Target="media/image47.png"/><Relationship Id="rId87" Type="http://schemas.openxmlformats.org/officeDocument/2006/relationships/image" Target="media/image46.jpe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png"/><Relationship Id="rId83" Type="http://schemas.openxmlformats.org/officeDocument/2006/relationships/image" Target="media/image42.png"/><Relationship Id="rId82" Type="http://schemas.openxmlformats.org/officeDocument/2006/relationships/image" Target="media/image41.wmf"/><Relationship Id="rId81" Type="http://schemas.openxmlformats.org/officeDocument/2006/relationships/image" Target="media/image40.wmf"/><Relationship Id="rId80" Type="http://schemas.openxmlformats.org/officeDocument/2006/relationships/image" Target="media/image39.wmf"/><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png"/><Relationship Id="rId58" Type="http://schemas.openxmlformats.org/officeDocument/2006/relationships/image" Target="media/image17.png"/><Relationship Id="rId57" Type="http://schemas.openxmlformats.org/officeDocument/2006/relationships/image" Target="media/image16.png"/><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10</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2023-06-08T19:49:35Z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