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0"/>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20"/>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20"/>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Binlog清分详细设计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计费详细</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计费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189865</wp:posOffset>
            </wp:positionH>
            <wp:positionV relativeFrom="paragraph">
              <wp:posOffset>83820</wp:posOffset>
            </wp:positionV>
            <wp:extent cx="5293360" cy="4170680"/>
            <wp:effectExtent l="0" t="0" r="15240" b="20320"/>
            <wp:wrapTopAndBottom/>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pic:cNvPicPr>
                  </pic:nvPicPr>
                  <pic:blipFill>
                    <a:blip r:embed="rId58"/>
                    <a:stretch>
                      <a:fillRect/>
                    </a:stretch>
                  </pic:blipFill>
                  <pic:spPr>
                    <a:xfrm>
                      <a:off x="0" y="0"/>
                      <a:ext cx="5293360" cy="4170680"/>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ind w:firstLine="420" w:firstLineChars="0"/>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首先从仓库</w:t>
      </w:r>
      <w:r>
        <w:rPr>
          <w:rFonts w:hint="default" w:cs="宋体"/>
          <w:color w:val="000000"/>
          <w:sz w:val="24"/>
          <w:lang w:eastAsia="zh-CN"/>
        </w:rPr>
        <w:t>ChargeCalculator</w:t>
      </w:r>
      <w:r>
        <w:rPr>
          <w:rFonts w:hint="default" w:cs="宋体"/>
          <w:color w:val="000000"/>
          <w:sz w:val="24"/>
          <w:lang w:eastAsia="zh-CN"/>
        </w:rPr>
        <w:t>Repository中获取计费模型，然后把交易手续费计算逻辑委托给计费模型ChargeCalculator，然后再计算其他费项。下面首先介绍计费模型的类图和计费仓库获取计费模型的逻辑，最后再介绍计费模型中的计费逻辑。</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w:t>
      </w:r>
      <w:r>
        <w:rPr>
          <w:rFonts w:hint="default" w:cs="宋体"/>
          <w:color w:val="000000"/>
          <w:sz w:val="24"/>
          <w:lang w:eastAsia="zh-CN"/>
        </w:rPr>
        <w:t>ChargeCalculator</w:t>
      </w:r>
      <w:r>
        <w:rPr>
          <w:rFonts w:hint="default" w:cs="宋体"/>
          <w:color w:val="000000"/>
          <w:sz w:val="24"/>
          <w:lang w:eastAsia="zh-CN"/>
        </w:rPr>
        <w:t>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p>
    <w:p>
      <w:pPr>
        <w:spacing w:line="400" w:lineRule="exact"/>
        <w:ind w:firstLine="420" w:firstLineChars="0"/>
        <w:rPr>
          <w:rFonts w:hint="default" w:cs="宋体"/>
          <w:color w:val="000000"/>
          <w:sz w:val="24"/>
          <w:lang w:eastAsia="zh-CN"/>
        </w:rPr>
      </w:pPr>
      <w:r>
        <w:rPr>
          <w:rFonts w:hint="default" w:cs="宋体"/>
          <w:color w:val="000000"/>
          <w:sz w:val="24"/>
          <w:lang w:eastAsia="zh-CN"/>
        </w:rPr>
        <w:t>在领域驱动设计中，仓库给调用实体提供了一个内存对象的抽象视图，实体可以直接从仓库中获取目标对象，而不需要关系目标对象的创建逻辑和底层数据库存储和映射相关的细节，保证了领域逻辑的独立性。ChargeCalculatorRepository首先根据商户id查内存缓存，如果缓存命中，直接返回商户计费模型</w:t>
      </w:r>
      <w:r>
        <w:rPr>
          <w:rFonts w:hint="default" w:cs="宋体"/>
          <w:color w:val="000000"/>
          <w:sz w:val="24"/>
          <w:lang w:eastAsia="zh-CN"/>
        </w:rPr>
        <w:t>，缓存过期时间设置为1分钟</w:t>
      </w:r>
      <w:r>
        <w:rPr>
          <w:rFonts w:hint="default" w:cs="宋体"/>
          <w:color w:val="000000"/>
          <w:sz w:val="24"/>
          <w:lang w:eastAsia="zh-CN"/>
        </w:rPr>
        <w:t>；如果缓存未命中则通过查询商户计费配置，获取商户所有的配置对象ChargeConfigEntity，然后根据配置构造子项计算器SubitemComputer，再把子项计算器添加到计费模型中，最后更新缓存并返回ChargeCalculator计费模型。ChargeCalculator添加子项计算器是根据GroupKey进行分组，把相同分组的子项计算器添加到计费实体</w:t>
      </w:r>
      <w:r>
        <w:rPr>
          <w:rFonts w:hint="default" w:cs="宋体"/>
          <w:color w:val="000000"/>
          <w:sz w:val="24"/>
          <w:lang w:eastAsia="zh-CN"/>
        </w:rPr>
        <w:t>map</w:t>
      </w:r>
      <w:r>
        <w:rPr>
          <w:rFonts w:hint="default" w:cs="宋体"/>
          <w:color w:val="000000"/>
          <w:sz w:val="24"/>
          <w:lang w:eastAsia="zh-CN"/>
        </w:rPr>
        <w:t>中。仓库获取计费模型ChargeCalculator的活动图如下。</w:t>
      </w: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drawing>
          <wp:anchor distT="0" distB="0" distL="114300" distR="114300" simplePos="0" relativeHeight="251688960" behindDoc="0" locked="0" layoutInCell="1" allowOverlap="1">
            <wp:simplePos x="0" y="0"/>
            <wp:positionH relativeFrom="column">
              <wp:posOffset>1798320</wp:posOffset>
            </wp:positionH>
            <wp:positionV relativeFrom="paragraph">
              <wp:posOffset>5080</wp:posOffset>
            </wp:positionV>
            <wp:extent cx="2430780" cy="3863340"/>
            <wp:effectExtent l="0" t="0" r="7620" b="22860"/>
            <wp:wrapTopAndBottom/>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8"/>
                    <pic:cNvPicPr>
                      <a:picLocks noChangeAspect="1"/>
                    </pic:cNvPicPr>
                  </pic:nvPicPr>
                  <pic:blipFill>
                    <a:blip r:embed="rId60"/>
                    <a:stretch>
                      <a:fillRect/>
                    </a:stretch>
                  </pic:blipFill>
                  <pic:spPr>
                    <a:xfrm>
                      <a:off x="0" y="0"/>
                      <a:ext cx="2430780" cy="3863340"/>
                    </a:xfrm>
                    <a:prstGeom prst="rect">
                      <a:avLst/>
                    </a:prstGeom>
                    <a:noFill/>
                    <a:ln>
                      <a:noFill/>
                    </a:ln>
                  </pic:spPr>
                </pic:pic>
              </a:graphicData>
            </a:graphic>
          </wp:anchor>
        </w:drawing>
      </w:r>
    </w:p>
    <w:p>
      <w:pPr>
        <w:spacing w:line="400" w:lineRule="exact"/>
        <w:ind w:firstLine="420" w:firstLineChars="0"/>
        <w:rPr>
          <w:rFonts w:hint="default" w:eastAsia="宋体" w:cs="宋体"/>
          <w:color w:val="000000"/>
          <w:sz w:val="24"/>
          <w:lang w:eastAsia="zh-CN"/>
        </w:rPr>
      </w:pP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ChargeCalculatorService</w:t>
      </w:r>
      <w:r>
        <w:rPr>
          <w:rFonts w:hint="default" w:eastAsia="宋体" w:cs="宋体"/>
          <w:color w:val="000000"/>
          <w:sz w:val="24"/>
          <w:lang w:eastAsia="zh-CN"/>
        </w:rPr>
        <w:t>在通过仓库获取计费模型后，就调用计费模型的计费方法获取交易手续费，即计费模型只负责计算交易手续费，</w:t>
      </w:r>
      <w:r>
        <w:rPr>
          <w:rFonts w:hint="default" w:eastAsia="宋体" w:cs="宋体"/>
          <w:color w:val="000000"/>
          <w:sz w:val="24"/>
          <w:lang w:eastAsia="zh-CN"/>
        </w:rPr>
        <w:t>ChargeCalculatorService</w:t>
      </w:r>
      <w:r>
        <w:rPr>
          <w:rFonts w:hint="default" w:eastAsia="宋体" w:cs="宋体"/>
          <w:color w:val="000000"/>
          <w:sz w:val="24"/>
          <w:lang w:eastAsia="zh-CN"/>
        </w:rPr>
        <w:t>负责计算其他后置费项。计费模型ChargeCalculator计费流程为：</w:t>
      </w:r>
    </w:p>
    <w:p>
      <w:pPr>
        <w:numPr>
          <w:ilvl w:val="0"/>
          <w:numId w:val="21"/>
        </w:num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根据入参获取分组Key</w:t>
      </w:r>
    </w:p>
    <w:p>
      <w:pPr>
        <w:numPr>
          <w:ilvl w:val="0"/>
          <w:numId w:val="21"/>
        </w:numPr>
        <w:spacing w:line="400" w:lineRule="exact"/>
        <w:ind w:firstLine="420" w:firstLineChars="0"/>
        <w:rPr>
          <w:rFonts w:hint="default" w:cs="宋体"/>
          <w:color w:val="000000"/>
          <w:sz w:val="24"/>
          <w:lang w:eastAsia="zh-CN"/>
        </w:rPr>
      </w:pPr>
      <w:r>
        <w:rPr>
          <w:rFonts w:hint="default" w:eastAsia="宋体" w:cs="宋体"/>
          <w:color w:val="000000"/>
          <w:sz w:val="24"/>
          <w:lang w:eastAsia="zh-CN"/>
        </w:rPr>
        <w:t>从map中获取该笔交易的所有子项计费器，因为一个商户可能配置了多种交易手续费，每种手续费计算对应一个子项计费器SubitemComputer</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判断计费参数是否存在子项计费器</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子项计费器列表首先匹配计费参数，即如果计费参数命中多个计费器，多个计费器单独计费，</w:t>
      </w:r>
      <w:r>
        <w:rPr>
          <w:rFonts w:hint="default" w:cs="宋体"/>
          <w:color w:val="000000"/>
          <w:sz w:val="24"/>
          <w:lang w:eastAsia="zh-CN"/>
        </w:rPr>
        <w:t>SubitemComputer</w:t>
      </w:r>
      <w:r>
        <w:rPr>
          <w:rFonts w:hint="default" w:cs="宋体"/>
          <w:color w:val="000000"/>
          <w:sz w:val="24"/>
          <w:lang w:eastAsia="zh-CN"/>
        </w:rPr>
        <w:t xml:space="preserve"> match方法将匹配逻辑委托给SubitemComputer中的匹配器TradeMatch，</w:t>
      </w:r>
      <w:r>
        <w:rPr>
          <w:rFonts w:hint="default" w:cs="宋体"/>
          <w:color w:val="000000"/>
          <w:sz w:val="24"/>
          <w:lang w:eastAsia="zh-CN"/>
        </w:rPr>
        <w:t>TradeMatch</w:t>
      </w:r>
      <w:r>
        <w:rPr>
          <w:rFonts w:hint="default" w:cs="宋体"/>
          <w:color w:val="000000"/>
          <w:sz w:val="24"/>
          <w:lang w:eastAsia="zh-CN"/>
        </w:rPr>
        <w:t>再根据匹配策略IMatcherPolicyUtil接口中定义的策略进行匹配，如果匹配成功，然后charge方法将计费方式委托给</w:t>
      </w:r>
      <w:r>
        <w:rPr>
          <w:rFonts w:hint="default" w:cs="宋体"/>
          <w:color w:val="000000"/>
          <w:sz w:val="24"/>
          <w:lang w:eastAsia="zh-CN"/>
        </w:rPr>
        <w:t>SubitemComputer中的</w:t>
      </w:r>
      <w:r>
        <w:rPr>
          <w:rFonts w:hint="default" w:cs="宋体"/>
          <w:color w:val="000000"/>
          <w:sz w:val="24"/>
          <w:lang w:eastAsia="zh-CN"/>
        </w:rPr>
        <w:t>IFeeComputer计算器，TradeMatch和FeeComputer在构造SubitemComputer时初始化，最后完成计费。</w:t>
      </w:r>
    </w:p>
    <w:p>
      <w:pPr>
        <w:numPr>
          <w:ilvl w:val="0"/>
          <w:numId w:val="21"/>
        </w:numPr>
        <w:spacing w:line="400" w:lineRule="exact"/>
        <w:ind w:firstLine="420" w:firstLineChars="0"/>
        <w:rPr>
          <w:rFonts w:hint="default" w:cs="宋体"/>
          <w:color w:val="000000"/>
          <w:sz w:val="24"/>
        </w:rPr>
      </w:pPr>
      <w:r>
        <w:rPr>
          <w:rFonts w:hint="default" w:cs="宋体"/>
          <w:color w:val="000000"/>
          <w:sz w:val="24"/>
          <w:lang w:eastAsia="zh-CN"/>
        </w:rPr>
        <w:t>验证计费结果，查看是否存在重复计费</w:t>
      </w:r>
    </w:p>
    <w:p>
      <w:pPr>
        <w:numPr>
          <w:numId w:val="0"/>
        </w:numPr>
        <w:spacing w:line="400" w:lineRule="exact"/>
        <w:ind w:firstLine="420" w:firstLineChars="0"/>
        <w:rPr>
          <w:rFonts w:hint="default" w:cs="宋体"/>
          <w:color w:val="000000"/>
          <w:sz w:val="24"/>
        </w:rPr>
      </w:pPr>
      <w:r>
        <w:rPr>
          <w:rFonts w:hint="default" w:cs="宋体"/>
          <w:color w:val="000000"/>
          <w:sz w:val="24"/>
        </w:rPr>
        <w:t>计费领域模型ChargeCalculator计费的核心思想是将子项匹配和计算逻辑全部委托给子项计费器，自己只负责流程编排。其伪代码如下：</w:t>
      </w:r>
    </w:p>
    <w:p>
      <w:pPr>
        <w:numPr>
          <w:numId w:val="0"/>
        </w:numPr>
        <w:spacing w:line="400" w:lineRule="exact"/>
        <w:ind w:firstLine="420" w:firstLineChars="0"/>
        <w:rPr>
          <w:rFonts w:hint="default" w:cs="宋体"/>
          <w:color w:val="000000"/>
          <w:sz w:val="24"/>
        </w:rPr>
      </w:pP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List&lt;FeeCalItem&gt; calculate(TradeInfo info) {</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GroupKey key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new GroupKey(info)</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List&lt;SubitemComputer&gt; computers </w:t>
            </w:r>
            <w:r>
              <w:rPr>
                <w:color w:val="000000" w:themeColor="text1"/>
                <w:szCs w:val="21"/>
                <w14:textFill>
                  <w14:solidFill>
                    <w14:schemeClr w14:val="tx1"/>
                  </w14:solidFill>
                </w14:textFill>
              </w:rPr>
              <w:t>←</w:t>
            </w:r>
            <w:r>
              <w:rPr>
                <w:rFonts w:hint="default"/>
                <w:color w:val="000000" w:themeColor="text1"/>
                <w:szCs w:val="21"/>
                <w14:textFill>
                  <w14:solidFill>
                    <w14:schemeClr w14:val="tx1"/>
                  </w14:solidFill>
                </w14:textFill>
              </w:rPr>
              <w:t xml:space="preserve"> map.get(key)</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computers == null then</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new ArrayList&lt;&gt;()</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List&lt;FeeCalItem&gt; feeList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computers.filter(e-&gt;e.match(info)).map(c -&gt; c.charge(info))</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feeList.groupBy(e -&gt; e.config().feeCode()).forEach((k,v) -&gt; {</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v.size() &gt; 1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throw RuntimeException(“重复计费: ” + k)</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feeList</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w:t>
            </w:r>
          </w:p>
        </w:tc>
      </w:tr>
    </w:tbl>
    <w:p>
      <w:pPr>
        <w:widowControl/>
        <w:spacing w:before="240" w:after="120"/>
        <w:ind w:firstLine="420" w:firstLineChars="0"/>
        <w:jc w:val="left"/>
        <w:outlineLvl w:val="2"/>
        <w:rPr>
          <w:rFonts w:hint="default" w:eastAsia="宋体" w:cs="宋体"/>
          <w:color w:val="000000"/>
          <w:sz w:val="24"/>
        </w:rPr>
      </w:pPr>
      <w:r>
        <w:rPr>
          <w:rFonts w:hint="default" w:eastAsia="宋体" w:cs="宋体"/>
          <w:color w:val="000000"/>
          <w:sz w:val="24"/>
        </w:rPr>
        <w:t>根据概要设计中的数据流图，计费是按逐笔进行计费的，一笔交易的计算的结果是按照费项粒度保存在清分表中。比如，商户支付了100元的交易金额，平台根据配置需要收交易手续费、分期费、税费，并计算净额，如图所示：</w:t>
      </w:r>
    </w:p>
    <w:p>
      <w:pPr>
        <w:widowControl/>
        <w:spacing w:before="240" w:after="120"/>
        <w:ind w:firstLine="420" w:firstLineChars="0"/>
        <w:jc w:val="center"/>
        <w:outlineLvl w:val="2"/>
      </w:pPr>
      <w:r>
        <w:drawing>
          <wp:inline distT="0" distB="0" distL="114300" distR="114300">
            <wp:extent cx="3834765" cy="1740535"/>
            <wp:effectExtent l="0" t="0" r="635" b="12065"/>
            <wp:docPr id="1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9"/>
                    <pic:cNvPicPr>
                      <a:picLocks noChangeAspect="1"/>
                    </pic:cNvPicPr>
                  </pic:nvPicPr>
                  <pic:blipFill>
                    <a:blip r:embed="rId61"/>
                    <a:stretch>
                      <a:fillRect/>
                    </a:stretch>
                  </pic:blipFill>
                  <pic:spPr>
                    <a:xfrm>
                      <a:off x="0" y="0"/>
                      <a:ext cx="3834765" cy="1740535"/>
                    </a:xfrm>
                    <a:prstGeom prst="rect">
                      <a:avLst/>
                    </a:prstGeom>
                    <a:noFill/>
                    <a:ln>
                      <a:noFill/>
                    </a:ln>
                  </pic:spPr>
                </pic:pic>
              </a:graphicData>
            </a:graphic>
          </wp:inline>
        </w:drawing>
      </w:r>
    </w:p>
    <w:p>
      <w:pPr>
        <w:widowControl/>
        <w:spacing w:before="240" w:after="120"/>
        <w:ind w:firstLine="420" w:firstLineChars="0"/>
        <w:jc w:val="both"/>
        <w:outlineLvl w:val="2"/>
        <w:rPr>
          <w:rFonts w:hint="default"/>
        </w:rPr>
      </w:pPr>
    </w:p>
    <w:p>
      <w:pPr>
        <w:widowControl/>
        <w:spacing w:before="240" w:after="120"/>
        <w:jc w:val="both"/>
        <w:outlineLvl w:val="2"/>
        <w:rPr>
          <w:rFonts w:hint="default"/>
        </w:rPr>
      </w:pPr>
      <w:r>
        <w:rPr>
          <w:rFonts w:hint="default"/>
        </w:rPr>
        <w:t>第三方支付平台为商户提供收单服务，通过清结算系统计算各种手续费，然后将手续费收入计入平台手续费收入户，将净额计入平台商户待结算户，然后通过结算流程按结算配置结算给商户。</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清算汇总详细设计</w:t>
      </w:r>
    </w:p>
    <w:p>
      <w:pPr>
        <w:widowControl/>
        <w:spacing w:before="240" w:after="120"/>
        <w:ind w:firstLine="420" w:firstLineChars="0"/>
        <w:jc w:val="both"/>
        <w:outlineLvl w:val="2"/>
        <w:rPr>
          <w:rFonts w:hint="default" w:eastAsia="宋体"/>
        </w:rPr>
      </w:pPr>
      <w:r>
        <w:rPr>
          <w:rFonts w:hint="default" w:eastAsia="宋体"/>
        </w:rPr>
        <w:t>计费模块逐笔计费，将商户各类</w:t>
      </w:r>
      <w:r>
        <w:rPr>
          <w:rFonts w:hint="default" w:eastAsia="宋体"/>
        </w:rPr>
        <w:t>交易的费项</w:t>
      </w:r>
      <w:r>
        <w:rPr>
          <w:rFonts w:hint="default" w:eastAsia="宋体"/>
        </w:rPr>
        <w:t>结果保存在清分表中</w:t>
      </w:r>
      <w:r>
        <w:rPr>
          <w:rFonts w:hint="default" w:eastAsia="宋体"/>
        </w:rPr>
        <w:t>，即清分表唯一键为商户和交易类型</w:t>
      </w:r>
      <w:r>
        <w:rPr>
          <w:rFonts w:hint="default" w:eastAsia="宋体"/>
        </w:rPr>
        <w:t>，但是结算</w:t>
      </w:r>
      <w:r>
        <w:rPr>
          <w:rFonts w:hint="default" w:eastAsia="宋体"/>
        </w:rPr>
        <w:t>时间</w:t>
      </w:r>
      <w:r>
        <w:rPr>
          <w:rFonts w:hint="default" w:eastAsia="宋体"/>
        </w:rPr>
        <w:t>一般</w:t>
      </w:r>
      <w:r>
        <w:rPr>
          <w:rFonts w:hint="default" w:eastAsia="宋体"/>
        </w:rPr>
        <w:t>以</w:t>
      </w:r>
      <w:r>
        <w:rPr>
          <w:rFonts w:hint="default" w:eastAsia="宋体"/>
        </w:rPr>
        <w:t>天</w:t>
      </w:r>
      <w:r>
        <w:rPr>
          <w:rFonts w:hint="default" w:eastAsia="宋体"/>
        </w:rPr>
        <w:t>或周</w:t>
      </w:r>
      <w:r>
        <w:rPr>
          <w:rFonts w:hint="default" w:eastAsia="宋体"/>
        </w:rPr>
        <w:t>为级别，比如按工作日</w:t>
      </w:r>
      <w:r>
        <w:rPr>
          <w:rFonts w:hint="default" w:eastAsia="宋体"/>
        </w:rPr>
        <w:t>、</w:t>
      </w:r>
      <w:r>
        <w:rPr>
          <w:rFonts w:hint="default" w:eastAsia="宋体"/>
        </w:rPr>
        <w:t>自然日</w:t>
      </w:r>
      <w:r>
        <w:rPr>
          <w:rFonts w:hint="default" w:eastAsia="宋体"/>
        </w:rPr>
        <w:t>、单周、或双周</w:t>
      </w:r>
      <w:r>
        <w:rPr>
          <w:rFonts w:hint="default" w:eastAsia="宋体"/>
        </w:rPr>
        <w:t>结算。</w:t>
      </w:r>
      <w:r>
        <w:rPr>
          <w:rFonts w:hint="default" w:eastAsia="宋体"/>
        </w:rPr>
        <w:t>为了</w:t>
      </w:r>
      <w:r>
        <w:rPr>
          <w:rFonts w:hint="default" w:eastAsia="宋体"/>
        </w:rPr>
        <w:t>满足</w:t>
      </w:r>
      <w:r>
        <w:rPr>
          <w:rFonts w:hint="default" w:eastAsia="宋体"/>
          <w:lang w:val="en-US" w:eastAsia="zh-CN"/>
        </w:rPr>
        <w:t>商户不同的业务需求和现金流管理策略</w:t>
      </w:r>
      <w:r>
        <w:rPr>
          <w:rFonts w:hint="default" w:eastAsia="宋体"/>
          <w:lang w:eastAsia="zh-CN"/>
        </w:rPr>
        <w:t>，</w:t>
      </w:r>
      <w:r>
        <w:rPr>
          <w:rFonts w:hint="default" w:eastAsia="宋体"/>
        </w:rPr>
        <w:t>第三方支付平台为商户提供多种结算模式</w:t>
      </w:r>
      <w:r>
        <w:rPr>
          <w:rFonts w:hint="default" w:eastAsia="宋体"/>
        </w:rPr>
        <w:t>，</w:t>
      </w:r>
      <w:r>
        <w:rPr>
          <w:rFonts w:hint="default" w:eastAsia="宋体"/>
        </w:rPr>
        <w:t>在商户入网时签约某种结算模式，然后平台在运营系统的配置下发给清结算系统。</w:t>
      </w:r>
      <w:r>
        <w:rPr>
          <w:rFonts w:hint="default" w:eastAsia="宋体"/>
        </w:rPr>
        <w:t>所以，在清分模块需要汇总商户一天内同类型交易的费项，并保存到结算详情表中。</w:t>
      </w:r>
    </w:p>
    <w:p>
      <w:pPr>
        <w:widowControl/>
        <w:spacing w:before="240" w:after="120"/>
        <w:ind w:firstLine="420" w:firstLineChars="0"/>
        <w:jc w:val="both"/>
        <w:outlineLvl w:val="2"/>
        <w:rPr>
          <w:rFonts w:hint="default" w:eastAsia="宋体"/>
        </w:rPr>
      </w:pPr>
      <w:r>
        <w:rPr>
          <w:rFonts w:hint="default" w:eastAsia="宋体"/>
        </w:rPr>
        <w:t>汇总流程主要分为两大部分，第一部分是创建用于汇总费项的结算明细单号DetailId，第二部分为费项汇总部分。</w:t>
      </w:r>
      <w:r>
        <w:rPr>
          <w:rFonts w:hint="default" w:eastAsia="宋体"/>
        </w:rPr>
        <w:t>整体汇总流程状态图如下</w:t>
      </w:r>
      <w:r>
        <w:rPr>
          <w:rFonts w:hint="default" w:eastAsia="宋体"/>
        </w:rPr>
        <w:t>：</w:t>
      </w:r>
    </w:p>
    <w:p>
      <w:pPr>
        <w:widowControl/>
        <w:spacing w:before="240" w:after="120"/>
        <w:ind w:firstLine="420" w:firstLineChars="0"/>
        <w:jc w:val="center"/>
        <w:outlineLvl w:val="2"/>
      </w:pPr>
      <w:r>
        <w:drawing>
          <wp:inline distT="0" distB="0" distL="114300" distR="114300">
            <wp:extent cx="1399540" cy="3436620"/>
            <wp:effectExtent l="0" t="0" r="22860" b="17780"/>
            <wp:docPr id="1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1"/>
                    <pic:cNvPicPr>
                      <a:picLocks noChangeAspect="1"/>
                    </pic:cNvPicPr>
                  </pic:nvPicPr>
                  <pic:blipFill>
                    <a:blip r:embed="rId62"/>
                    <a:stretch>
                      <a:fillRect/>
                    </a:stretch>
                  </pic:blipFill>
                  <pic:spPr>
                    <a:xfrm>
                      <a:off x="0" y="0"/>
                      <a:ext cx="1399540" cy="3436620"/>
                    </a:xfrm>
                    <a:prstGeom prst="rect">
                      <a:avLst/>
                    </a:prstGeom>
                    <a:noFill/>
                    <a:ln>
                      <a:noFill/>
                    </a:ln>
                  </pic:spPr>
                </pic:pic>
              </a:graphicData>
            </a:graphic>
          </wp:inline>
        </w:drawing>
      </w:r>
    </w:p>
    <w:p>
      <w:pPr>
        <w:widowControl/>
        <w:spacing w:before="240" w:after="120"/>
        <w:ind w:firstLine="420" w:firstLineChars="0"/>
        <w:jc w:val="center"/>
        <w:outlineLvl w:val="2"/>
        <w:rPr>
          <w:rFonts w:hint="default"/>
        </w:rPr>
      </w:pPr>
    </w:p>
    <w:p>
      <w:pPr>
        <w:widowControl/>
        <w:numPr>
          <w:ilvl w:val="0"/>
          <w:numId w:val="22"/>
        </w:numPr>
        <w:spacing w:before="240" w:after="120"/>
        <w:ind w:firstLine="420" w:firstLineChars="0"/>
        <w:jc w:val="both"/>
        <w:outlineLvl w:val="2"/>
        <w:rPr>
          <w:rFonts w:hint="default" w:eastAsia="宋体"/>
        </w:rPr>
      </w:pPr>
      <w:r>
        <w:rPr>
          <w:rFonts w:hint="default" w:eastAsia="宋体"/>
        </w:rPr>
        <w:t>首先</w:t>
      </w:r>
      <w:r>
        <w:rPr>
          <w:rFonts w:hint="default" w:eastAsia="宋体"/>
        </w:rPr>
        <w:t>，汇总流程开启Spring事务，保证整个操作流程满足事务</w:t>
      </w:r>
      <w:r>
        <w:rPr>
          <w:rFonts w:hint="default" w:eastAsia="宋体"/>
        </w:rPr>
        <w:t>ACID</w:t>
      </w:r>
      <w:r>
        <w:rPr>
          <w:rFonts w:hint="default" w:eastAsia="宋体"/>
        </w:rPr>
        <w:t>属性；</w:t>
      </w:r>
    </w:p>
    <w:p>
      <w:pPr>
        <w:widowControl/>
        <w:numPr>
          <w:ilvl w:val="0"/>
          <w:numId w:val="22"/>
        </w:numPr>
        <w:spacing w:before="240" w:after="120"/>
        <w:ind w:firstLine="420" w:firstLineChars="0"/>
        <w:jc w:val="both"/>
        <w:outlineLvl w:val="2"/>
        <w:rPr>
          <w:rFonts w:hint="default" w:eastAsia="宋体"/>
        </w:rPr>
      </w:pPr>
      <w:r>
        <w:rPr>
          <w:rFonts w:hint="default" w:eastAsia="宋体"/>
        </w:rPr>
        <w:t>校验清分实体ClearingBillEntity状态是否符合汇总前置状态；</w:t>
      </w:r>
    </w:p>
    <w:p>
      <w:pPr>
        <w:widowControl/>
        <w:numPr>
          <w:ilvl w:val="0"/>
          <w:numId w:val="22"/>
        </w:numPr>
        <w:spacing w:before="240" w:after="120"/>
        <w:ind w:firstLine="420" w:firstLineChars="0"/>
        <w:jc w:val="both"/>
        <w:outlineLvl w:val="2"/>
        <w:rPr>
          <w:rFonts w:hint="default" w:eastAsia="宋体"/>
        </w:rPr>
      </w:pPr>
      <w:r>
        <w:rPr>
          <w:rFonts w:hint="default" w:eastAsia="宋体"/>
        </w:rPr>
        <w:t>根据商户id、产品类型productType、交易类型tradeType和交易完成时间tradeFinishTime，调用结算服务settleService的createDetailId方法创建汇总详情单，并返回结算明细单号DetailId；</w:t>
      </w:r>
    </w:p>
    <w:p>
      <w:pPr>
        <w:widowControl/>
        <w:numPr>
          <w:ilvl w:val="0"/>
          <w:numId w:val="22"/>
        </w:numPr>
        <w:spacing w:before="240" w:after="120"/>
        <w:ind w:firstLine="420" w:firstLineChars="0"/>
        <w:jc w:val="both"/>
        <w:outlineLvl w:val="2"/>
        <w:rPr>
          <w:rFonts w:hint="default" w:eastAsia="宋体"/>
        </w:rPr>
      </w:pPr>
      <w:r>
        <w:rPr>
          <w:rFonts w:hint="default" w:eastAsia="宋体"/>
        </w:rPr>
        <w:t>为了避免商户同一笔交易重复汇总，根据商户交易号tradeId和交易类型tradeType查询清分索引表去重；</w:t>
      </w:r>
    </w:p>
    <w:p>
      <w:pPr>
        <w:widowControl/>
        <w:numPr>
          <w:ilvl w:val="0"/>
          <w:numId w:val="22"/>
        </w:numPr>
        <w:spacing w:before="240" w:after="120"/>
        <w:ind w:firstLine="420" w:firstLineChars="0"/>
        <w:jc w:val="both"/>
        <w:outlineLvl w:val="2"/>
        <w:rPr>
          <w:rFonts w:hint="default" w:eastAsia="宋体"/>
        </w:rPr>
      </w:pPr>
      <w:r>
        <w:rPr>
          <w:rFonts w:hint="default" w:eastAsia="宋体"/>
        </w:rPr>
        <w:t>如果去重校验通过，开启一个新的Spring嵌套子事务，进行费项累计；首先创建内存结算详情实体SettleDetailEntity，然后</w:t>
      </w:r>
      <w:r>
        <w:rPr>
          <w:rFonts w:hint="default" w:eastAsia="宋体"/>
        </w:rPr>
        <w:t>然后根据结算模式</w:t>
      </w:r>
      <w:r>
        <w:rPr>
          <w:rFonts w:hint="default" w:eastAsia="宋体"/>
        </w:rPr>
        <w:t>将该笔交易计费后的各类费项结果保存到实体中的对应字段中；对于实时结算模式，因为实时结算已经调用账户服务记账了，所以各费项分别累计到已处理交易手续费、已处理分期手续费、已处理税费和已处理净额字段中；同样，对于周期结算模式，因为需要延期结算，为了和实时结算模式区分，费项需要分别累积未处理交易手续费、未处理分期手续费、未处理税费和未处理净额字段；最后到通过MyBatis update进行各费项累计并更新实体到数据库结算详情表；</w:t>
      </w:r>
    </w:p>
    <w:p>
      <w:pPr>
        <w:widowControl/>
        <w:numPr>
          <w:ilvl w:val="0"/>
          <w:numId w:val="22"/>
        </w:numPr>
        <w:spacing w:before="240" w:after="120"/>
        <w:ind w:firstLine="420" w:firstLineChars="0"/>
        <w:jc w:val="both"/>
        <w:outlineLvl w:val="2"/>
        <w:rPr>
          <w:rFonts w:hint="default" w:eastAsia="宋体"/>
        </w:rPr>
      </w:pPr>
      <w:r>
        <w:rPr>
          <w:rFonts w:hint="default" w:eastAsia="宋体"/>
        </w:rPr>
        <w:t>为了保存费项累计记录，需要为各类费项创建清分索引，并更具交易类型分别创建入款交易费项索引和出款交易费项索引，以保存交易单号、交易类型、费项编码、商户号、结算详情单号等信息，保证（2）中重复交易不会重复累计费项，同时关联了结算详情单号，为后续商户对账提供数据查询支持。</w:t>
      </w:r>
    </w:p>
    <w:p>
      <w:pPr>
        <w:widowControl/>
        <w:numPr>
          <w:numId w:val="0"/>
        </w:numPr>
        <w:spacing w:before="240" w:after="120"/>
        <w:ind w:firstLine="420" w:firstLineChars="0"/>
        <w:jc w:val="both"/>
        <w:outlineLvl w:val="2"/>
        <w:rPr>
          <w:rFonts w:hint="default" w:eastAsia="宋体"/>
        </w:rPr>
      </w:pPr>
      <w:r>
        <w:rPr>
          <w:rFonts w:hint="default" w:eastAsia="宋体"/>
        </w:rPr>
        <w:t>在汇总这个流程中，最核心的部分就是如何创建汇总详情单，下面将逐一介绍汇总模型类图和汇总时序图，汇总类图如下：</w:t>
      </w:r>
    </w:p>
    <w:p>
      <w:pPr>
        <w:widowControl/>
        <w:numPr>
          <w:numId w:val="0"/>
        </w:numPr>
        <w:spacing w:before="240" w:after="120"/>
        <w:ind w:firstLine="420" w:firstLineChars="0"/>
        <w:jc w:val="both"/>
        <w:outlineLvl w:val="2"/>
        <w:rPr>
          <w:rFonts w:hint="default" w:eastAsia="宋体"/>
        </w:rPr>
      </w:pPr>
      <w:r>
        <w:drawing>
          <wp:inline distT="0" distB="0" distL="114300" distR="114300">
            <wp:extent cx="5278120" cy="3181350"/>
            <wp:effectExtent l="0" t="0" r="5080" b="19050"/>
            <wp:docPr id="1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9"/>
                    <pic:cNvPicPr>
                      <a:picLocks noChangeAspect="1"/>
                    </pic:cNvPicPr>
                  </pic:nvPicPr>
                  <pic:blipFill>
                    <a:blip r:embed="rId63"/>
                    <a:stretch>
                      <a:fillRect/>
                    </a:stretch>
                  </pic:blipFill>
                  <pic:spPr>
                    <a:xfrm>
                      <a:off x="0" y="0"/>
                      <a:ext cx="5278120" cy="3181350"/>
                    </a:xfrm>
                    <a:prstGeom prst="rect">
                      <a:avLst/>
                    </a:prstGeom>
                    <a:noFill/>
                    <a:ln>
                      <a:noFill/>
                    </a:ln>
                  </pic:spPr>
                </pic:pic>
              </a:graphicData>
            </a:graphic>
          </wp:inline>
        </w:drawing>
      </w:r>
    </w:p>
    <w:p>
      <w:pPr>
        <w:widowControl/>
        <w:numPr>
          <w:numId w:val="0"/>
        </w:numPr>
        <w:spacing w:before="240" w:after="120"/>
        <w:ind w:firstLine="420" w:firstLineChars="0"/>
        <w:jc w:val="both"/>
        <w:outlineLvl w:val="2"/>
        <w:rPr>
          <w:rFonts w:hint="default" w:eastAsia="宋体"/>
        </w:rPr>
      </w:pPr>
      <w:r>
        <w:rPr>
          <w:rFonts w:hint="default" w:eastAsia="宋体"/>
        </w:rPr>
        <w:t>由图可知，SummaryModel为领域模型中的聚合根，SettleConfig为实体，SummaryId、SummaryInfo和SummaryStarted为值对象。下面分别分析每个类的主要职责。</w:t>
      </w:r>
    </w:p>
    <w:p>
      <w:pPr>
        <w:widowControl/>
        <w:numPr>
          <w:numId w:val="0"/>
        </w:numPr>
        <w:spacing w:before="240" w:after="120"/>
        <w:ind w:firstLine="420" w:firstLineChars="0"/>
        <w:jc w:val="both"/>
        <w:outlineLvl w:val="2"/>
        <w:rPr>
          <w:rFonts w:hint="default" w:eastAsia="宋体"/>
        </w:rPr>
      </w:pPr>
      <w:bookmarkStart w:id="83" w:name="_GoBack"/>
      <w:bookmarkEnd w:id="83"/>
    </w:p>
    <w:p>
      <w:pPr>
        <w:widowControl/>
        <w:numPr>
          <w:numId w:val="0"/>
        </w:numPr>
        <w:spacing w:before="240" w:after="120"/>
        <w:ind w:firstLine="420" w:firstLineChars="0"/>
        <w:jc w:val="both"/>
        <w:outlineLvl w:val="2"/>
        <w:rPr>
          <w:rFonts w:hint="default" w:eastAsia="宋体"/>
        </w:rPr>
      </w:pPr>
      <w:r>
        <w:drawing>
          <wp:inline distT="0" distB="0" distL="114300" distR="114300">
            <wp:extent cx="5271770" cy="4232910"/>
            <wp:effectExtent l="0" t="0" r="11430" b="8890"/>
            <wp:docPr id="1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7"/>
                    <pic:cNvPicPr>
                      <a:picLocks noChangeAspect="1"/>
                    </pic:cNvPicPr>
                  </pic:nvPicPr>
                  <pic:blipFill>
                    <a:blip r:embed="rId64"/>
                    <a:stretch>
                      <a:fillRect/>
                    </a:stretch>
                  </pic:blipFill>
                  <pic:spPr>
                    <a:xfrm>
                      <a:off x="0" y="0"/>
                      <a:ext cx="5271770" cy="4232910"/>
                    </a:xfrm>
                    <a:prstGeom prst="rect">
                      <a:avLst/>
                    </a:prstGeom>
                    <a:noFill/>
                    <a:ln>
                      <a:noFill/>
                    </a:ln>
                  </pic:spPr>
                </pic:pic>
              </a:graphicData>
            </a:graphic>
          </wp:inline>
        </w:drawing>
      </w:r>
    </w:p>
    <w:p>
      <w:pPr>
        <w:widowControl/>
        <w:numPr>
          <w:ilvl w:val="0"/>
          <w:numId w:val="23"/>
        </w:numPr>
        <w:spacing w:before="240" w:after="120"/>
        <w:ind w:firstLine="420" w:firstLineChars="0"/>
        <w:jc w:val="both"/>
        <w:outlineLvl w:val="2"/>
        <w:rPr>
          <w:rFonts w:hint="default" w:eastAsia="宋体"/>
        </w:rPr>
      </w:pPr>
      <w:r>
        <w:rPr>
          <w:rFonts w:hint="default" w:eastAsia="宋体"/>
        </w:rPr>
        <w:t>清算汇总首先需要获取结算详情单号DetailId，即通过结算服务SettleService获取。</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结算服务根据领域驱动设计，自身不负责具体逻辑处理，而是将获取DetailId封装在汇总模型中，通过构造SummaryModel获取DetailId。</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结算服务通过结算配置仓库SettleConfigRepo获取汇总模型，为结算服务提供获取领域模型的内存视图，封装和屏蔽了构造汇总模型的底层细节。</w:t>
      </w:r>
    </w:p>
    <w:p>
      <w:pPr>
        <w:widowControl/>
        <w:numPr>
          <w:ilvl w:val="0"/>
          <w:numId w:val="23"/>
        </w:numPr>
        <w:spacing w:before="240" w:after="120"/>
        <w:ind w:firstLine="420" w:firstLineChars="0"/>
        <w:jc w:val="both"/>
        <w:outlineLvl w:val="2"/>
        <w:rPr>
          <w:rFonts w:hint="default" w:eastAsia="宋体"/>
        </w:rPr>
      </w:pPr>
      <w:r>
        <w:rPr>
          <w:rFonts w:hint="default" w:eastAsia="宋体"/>
        </w:rPr>
        <w:t>结算配置仓库通过配置维护服务configMaintainService查询当前商户所有生效的结算配置列表configs，并构造配置映射configMap，key为configId，value为领域值对象SettleConfig。</w:t>
      </w:r>
    </w:p>
    <w:p>
      <w:pPr>
        <w:widowControl/>
        <w:numPr>
          <w:ilvl w:val="0"/>
          <w:numId w:val="23"/>
        </w:numPr>
        <w:spacing w:before="240" w:after="120"/>
        <w:ind w:firstLine="420" w:firstLineChars="0"/>
        <w:jc w:val="both"/>
        <w:outlineLvl w:val="2"/>
        <w:rPr>
          <w:rFonts w:hint="default" w:eastAsia="宋体"/>
        </w:rPr>
      </w:pPr>
      <w:r>
        <w:rPr>
          <w:rFonts w:hint="default" w:eastAsia="宋体"/>
        </w:rPr>
        <w:t>结算配置仓库通过结算详情Mapper查询最近3天内商户所有的结算详情单，并将数据库结算详情实体SettleDetialEntity转换为领域值对象SummaryId和SummaryInfo，最后保存在结算模型中。</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结算服务根据产品类型productType和当前时间 currentDate获取最近一批结算详情单创建的开始时间recentStartAt，根据业务需求，最近控制时间段的开始时间为前3天当天0点。领域模型保存了当前商户所有的结算配置configs，然后根据productType和currentDate匹配某个结算config，匹配规则为产品类型相等并且配置激活时间不大于当前时间；config 首先判断汇总模式是否是以天为单位，如果通过再进行时区转换，并将开始时间设置为前3天零时。</w:t>
      </w:r>
    </w:p>
    <w:p>
      <w:pPr>
        <w:widowControl/>
        <w:numPr>
          <w:ilvl w:val="0"/>
          <w:numId w:val="23"/>
        </w:numPr>
        <w:spacing w:before="240" w:after="120"/>
        <w:ind w:firstLine="420" w:firstLineChars="0"/>
        <w:jc w:val="both"/>
        <w:outlineLvl w:val="2"/>
        <w:rPr>
          <w:rFonts w:hint="default" w:eastAsia="宋体"/>
        </w:rPr>
      </w:pPr>
      <w:r>
        <w:rPr>
          <w:rFonts w:hint="default" w:eastAsia="宋体"/>
        </w:rPr>
        <w:t>如果商户交易时间transTime小于recnetStartAt，说明该笔交易是3天前的历史数据，是人工补录的交易数据，需要调整该笔交易的时间为当前时间currentDate，进入当前汇总批次。</w:t>
      </w:r>
    </w:p>
    <w:p>
      <w:pPr>
        <w:widowControl/>
        <w:numPr>
          <w:ilvl w:val="0"/>
          <w:numId w:val="23"/>
        </w:numPr>
        <w:spacing w:before="240" w:after="120"/>
        <w:ind w:firstLine="420" w:firstLineChars="0"/>
        <w:jc w:val="both"/>
        <w:outlineLvl w:val="2"/>
        <w:rPr>
          <w:rFonts w:hint="default" w:eastAsia="宋体"/>
        </w:rPr>
      </w:pPr>
    </w:p>
    <w:p>
      <w:pPr>
        <w:widowControl/>
        <w:spacing w:before="240" w:after="120"/>
        <w:ind w:firstLine="420" w:firstLineChars="0"/>
        <w:jc w:val="both"/>
        <w:outlineLvl w:val="2"/>
        <w:rPr>
          <w:rFonts w:hint="default" w:eastAsia="宋体"/>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4"/>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4"/>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4"/>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4"/>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5"/>
        </w:numPr>
        <w:spacing w:line="400" w:lineRule="exact"/>
        <w:ind w:firstLine="480"/>
        <w:rPr>
          <w:rFonts w:cs="宋体"/>
          <w:color w:val="000000"/>
          <w:sz w:val="24"/>
        </w:rPr>
      </w:pPr>
      <w:r>
        <w:rPr>
          <w:rFonts w:hint="eastAsia" w:cs="宋体"/>
          <w:color w:val="000000"/>
          <w:sz w:val="24"/>
        </w:rPr>
        <w:t>生成空白证书模板；</w:t>
      </w:r>
    </w:p>
    <w:p>
      <w:pPr>
        <w:numPr>
          <w:ilvl w:val="0"/>
          <w:numId w:val="25"/>
        </w:numPr>
        <w:spacing w:line="400" w:lineRule="exact"/>
        <w:ind w:firstLine="480"/>
        <w:rPr>
          <w:rFonts w:cs="宋体"/>
          <w:color w:val="000000"/>
          <w:sz w:val="24"/>
        </w:rPr>
      </w:pPr>
      <w:r>
        <w:rPr>
          <w:rFonts w:hint="eastAsia" w:cs="宋体"/>
          <w:color w:val="000000"/>
          <w:sz w:val="24"/>
        </w:rPr>
        <w:t>生成SM2算法的密钥对；</w:t>
      </w:r>
    </w:p>
    <w:p>
      <w:pPr>
        <w:numPr>
          <w:ilvl w:val="0"/>
          <w:numId w:val="25"/>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5"/>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5"/>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5"/>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5"/>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7"/>
                <w:lang w:bidi="ar"/>
              </w:rPr>
              <w:t xml:space="preserve"> crlSeries </w:t>
            </w:r>
            <w:r>
              <w:rPr>
                <w:rStyle w:val="28"/>
                <w:rFonts w:hint="default" w:ascii="Times New Roman" w:hAnsi="Times New Roman"/>
                <w:lang w:bidi="ar"/>
              </w:rPr>
              <w:t>和</w:t>
            </w:r>
            <w:r>
              <w:rPr>
                <w:rStyle w:val="27"/>
                <w:lang w:bidi="ar"/>
              </w:rPr>
              <w:t xml:space="preserve">crlCraca </w:t>
            </w:r>
            <w:r>
              <w:rPr>
                <w:rStyle w:val="28"/>
                <w:rFonts w:hint="default" w:ascii="Times New Roman" w:hAnsi="Times New Roman"/>
                <w:lang w:bidi="ar"/>
              </w:rPr>
              <w:t>的下一个</w:t>
            </w:r>
            <w:r>
              <w:rPr>
                <w:rStyle w:val="27"/>
                <w:lang w:bidi="ar"/>
              </w:rPr>
              <w:t xml:space="preserve"> CRL </w:t>
            </w:r>
            <w:r>
              <w:rPr>
                <w:rStyle w:val="28"/>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7"/>
                <w:lang w:bidi="ar"/>
              </w:rPr>
              <w:br w:type="textWrapping"/>
            </w:r>
            <w:r>
              <w:rPr>
                <w:rStyle w:val="28"/>
                <w:rFonts w:hint="default" w:ascii="Times New Roman" w:hAnsi="Times New Roman"/>
                <w:lang w:bidi="ar"/>
              </w:rPr>
              <w:t>设备确定要保留哪些撤销信息以及丢</w:t>
            </w:r>
            <w:r>
              <w:rPr>
                <w:rStyle w:val="27"/>
                <w:lang w:bidi="ar"/>
              </w:rPr>
              <w:br w:type="textWrapping"/>
            </w:r>
            <w:r>
              <w:rPr>
                <w:rStyle w:val="28"/>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6"/>
        </w:numPr>
        <w:spacing w:line="400" w:lineRule="exact"/>
        <w:rPr>
          <w:rFonts w:cs="宋体"/>
          <w:color w:val="000000"/>
          <w:sz w:val="24"/>
        </w:rPr>
      </w:pPr>
      <w:r>
        <w:rPr>
          <w:rFonts w:hint="eastAsia" w:cs="宋体"/>
          <w:color w:val="000000"/>
          <w:sz w:val="24"/>
        </w:rPr>
        <w:t>异常行为管理机构识别到异常信息；</w:t>
      </w:r>
    </w:p>
    <w:p>
      <w:pPr>
        <w:numPr>
          <w:ilvl w:val="0"/>
          <w:numId w:val="26"/>
        </w:numPr>
        <w:spacing w:line="400" w:lineRule="exact"/>
        <w:rPr>
          <w:rFonts w:cs="宋体"/>
          <w:color w:val="000000"/>
          <w:sz w:val="24"/>
        </w:rPr>
      </w:pPr>
      <w:r>
        <w:rPr>
          <w:rFonts w:hint="eastAsia" w:cs="宋体"/>
          <w:color w:val="000000"/>
          <w:sz w:val="24"/>
        </w:rPr>
        <w:t>RA系统核实有问题后上报CA系统；</w:t>
      </w:r>
    </w:p>
    <w:p>
      <w:pPr>
        <w:numPr>
          <w:ilvl w:val="0"/>
          <w:numId w:val="26"/>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6"/>
        </w:numPr>
        <w:spacing w:line="400" w:lineRule="exact"/>
        <w:rPr>
          <w:rFonts w:cs="宋体"/>
          <w:color w:val="000000"/>
          <w:sz w:val="24"/>
        </w:rPr>
      </w:pPr>
      <w:r>
        <w:rPr>
          <w:rFonts w:hint="eastAsia" w:cs="宋体"/>
          <w:color w:val="000000"/>
          <w:sz w:val="24"/>
        </w:rPr>
        <w:t>RA系统申请下载当前CRL；</w:t>
      </w:r>
    </w:p>
    <w:p>
      <w:pPr>
        <w:numPr>
          <w:ilvl w:val="0"/>
          <w:numId w:val="26"/>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7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7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7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7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8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8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8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8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8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7"/>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7"/>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8"/>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8"/>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8"/>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9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9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3"/>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9"/>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9"/>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9"/>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9"/>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9"/>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3"/>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9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9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9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0"/>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0"/>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0"/>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6"/>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6"/>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7F5A221"/>
    <w:multiLevelType w:val="singleLevel"/>
    <w:tmpl w:val="D7F5A221"/>
    <w:lvl w:ilvl="0" w:tentative="0">
      <w:start w:val="1"/>
      <w:numFmt w:val="decimal"/>
      <w:suff w:val="nothing"/>
      <w:lvlText w:val="（%1）"/>
      <w:lvlJc w:val="left"/>
    </w:lvl>
  </w:abstractNum>
  <w:abstractNum w:abstractNumId="26">
    <w:nsid w:val="D87EA4A9"/>
    <w:multiLevelType w:val="singleLevel"/>
    <w:tmpl w:val="D87EA4A9"/>
    <w:lvl w:ilvl="0" w:tentative="0">
      <w:start w:val="1"/>
      <w:numFmt w:val="decimal"/>
      <w:suff w:val="nothing"/>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EAAF74FF"/>
    <w:multiLevelType w:val="singleLevel"/>
    <w:tmpl w:val="EAAF74FF"/>
    <w:lvl w:ilvl="0" w:tentative="0">
      <w:start w:val="1"/>
      <w:numFmt w:val="decimal"/>
      <w:suff w:val="nothing"/>
      <w:lvlText w:val="（%1）"/>
      <w:lvlJc w:val="left"/>
    </w:lvl>
  </w:abstractNum>
  <w:abstractNum w:abstractNumId="29">
    <w:nsid w:val="EAFF42CC"/>
    <w:multiLevelType w:val="singleLevel"/>
    <w:tmpl w:val="EAFF42CC"/>
    <w:lvl w:ilvl="0" w:tentative="0">
      <w:start w:val="2"/>
      <w:numFmt w:val="decimal"/>
      <w:suff w:val="nothing"/>
      <w:lvlText w:val="（%1）"/>
      <w:lvlJc w:val="left"/>
    </w:lvl>
  </w:abstractNum>
  <w:abstractNum w:abstractNumId="30">
    <w:nsid w:val="ED1664F0"/>
    <w:multiLevelType w:val="singleLevel"/>
    <w:tmpl w:val="ED1664F0"/>
    <w:lvl w:ilvl="0" w:tentative="0">
      <w:start w:val="1"/>
      <w:numFmt w:val="decimal"/>
      <w:suff w:val="nothing"/>
      <w:lvlText w:val="（%1）"/>
      <w:lvlJc w:val="left"/>
    </w:lvl>
  </w:abstractNum>
  <w:abstractNum w:abstractNumId="31">
    <w:nsid w:val="EFA95A85"/>
    <w:multiLevelType w:val="singleLevel"/>
    <w:tmpl w:val="EFA95A85"/>
    <w:lvl w:ilvl="0" w:tentative="0">
      <w:start w:val="1"/>
      <w:numFmt w:val="decimal"/>
      <w:suff w:val="nothing"/>
      <w:lvlText w:val="（%1）"/>
      <w:lvlJc w:val="left"/>
    </w:lvl>
  </w:abstractNum>
  <w:abstractNum w:abstractNumId="32">
    <w:nsid w:val="EFE3FFE0"/>
    <w:multiLevelType w:val="singleLevel"/>
    <w:tmpl w:val="EFE3FFE0"/>
    <w:lvl w:ilvl="0" w:tentative="0">
      <w:start w:val="1"/>
      <w:numFmt w:val="decimal"/>
      <w:suff w:val="space"/>
      <w:lvlText w:val="(%1)"/>
      <w:lvlJc w:val="left"/>
    </w:lvl>
  </w:abstractNum>
  <w:abstractNum w:abstractNumId="33">
    <w:nsid w:val="F6B3FF0D"/>
    <w:multiLevelType w:val="singleLevel"/>
    <w:tmpl w:val="F6B3FF0D"/>
    <w:lvl w:ilvl="0" w:tentative="0">
      <w:start w:val="1"/>
      <w:numFmt w:val="decimal"/>
      <w:lvlText w:val="%1."/>
      <w:lvlJc w:val="left"/>
      <w:pPr>
        <w:tabs>
          <w:tab w:val="left" w:pos="312"/>
        </w:tabs>
      </w:pPr>
    </w:lvl>
  </w:abstractNum>
  <w:abstractNum w:abstractNumId="34">
    <w:nsid w:val="FC74F208"/>
    <w:multiLevelType w:val="singleLevel"/>
    <w:tmpl w:val="FC74F208"/>
    <w:lvl w:ilvl="0" w:tentative="0">
      <w:start w:val="1"/>
      <w:numFmt w:val="decimal"/>
      <w:suff w:val="nothing"/>
      <w:lvlText w:val="%1）"/>
      <w:lvlJc w:val="left"/>
    </w:lvl>
  </w:abstractNum>
  <w:abstractNum w:abstractNumId="35">
    <w:nsid w:val="FEBBF090"/>
    <w:multiLevelType w:val="singleLevel"/>
    <w:tmpl w:val="FEBBF090"/>
    <w:lvl w:ilvl="0" w:tentative="0">
      <w:start w:val="1"/>
      <w:numFmt w:val="decimal"/>
      <w:suff w:val="nothing"/>
      <w:lvlText w:val="（%1）"/>
      <w:lvlJc w:val="left"/>
    </w:lvl>
  </w:abstractNum>
  <w:abstractNum w:abstractNumId="36">
    <w:nsid w:val="FF5778C1"/>
    <w:multiLevelType w:val="singleLevel"/>
    <w:tmpl w:val="FF5778C1"/>
    <w:lvl w:ilvl="0" w:tentative="0">
      <w:start w:val="1"/>
      <w:numFmt w:val="decimal"/>
      <w:suff w:val="nothing"/>
      <w:lvlText w:val="（%1）"/>
      <w:lvlJc w:val="left"/>
    </w:lvl>
  </w:abstractNum>
  <w:abstractNum w:abstractNumId="37">
    <w:nsid w:val="FFFF50D9"/>
    <w:multiLevelType w:val="singleLevel"/>
    <w:tmpl w:val="FFFF50D9"/>
    <w:lvl w:ilvl="0" w:tentative="0">
      <w:start w:val="1"/>
      <w:numFmt w:val="decimal"/>
      <w:suff w:val="nothing"/>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4C14F343"/>
    <w:multiLevelType w:val="singleLevel"/>
    <w:tmpl w:val="4C14F343"/>
    <w:lvl w:ilvl="0" w:tentative="0">
      <w:start w:val="1"/>
      <w:numFmt w:val="decimal"/>
      <w:lvlText w:val="%1."/>
      <w:lvlJc w:val="left"/>
      <w:pPr>
        <w:tabs>
          <w:tab w:val="left" w:pos="312"/>
        </w:tabs>
      </w:pPr>
    </w:lvl>
  </w:abstractNum>
  <w:abstractNum w:abstractNumId="45">
    <w:nsid w:val="56F2D59C"/>
    <w:multiLevelType w:val="singleLevel"/>
    <w:tmpl w:val="56F2D59C"/>
    <w:lvl w:ilvl="0" w:tentative="0">
      <w:start w:val="1"/>
      <w:numFmt w:val="decimal"/>
      <w:lvlText w:val="%1."/>
      <w:lvlJc w:val="left"/>
      <w:pPr>
        <w:tabs>
          <w:tab w:val="left" w:pos="312"/>
        </w:tabs>
      </w:pPr>
    </w:lvl>
  </w:abstractNum>
  <w:abstractNum w:abstractNumId="46">
    <w:nsid w:val="757EC989"/>
    <w:multiLevelType w:val="singleLevel"/>
    <w:tmpl w:val="757EC989"/>
    <w:lvl w:ilvl="0" w:tentative="0">
      <w:start w:val="1"/>
      <w:numFmt w:val="decimal"/>
      <w:lvlText w:val="%1."/>
      <w:lvlJc w:val="left"/>
      <w:pPr>
        <w:tabs>
          <w:tab w:val="left" w:pos="312"/>
        </w:tabs>
      </w:pPr>
    </w:lvl>
  </w:abstractNum>
  <w:abstractNum w:abstractNumId="47">
    <w:nsid w:val="7DEC296E"/>
    <w:multiLevelType w:val="singleLevel"/>
    <w:tmpl w:val="7DEC296E"/>
    <w:lvl w:ilvl="0" w:tentative="0">
      <w:start w:val="1"/>
      <w:numFmt w:val="decimal"/>
      <w:suff w:val="space"/>
      <w:lvlText w:val="(%1)"/>
      <w:lvlJc w:val="left"/>
    </w:lvl>
  </w:abstractNum>
  <w:abstractNum w:abstractNumId="48">
    <w:nsid w:val="7E092ABC"/>
    <w:multiLevelType w:val="singleLevel"/>
    <w:tmpl w:val="7E092ABC"/>
    <w:lvl w:ilvl="0" w:tentative="0">
      <w:start w:val="1"/>
      <w:numFmt w:val="decimal"/>
      <w:lvlText w:val="%1."/>
      <w:lvlJc w:val="left"/>
      <w:pPr>
        <w:tabs>
          <w:tab w:val="left" w:pos="312"/>
        </w:tabs>
      </w:pPr>
    </w:lvl>
  </w:abstractNum>
  <w:abstractNum w:abstractNumId="49">
    <w:nsid w:val="7FFD534B"/>
    <w:multiLevelType w:val="singleLevel"/>
    <w:tmpl w:val="7FFD534B"/>
    <w:lvl w:ilvl="0" w:tentative="0">
      <w:start w:val="1"/>
      <w:numFmt w:val="decimal"/>
      <w:suff w:val="nothing"/>
      <w:lvlText w:val="%1）"/>
      <w:lvlJc w:val="left"/>
    </w:lvl>
  </w:abstractNum>
  <w:num w:numId="1">
    <w:abstractNumId w:val="49"/>
  </w:num>
  <w:num w:numId="2">
    <w:abstractNumId w:val="29"/>
  </w:num>
  <w:num w:numId="3">
    <w:abstractNumId w:val="23"/>
  </w:num>
  <w:num w:numId="4">
    <w:abstractNumId w:val="22"/>
  </w:num>
  <w:num w:numId="5">
    <w:abstractNumId w:val="34"/>
  </w:num>
  <w:num w:numId="6">
    <w:abstractNumId w:val="20"/>
  </w:num>
  <w:num w:numId="7">
    <w:abstractNumId w:val="15"/>
  </w:num>
  <w:num w:numId="8">
    <w:abstractNumId w:val="30"/>
  </w:num>
  <w:num w:numId="9">
    <w:abstractNumId w:val="14"/>
  </w:num>
  <w:num w:numId="10">
    <w:abstractNumId w:val="38"/>
  </w:num>
  <w:num w:numId="11">
    <w:abstractNumId w:val="26"/>
  </w:num>
  <w:num w:numId="12">
    <w:abstractNumId w:val="5"/>
  </w:num>
  <w:num w:numId="13">
    <w:abstractNumId w:val="37"/>
  </w:num>
  <w:num w:numId="14">
    <w:abstractNumId w:val="31"/>
  </w:num>
  <w:num w:numId="15">
    <w:abstractNumId w:val="28"/>
  </w:num>
  <w:num w:numId="16">
    <w:abstractNumId w:val="6"/>
  </w:num>
  <w:num w:numId="17">
    <w:abstractNumId w:val="42"/>
  </w:num>
  <w:num w:numId="18">
    <w:abstractNumId w:val="19"/>
  </w:num>
  <w:num w:numId="19">
    <w:abstractNumId w:val="32"/>
  </w:num>
  <w:num w:numId="20">
    <w:abstractNumId w:val="47"/>
  </w:num>
  <w:num w:numId="21">
    <w:abstractNumId w:val="35"/>
  </w:num>
  <w:num w:numId="22">
    <w:abstractNumId w:val="25"/>
  </w:num>
  <w:num w:numId="23">
    <w:abstractNumId w:val="36"/>
  </w:num>
  <w:num w:numId="24">
    <w:abstractNumId w:val="2"/>
  </w:num>
  <w:num w:numId="25">
    <w:abstractNumId w:val="18"/>
  </w:num>
  <w:num w:numId="26">
    <w:abstractNumId w:val="27"/>
  </w:num>
  <w:num w:numId="27">
    <w:abstractNumId w:val="10"/>
  </w:num>
  <w:num w:numId="28">
    <w:abstractNumId w:val="0"/>
  </w:num>
  <w:num w:numId="29">
    <w:abstractNumId w:val="21"/>
  </w:num>
  <w:num w:numId="30">
    <w:abstractNumId w:val="8"/>
  </w:num>
  <w:num w:numId="31">
    <w:abstractNumId w:val="48"/>
  </w:num>
  <w:num w:numId="32">
    <w:abstractNumId w:val="44"/>
  </w:num>
  <w:num w:numId="33">
    <w:abstractNumId w:val="13"/>
  </w:num>
  <w:num w:numId="34">
    <w:abstractNumId w:val="1"/>
  </w:num>
  <w:num w:numId="35">
    <w:abstractNumId w:val="3"/>
  </w:num>
  <w:num w:numId="36">
    <w:abstractNumId w:val="11"/>
  </w:num>
  <w:num w:numId="37">
    <w:abstractNumId w:val="7"/>
  </w:num>
  <w:num w:numId="38">
    <w:abstractNumId w:val="40"/>
  </w:num>
  <w:num w:numId="39">
    <w:abstractNumId w:val="41"/>
  </w:num>
  <w:num w:numId="40">
    <w:abstractNumId w:val="17"/>
  </w:num>
  <w:num w:numId="41">
    <w:abstractNumId w:val="24"/>
  </w:num>
  <w:num w:numId="42">
    <w:abstractNumId w:val="46"/>
  </w:num>
  <w:num w:numId="43">
    <w:abstractNumId w:val="9"/>
  </w:num>
  <w:num w:numId="44">
    <w:abstractNumId w:val="16"/>
  </w:num>
  <w:num w:numId="45">
    <w:abstractNumId w:val="39"/>
  </w:num>
  <w:num w:numId="46">
    <w:abstractNumId w:val="12"/>
  </w:num>
  <w:num w:numId="47">
    <w:abstractNumId w:val="45"/>
  </w:num>
  <w:num w:numId="48">
    <w:abstractNumId w:val="33"/>
  </w:num>
  <w:num w:numId="49">
    <w:abstractNumId w:val="4"/>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4FC137"/>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4FC9AB"/>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7F43A5"/>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CF781E"/>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BF410EC"/>
    <w:rsid w:val="1C6C107F"/>
    <w:rsid w:val="1C7907D8"/>
    <w:rsid w:val="1C8C1C42"/>
    <w:rsid w:val="1CD01A40"/>
    <w:rsid w:val="1CED6696"/>
    <w:rsid w:val="1D765061"/>
    <w:rsid w:val="1D8FAC2A"/>
    <w:rsid w:val="1DBFC0CA"/>
    <w:rsid w:val="1DBFC502"/>
    <w:rsid w:val="1E060722"/>
    <w:rsid w:val="1E385DC6"/>
    <w:rsid w:val="1E392EFE"/>
    <w:rsid w:val="1E5EA3BE"/>
    <w:rsid w:val="1EA428C0"/>
    <w:rsid w:val="1EE9111B"/>
    <w:rsid w:val="1EF7E7FB"/>
    <w:rsid w:val="1EFE16DD"/>
    <w:rsid w:val="1EFEDFF0"/>
    <w:rsid w:val="1EFF2D39"/>
    <w:rsid w:val="1F1707DB"/>
    <w:rsid w:val="1F17128B"/>
    <w:rsid w:val="1F6D55C9"/>
    <w:rsid w:val="1F7E4881"/>
    <w:rsid w:val="1F916079"/>
    <w:rsid w:val="1FA755B8"/>
    <w:rsid w:val="1FAF2A7F"/>
    <w:rsid w:val="1FBFB630"/>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3A93A"/>
    <w:rsid w:val="25D43A2E"/>
    <w:rsid w:val="267F80D5"/>
    <w:rsid w:val="268B2799"/>
    <w:rsid w:val="26F370C3"/>
    <w:rsid w:val="26FDF648"/>
    <w:rsid w:val="2736784B"/>
    <w:rsid w:val="27471306"/>
    <w:rsid w:val="2768436E"/>
    <w:rsid w:val="276C534E"/>
    <w:rsid w:val="276F1EA6"/>
    <w:rsid w:val="27772B79"/>
    <w:rsid w:val="27784E65"/>
    <w:rsid w:val="27911059"/>
    <w:rsid w:val="27B35ABD"/>
    <w:rsid w:val="27E88325"/>
    <w:rsid w:val="27EB8484"/>
    <w:rsid w:val="28317FF6"/>
    <w:rsid w:val="28993AD6"/>
    <w:rsid w:val="29FD0689"/>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3DFBCC1"/>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1EA74F"/>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AFFCB5C"/>
    <w:rsid w:val="3B434590"/>
    <w:rsid w:val="3B7FF4E9"/>
    <w:rsid w:val="3B8064B4"/>
    <w:rsid w:val="3B8D206C"/>
    <w:rsid w:val="3B9FE574"/>
    <w:rsid w:val="3BBE44F4"/>
    <w:rsid w:val="3BBF18AD"/>
    <w:rsid w:val="3BBFDC60"/>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7441A"/>
    <w:rsid w:val="3DAD997E"/>
    <w:rsid w:val="3DB994CD"/>
    <w:rsid w:val="3DC71727"/>
    <w:rsid w:val="3DDE1CF1"/>
    <w:rsid w:val="3DE5A603"/>
    <w:rsid w:val="3DFA6A71"/>
    <w:rsid w:val="3DFB957C"/>
    <w:rsid w:val="3DFD5293"/>
    <w:rsid w:val="3DFE2B3A"/>
    <w:rsid w:val="3DFF7D35"/>
    <w:rsid w:val="3E1B7A50"/>
    <w:rsid w:val="3E2D1EA8"/>
    <w:rsid w:val="3E56FE92"/>
    <w:rsid w:val="3E5F61F9"/>
    <w:rsid w:val="3E65EE1E"/>
    <w:rsid w:val="3E6B0792"/>
    <w:rsid w:val="3E7DAD9D"/>
    <w:rsid w:val="3E8F9150"/>
    <w:rsid w:val="3E9DAC55"/>
    <w:rsid w:val="3E9F0310"/>
    <w:rsid w:val="3EAB18E0"/>
    <w:rsid w:val="3EAFE6E2"/>
    <w:rsid w:val="3EBFAF27"/>
    <w:rsid w:val="3ED86198"/>
    <w:rsid w:val="3EF20CA1"/>
    <w:rsid w:val="3EFEE166"/>
    <w:rsid w:val="3EFF472E"/>
    <w:rsid w:val="3EFF8C17"/>
    <w:rsid w:val="3EFF9314"/>
    <w:rsid w:val="3F37FDE6"/>
    <w:rsid w:val="3F5EF801"/>
    <w:rsid w:val="3F67295F"/>
    <w:rsid w:val="3F6C9079"/>
    <w:rsid w:val="3F71FC7C"/>
    <w:rsid w:val="3F73C670"/>
    <w:rsid w:val="3F767656"/>
    <w:rsid w:val="3F7DDC64"/>
    <w:rsid w:val="3F7E363A"/>
    <w:rsid w:val="3F7F291C"/>
    <w:rsid w:val="3F7F5186"/>
    <w:rsid w:val="3F7F6A4A"/>
    <w:rsid w:val="3F7FCA3C"/>
    <w:rsid w:val="3F887E3A"/>
    <w:rsid w:val="3F8BD84F"/>
    <w:rsid w:val="3F9EBBAC"/>
    <w:rsid w:val="3FADA4EE"/>
    <w:rsid w:val="3FAF945C"/>
    <w:rsid w:val="3FB43636"/>
    <w:rsid w:val="3FB752AA"/>
    <w:rsid w:val="3FBA04AA"/>
    <w:rsid w:val="3FBF0735"/>
    <w:rsid w:val="3FBF242D"/>
    <w:rsid w:val="3FCA805C"/>
    <w:rsid w:val="3FD3AC1E"/>
    <w:rsid w:val="3FD7A3D5"/>
    <w:rsid w:val="3FD859EE"/>
    <w:rsid w:val="3FDCB2A8"/>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3DFE2E1"/>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3E47E2"/>
    <w:rsid w:val="4B444A88"/>
    <w:rsid w:val="4B8A0446"/>
    <w:rsid w:val="4BBF54FB"/>
    <w:rsid w:val="4BBFDFF1"/>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12EAD1"/>
    <w:rsid w:val="4F3F155C"/>
    <w:rsid w:val="4F65E1B0"/>
    <w:rsid w:val="4F66375F"/>
    <w:rsid w:val="4F75D49C"/>
    <w:rsid w:val="4F7FFD85"/>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5FF0AF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7FE29A"/>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BDB6A6"/>
    <w:rsid w:val="5EBF2FC8"/>
    <w:rsid w:val="5EBF4372"/>
    <w:rsid w:val="5EEF85F7"/>
    <w:rsid w:val="5EF53F04"/>
    <w:rsid w:val="5EF54FB1"/>
    <w:rsid w:val="5EFF4E05"/>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9D1831"/>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DF7F9"/>
    <w:rsid w:val="5FFF2183"/>
    <w:rsid w:val="5FFF6563"/>
    <w:rsid w:val="5FFF6B7B"/>
    <w:rsid w:val="5FFF8742"/>
    <w:rsid w:val="6003098E"/>
    <w:rsid w:val="603339C4"/>
    <w:rsid w:val="606D50B0"/>
    <w:rsid w:val="60FF51F7"/>
    <w:rsid w:val="617D0AF9"/>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E6145F"/>
    <w:rsid w:val="69F22AE2"/>
    <w:rsid w:val="69FD9EE9"/>
    <w:rsid w:val="6A6B345F"/>
    <w:rsid w:val="6A7FF237"/>
    <w:rsid w:val="6ADF05E2"/>
    <w:rsid w:val="6B677268"/>
    <w:rsid w:val="6B7BF71E"/>
    <w:rsid w:val="6B7DF15A"/>
    <w:rsid w:val="6BB25535"/>
    <w:rsid w:val="6BB66E44"/>
    <w:rsid w:val="6BBB7AC0"/>
    <w:rsid w:val="6BC5F62E"/>
    <w:rsid w:val="6BCBB934"/>
    <w:rsid w:val="6BDCAE70"/>
    <w:rsid w:val="6BDDA4F3"/>
    <w:rsid w:val="6BEE66F0"/>
    <w:rsid w:val="6BFA8812"/>
    <w:rsid w:val="6BFC685A"/>
    <w:rsid w:val="6BFDEA60"/>
    <w:rsid w:val="6BFF4609"/>
    <w:rsid w:val="6C522B9B"/>
    <w:rsid w:val="6C907204"/>
    <w:rsid w:val="6C9474B4"/>
    <w:rsid w:val="6C967A0D"/>
    <w:rsid w:val="6CB7CFA5"/>
    <w:rsid w:val="6CE335B9"/>
    <w:rsid w:val="6CFB2EF1"/>
    <w:rsid w:val="6D1D4F10"/>
    <w:rsid w:val="6D250DCB"/>
    <w:rsid w:val="6D6F9591"/>
    <w:rsid w:val="6D7EC9CB"/>
    <w:rsid w:val="6D857548"/>
    <w:rsid w:val="6D86F8DB"/>
    <w:rsid w:val="6D951588"/>
    <w:rsid w:val="6DB00D21"/>
    <w:rsid w:val="6DBB7EC7"/>
    <w:rsid w:val="6DBE126F"/>
    <w:rsid w:val="6DCD72AE"/>
    <w:rsid w:val="6DDF87D7"/>
    <w:rsid w:val="6DE63E59"/>
    <w:rsid w:val="6DF57A60"/>
    <w:rsid w:val="6DFE6EE4"/>
    <w:rsid w:val="6DFF6720"/>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56E40A"/>
    <w:rsid w:val="6F6757E7"/>
    <w:rsid w:val="6F7724CA"/>
    <w:rsid w:val="6F787B1F"/>
    <w:rsid w:val="6F7F6D99"/>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5F70A4"/>
    <w:rsid w:val="73761A7E"/>
    <w:rsid w:val="737BF074"/>
    <w:rsid w:val="739BC437"/>
    <w:rsid w:val="73BB2919"/>
    <w:rsid w:val="73D73FE6"/>
    <w:rsid w:val="73DBE018"/>
    <w:rsid w:val="73DFA0D8"/>
    <w:rsid w:val="73E79625"/>
    <w:rsid w:val="73EFC94A"/>
    <w:rsid w:val="73F473F3"/>
    <w:rsid w:val="73FB0EAC"/>
    <w:rsid w:val="73FF1A0B"/>
    <w:rsid w:val="7459099B"/>
    <w:rsid w:val="7494705F"/>
    <w:rsid w:val="749531F1"/>
    <w:rsid w:val="74BF3D60"/>
    <w:rsid w:val="74DFE8F0"/>
    <w:rsid w:val="74E220C3"/>
    <w:rsid w:val="74F940B0"/>
    <w:rsid w:val="74FE4F2E"/>
    <w:rsid w:val="74FF7E59"/>
    <w:rsid w:val="759A6884"/>
    <w:rsid w:val="75AF9FD1"/>
    <w:rsid w:val="75C418BE"/>
    <w:rsid w:val="75D7ED9B"/>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EF8A2F"/>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D25EA"/>
    <w:rsid w:val="77BDD126"/>
    <w:rsid w:val="77BEFE31"/>
    <w:rsid w:val="77BFFF00"/>
    <w:rsid w:val="77C32AB1"/>
    <w:rsid w:val="77D7F243"/>
    <w:rsid w:val="77DDA115"/>
    <w:rsid w:val="77DEF566"/>
    <w:rsid w:val="77DF0688"/>
    <w:rsid w:val="77DFA599"/>
    <w:rsid w:val="77DFF0E0"/>
    <w:rsid w:val="77E59552"/>
    <w:rsid w:val="77E7090D"/>
    <w:rsid w:val="77EB967D"/>
    <w:rsid w:val="77EDBCCD"/>
    <w:rsid w:val="77EE861F"/>
    <w:rsid w:val="77F3933A"/>
    <w:rsid w:val="77F5979E"/>
    <w:rsid w:val="77F72283"/>
    <w:rsid w:val="77F746B9"/>
    <w:rsid w:val="77FBB150"/>
    <w:rsid w:val="77FD1D15"/>
    <w:rsid w:val="77FDDBD4"/>
    <w:rsid w:val="77FED3EC"/>
    <w:rsid w:val="77FEDEA8"/>
    <w:rsid w:val="77FF283B"/>
    <w:rsid w:val="77FF3AA5"/>
    <w:rsid w:val="77FF98F5"/>
    <w:rsid w:val="77FFB941"/>
    <w:rsid w:val="77FFFBF8"/>
    <w:rsid w:val="78746DE5"/>
    <w:rsid w:val="787FD11B"/>
    <w:rsid w:val="78B6C054"/>
    <w:rsid w:val="78D229D3"/>
    <w:rsid w:val="78DEFDB8"/>
    <w:rsid w:val="78FF7ECA"/>
    <w:rsid w:val="7905501C"/>
    <w:rsid w:val="79BD698B"/>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DCF984"/>
    <w:rsid w:val="7AEC3F8C"/>
    <w:rsid w:val="7AEF0112"/>
    <w:rsid w:val="7AF710AF"/>
    <w:rsid w:val="7AFDCF37"/>
    <w:rsid w:val="7AFF9914"/>
    <w:rsid w:val="7AFFF548"/>
    <w:rsid w:val="7B0C08F4"/>
    <w:rsid w:val="7B270047"/>
    <w:rsid w:val="7B473217"/>
    <w:rsid w:val="7B4F894C"/>
    <w:rsid w:val="7B762DFC"/>
    <w:rsid w:val="7B7F6925"/>
    <w:rsid w:val="7B8DFF42"/>
    <w:rsid w:val="7B933F3B"/>
    <w:rsid w:val="7B9DA310"/>
    <w:rsid w:val="7B9FF531"/>
    <w:rsid w:val="7BA7D77C"/>
    <w:rsid w:val="7BAF0492"/>
    <w:rsid w:val="7BB3A8B2"/>
    <w:rsid w:val="7BBB92A0"/>
    <w:rsid w:val="7BBBBBE6"/>
    <w:rsid w:val="7BBF971D"/>
    <w:rsid w:val="7BCBE7ED"/>
    <w:rsid w:val="7BE722D6"/>
    <w:rsid w:val="7BE7CF53"/>
    <w:rsid w:val="7BF138E5"/>
    <w:rsid w:val="7BF63B49"/>
    <w:rsid w:val="7BFB47B7"/>
    <w:rsid w:val="7BFD58CB"/>
    <w:rsid w:val="7BFE65DA"/>
    <w:rsid w:val="7BFE794F"/>
    <w:rsid w:val="7BFE8495"/>
    <w:rsid w:val="7BFE8C9B"/>
    <w:rsid w:val="7BFE9F08"/>
    <w:rsid w:val="7BFEDF4A"/>
    <w:rsid w:val="7BFF0856"/>
    <w:rsid w:val="7BFF40E0"/>
    <w:rsid w:val="7BFF5E07"/>
    <w:rsid w:val="7BFF7920"/>
    <w:rsid w:val="7BFF8C87"/>
    <w:rsid w:val="7C191951"/>
    <w:rsid w:val="7C556335"/>
    <w:rsid w:val="7C5DED16"/>
    <w:rsid w:val="7C7FA109"/>
    <w:rsid w:val="7C8D26E4"/>
    <w:rsid w:val="7C9B773D"/>
    <w:rsid w:val="7CAF2D9C"/>
    <w:rsid w:val="7CB6EA4F"/>
    <w:rsid w:val="7CB70741"/>
    <w:rsid w:val="7CF7C701"/>
    <w:rsid w:val="7CFB049E"/>
    <w:rsid w:val="7CFEBB7E"/>
    <w:rsid w:val="7CFF62A4"/>
    <w:rsid w:val="7D1B874F"/>
    <w:rsid w:val="7D2F871F"/>
    <w:rsid w:val="7D3067F4"/>
    <w:rsid w:val="7D5DD01D"/>
    <w:rsid w:val="7D7C1EBA"/>
    <w:rsid w:val="7D7F04E5"/>
    <w:rsid w:val="7DAF7496"/>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5BDBE7"/>
    <w:rsid w:val="7E67DCF9"/>
    <w:rsid w:val="7E684C17"/>
    <w:rsid w:val="7E75D461"/>
    <w:rsid w:val="7E777088"/>
    <w:rsid w:val="7E7E7809"/>
    <w:rsid w:val="7E7EEC4B"/>
    <w:rsid w:val="7E7F62A9"/>
    <w:rsid w:val="7E7FED77"/>
    <w:rsid w:val="7E9A36DD"/>
    <w:rsid w:val="7EA5049A"/>
    <w:rsid w:val="7EA66245"/>
    <w:rsid w:val="7EA729C5"/>
    <w:rsid w:val="7EB40E9C"/>
    <w:rsid w:val="7EB52E28"/>
    <w:rsid w:val="7EBBAC76"/>
    <w:rsid w:val="7EBF7998"/>
    <w:rsid w:val="7EBF9B1F"/>
    <w:rsid w:val="7EBFFC36"/>
    <w:rsid w:val="7EC0284A"/>
    <w:rsid w:val="7EC6CDB1"/>
    <w:rsid w:val="7ECCB299"/>
    <w:rsid w:val="7ECE3379"/>
    <w:rsid w:val="7EDD4060"/>
    <w:rsid w:val="7EDF31A0"/>
    <w:rsid w:val="7EDF6D08"/>
    <w:rsid w:val="7EEA7BDF"/>
    <w:rsid w:val="7EED5D0E"/>
    <w:rsid w:val="7EEE7FE4"/>
    <w:rsid w:val="7EEEEBDA"/>
    <w:rsid w:val="7EEFA524"/>
    <w:rsid w:val="7EF6734E"/>
    <w:rsid w:val="7EF67D28"/>
    <w:rsid w:val="7EF7F35D"/>
    <w:rsid w:val="7EFB2CE3"/>
    <w:rsid w:val="7EFD6A6A"/>
    <w:rsid w:val="7EFD8533"/>
    <w:rsid w:val="7EFDE5B3"/>
    <w:rsid w:val="7EFF0B2E"/>
    <w:rsid w:val="7EFF4598"/>
    <w:rsid w:val="7EFFA8CD"/>
    <w:rsid w:val="7EFFCB90"/>
    <w:rsid w:val="7EFFD53B"/>
    <w:rsid w:val="7F166E11"/>
    <w:rsid w:val="7F1701B1"/>
    <w:rsid w:val="7F1B24BE"/>
    <w:rsid w:val="7F374FF0"/>
    <w:rsid w:val="7F3B289C"/>
    <w:rsid w:val="7F3F6B7B"/>
    <w:rsid w:val="7F490149"/>
    <w:rsid w:val="7F4BD664"/>
    <w:rsid w:val="7F4C3CDD"/>
    <w:rsid w:val="7F4D05E1"/>
    <w:rsid w:val="7F564EB8"/>
    <w:rsid w:val="7F5EBE6F"/>
    <w:rsid w:val="7F5ED501"/>
    <w:rsid w:val="7F5F5314"/>
    <w:rsid w:val="7F690514"/>
    <w:rsid w:val="7F6D3133"/>
    <w:rsid w:val="7F6FF6D1"/>
    <w:rsid w:val="7F701A50"/>
    <w:rsid w:val="7F7462AC"/>
    <w:rsid w:val="7F777280"/>
    <w:rsid w:val="7F7B8C45"/>
    <w:rsid w:val="7F7BC6C7"/>
    <w:rsid w:val="7F7C9B66"/>
    <w:rsid w:val="7F7DB458"/>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5D8A"/>
    <w:rsid w:val="7FBB6E60"/>
    <w:rsid w:val="7FBD730D"/>
    <w:rsid w:val="7FBF128D"/>
    <w:rsid w:val="7FBF46E8"/>
    <w:rsid w:val="7FBF65FE"/>
    <w:rsid w:val="7FC5C007"/>
    <w:rsid w:val="7FC5D692"/>
    <w:rsid w:val="7FCF46CD"/>
    <w:rsid w:val="7FCFE5ED"/>
    <w:rsid w:val="7FCFF785"/>
    <w:rsid w:val="7FD782A6"/>
    <w:rsid w:val="7FD79246"/>
    <w:rsid w:val="7FD7FA52"/>
    <w:rsid w:val="7FDB698F"/>
    <w:rsid w:val="7FDBAF00"/>
    <w:rsid w:val="7FDC345A"/>
    <w:rsid w:val="7FDDF4D9"/>
    <w:rsid w:val="7FDE065F"/>
    <w:rsid w:val="7FDF17DC"/>
    <w:rsid w:val="7FDF777F"/>
    <w:rsid w:val="7FDF9BCB"/>
    <w:rsid w:val="7FDFF045"/>
    <w:rsid w:val="7FE14CD4"/>
    <w:rsid w:val="7FE35AF9"/>
    <w:rsid w:val="7FE3E2F9"/>
    <w:rsid w:val="7FE4A5DD"/>
    <w:rsid w:val="7FEAAAC8"/>
    <w:rsid w:val="7FEB36E9"/>
    <w:rsid w:val="7FEC221A"/>
    <w:rsid w:val="7FEFA816"/>
    <w:rsid w:val="7FEFAAE4"/>
    <w:rsid w:val="7FEFC59B"/>
    <w:rsid w:val="7FEFE58F"/>
    <w:rsid w:val="7FF126FC"/>
    <w:rsid w:val="7FF1CC14"/>
    <w:rsid w:val="7FF283F0"/>
    <w:rsid w:val="7FF35250"/>
    <w:rsid w:val="7FF37141"/>
    <w:rsid w:val="7FF39F01"/>
    <w:rsid w:val="7FF4AE70"/>
    <w:rsid w:val="7FF54A62"/>
    <w:rsid w:val="7FF58BEF"/>
    <w:rsid w:val="7FF5B9B9"/>
    <w:rsid w:val="7FF6A152"/>
    <w:rsid w:val="7FF71B51"/>
    <w:rsid w:val="7FF760ED"/>
    <w:rsid w:val="7FF7CDAA"/>
    <w:rsid w:val="7FF7EE23"/>
    <w:rsid w:val="7FFB0078"/>
    <w:rsid w:val="7FFB00C7"/>
    <w:rsid w:val="7FFB2FAA"/>
    <w:rsid w:val="7FFB647C"/>
    <w:rsid w:val="7FFB785D"/>
    <w:rsid w:val="7FFB8326"/>
    <w:rsid w:val="7FFCF52C"/>
    <w:rsid w:val="7FFD03C8"/>
    <w:rsid w:val="7FFD434B"/>
    <w:rsid w:val="7FFD6DE7"/>
    <w:rsid w:val="7FFD7FC3"/>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926EC6"/>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7F34AEF"/>
    <w:rsid w:val="9997EF35"/>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7FBA3"/>
    <w:rsid w:val="9DF9979C"/>
    <w:rsid w:val="9DFEADE1"/>
    <w:rsid w:val="9DFF44D7"/>
    <w:rsid w:val="9DFFBBCD"/>
    <w:rsid w:val="9E2F2238"/>
    <w:rsid w:val="9E9D9867"/>
    <w:rsid w:val="9EDE2AE3"/>
    <w:rsid w:val="9F3A62A6"/>
    <w:rsid w:val="9F9FAE56"/>
    <w:rsid w:val="9FAAF56C"/>
    <w:rsid w:val="9FBF9D7D"/>
    <w:rsid w:val="9FDD030E"/>
    <w:rsid w:val="9FDD22FB"/>
    <w:rsid w:val="9FDF64D0"/>
    <w:rsid w:val="9FDF76F0"/>
    <w:rsid w:val="9FE74EFC"/>
    <w:rsid w:val="9FE826C2"/>
    <w:rsid w:val="9FEF3C92"/>
    <w:rsid w:val="9FF3C3C0"/>
    <w:rsid w:val="A36FD013"/>
    <w:rsid w:val="A5D31DBE"/>
    <w:rsid w:val="A77F4607"/>
    <w:rsid w:val="A7FF53A1"/>
    <w:rsid w:val="A97F177B"/>
    <w:rsid w:val="AAE7C279"/>
    <w:rsid w:val="AB5FD4FB"/>
    <w:rsid w:val="AB7A9E50"/>
    <w:rsid w:val="AB7BA50B"/>
    <w:rsid w:val="ABE77582"/>
    <w:rsid w:val="ABFD9FCE"/>
    <w:rsid w:val="ABFDD93A"/>
    <w:rsid w:val="ABFFFF20"/>
    <w:rsid w:val="AC5BFD87"/>
    <w:rsid w:val="AC7F3EFE"/>
    <w:rsid w:val="ACFDA144"/>
    <w:rsid w:val="AD6508BC"/>
    <w:rsid w:val="AD731A41"/>
    <w:rsid w:val="ADED7ACE"/>
    <w:rsid w:val="ADFBF6B4"/>
    <w:rsid w:val="ADFFC455"/>
    <w:rsid w:val="AEF9A464"/>
    <w:rsid w:val="AEFAE74D"/>
    <w:rsid w:val="AF4AE082"/>
    <w:rsid w:val="AF7ECCFF"/>
    <w:rsid w:val="AFAF9E8E"/>
    <w:rsid w:val="AFB3E272"/>
    <w:rsid w:val="AFBBF37D"/>
    <w:rsid w:val="AFDE2926"/>
    <w:rsid w:val="AFEFB96D"/>
    <w:rsid w:val="AFFB00C9"/>
    <w:rsid w:val="AFFBA072"/>
    <w:rsid w:val="AFFDA3EB"/>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78C3F"/>
    <w:rsid w:val="BB7D7ACF"/>
    <w:rsid w:val="BB7FBD5F"/>
    <w:rsid w:val="BB9B5D46"/>
    <w:rsid w:val="BBBD4418"/>
    <w:rsid w:val="BBBFED61"/>
    <w:rsid w:val="BBD6ACF3"/>
    <w:rsid w:val="BBDD305F"/>
    <w:rsid w:val="BBEF261B"/>
    <w:rsid w:val="BBEFE667"/>
    <w:rsid w:val="BBF496C6"/>
    <w:rsid w:val="BBFB6D02"/>
    <w:rsid w:val="BC5E3C7F"/>
    <w:rsid w:val="BC73DD5B"/>
    <w:rsid w:val="BC95C367"/>
    <w:rsid w:val="BCAF1C44"/>
    <w:rsid w:val="BCB79680"/>
    <w:rsid w:val="BCCD67A5"/>
    <w:rsid w:val="BCD5E4DA"/>
    <w:rsid w:val="BCED3D13"/>
    <w:rsid w:val="BCEED4F7"/>
    <w:rsid w:val="BD3FBDD0"/>
    <w:rsid w:val="BD535B1C"/>
    <w:rsid w:val="BD5FCAC2"/>
    <w:rsid w:val="BD777E06"/>
    <w:rsid w:val="BD912FC3"/>
    <w:rsid w:val="BDDFEDDE"/>
    <w:rsid w:val="BDF242FC"/>
    <w:rsid w:val="BDF9A901"/>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7FB80E"/>
    <w:rsid w:val="BF9ED908"/>
    <w:rsid w:val="BFB28CA5"/>
    <w:rsid w:val="BFB5EC12"/>
    <w:rsid w:val="BFBE4404"/>
    <w:rsid w:val="BFBEE69E"/>
    <w:rsid w:val="BFBF56C5"/>
    <w:rsid w:val="BFCFF33F"/>
    <w:rsid w:val="BFD2E4F5"/>
    <w:rsid w:val="BFDAFEF1"/>
    <w:rsid w:val="BFDBD17E"/>
    <w:rsid w:val="BFDDDFFA"/>
    <w:rsid w:val="BFDFCF6F"/>
    <w:rsid w:val="BFEBE407"/>
    <w:rsid w:val="BFF02670"/>
    <w:rsid w:val="BFF590DD"/>
    <w:rsid w:val="BFF6A232"/>
    <w:rsid w:val="BFF72883"/>
    <w:rsid w:val="BFF74BFC"/>
    <w:rsid w:val="BFFA81D8"/>
    <w:rsid w:val="BFFB0211"/>
    <w:rsid w:val="BFFD5722"/>
    <w:rsid w:val="BFFD7427"/>
    <w:rsid w:val="BFFE233E"/>
    <w:rsid w:val="BFFE7CC2"/>
    <w:rsid w:val="BFFED776"/>
    <w:rsid w:val="C34D65C1"/>
    <w:rsid w:val="C5BB27A5"/>
    <w:rsid w:val="C6BF10A5"/>
    <w:rsid w:val="C6EDB74E"/>
    <w:rsid w:val="C7B41E1C"/>
    <w:rsid w:val="C7DDE9FF"/>
    <w:rsid w:val="C7FFE71A"/>
    <w:rsid w:val="C9D7FA45"/>
    <w:rsid w:val="CB5EA770"/>
    <w:rsid w:val="CB9F3FC4"/>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E9461E"/>
    <w:rsid w:val="CFF98620"/>
    <w:rsid w:val="CFFDC2A4"/>
    <w:rsid w:val="CFFFBACC"/>
    <w:rsid w:val="D13E0CBF"/>
    <w:rsid w:val="D15B0EF0"/>
    <w:rsid w:val="D1D60DD3"/>
    <w:rsid w:val="D1D9FFF6"/>
    <w:rsid w:val="D1EB2765"/>
    <w:rsid w:val="D1F9BB59"/>
    <w:rsid w:val="D37664D3"/>
    <w:rsid w:val="D3BA7EAA"/>
    <w:rsid w:val="D3DF5173"/>
    <w:rsid w:val="D4FF2834"/>
    <w:rsid w:val="D4FF9133"/>
    <w:rsid w:val="D57CC64F"/>
    <w:rsid w:val="D5DC3EEF"/>
    <w:rsid w:val="D5DD1FA6"/>
    <w:rsid w:val="D5FE4832"/>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659AEA"/>
    <w:rsid w:val="DB73A9FF"/>
    <w:rsid w:val="DBDD1CF7"/>
    <w:rsid w:val="DBEB8CCC"/>
    <w:rsid w:val="DBEDFB56"/>
    <w:rsid w:val="DBEF5601"/>
    <w:rsid w:val="DBF728EC"/>
    <w:rsid w:val="DBF782C6"/>
    <w:rsid w:val="DBF78712"/>
    <w:rsid w:val="DBFD06F0"/>
    <w:rsid w:val="DBFE4C0B"/>
    <w:rsid w:val="DBFE606A"/>
    <w:rsid w:val="DBFF3CBC"/>
    <w:rsid w:val="DBFF5400"/>
    <w:rsid w:val="DC7BC205"/>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EF39B2"/>
    <w:rsid w:val="DFF4C9BD"/>
    <w:rsid w:val="DFF696AE"/>
    <w:rsid w:val="DFF739C1"/>
    <w:rsid w:val="DFF9001D"/>
    <w:rsid w:val="DFF93F58"/>
    <w:rsid w:val="DFFA9BDD"/>
    <w:rsid w:val="DFFB0175"/>
    <w:rsid w:val="DFFB6D38"/>
    <w:rsid w:val="DFFC13F7"/>
    <w:rsid w:val="DFFD038F"/>
    <w:rsid w:val="DFFE2720"/>
    <w:rsid w:val="DFFF3252"/>
    <w:rsid w:val="DFFF70F1"/>
    <w:rsid w:val="DFFF9D9D"/>
    <w:rsid w:val="DFFFA8AB"/>
    <w:rsid w:val="E0FA2432"/>
    <w:rsid w:val="E1FD7804"/>
    <w:rsid w:val="E37F0848"/>
    <w:rsid w:val="E39F1914"/>
    <w:rsid w:val="E3D766FE"/>
    <w:rsid w:val="E3FE9DB1"/>
    <w:rsid w:val="E47D5950"/>
    <w:rsid w:val="E4DAAEDF"/>
    <w:rsid w:val="E55DFB81"/>
    <w:rsid w:val="E5CAE4E2"/>
    <w:rsid w:val="E5CEDE9B"/>
    <w:rsid w:val="E5FD0BC1"/>
    <w:rsid w:val="E5FFF4D9"/>
    <w:rsid w:val="E636E1FA"/>
    <w:rsid w:val="E679D313"/>
    <w:rsid w:val="E69A994E"/>
    <w:rsid w:val="E6EB41DC"/>
    <w:rsid w:val="E6FDD701"/>
    <w:rsid w:val="E77B6D96"/>
    <w:rsid w:val="E77FD1A9"/>
    <w:rsid w:val="E7B5C8B5"/>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7F390D"/>
    <w:rsid w:val="EAFBAA93"/>
    <w:rsid w:val="EAFF1AF1"/>
    <w:rsid w:val="EB5E3CB2"/>
    <w:rsid w:val="EB69D303"/>
    <w:rsid w:val="EBCA4121"/>
    <w:rsid w:val="EBCE7211"/>
    <w:rsid w:val="EBDBAAB3"/>
    <w:rsid w:val="EBDE81AE"/>
    <w:rsid w:val="EBDF0A43"/>
    <w:rsid w:val="EBEECCB9"/>
    <w:rsid w:val="EBEFA672"/>
    <w:rsid w:val="EBEFD9D0"/>
    <w:rsid w:val="EBF86B2E"/>
    <w:rsid w:val="EBFE8B27"/>
    <w:rsid w:val="EBFFCBDA"/>
    <w:rsid w:val="EC7C262F"/>
    <w:rsid w:val="ECDD891C"/>
    <w:rsid w:val="ED1389A5"/>
    <w:rsid w:val="ED3C087E"/>
    <w:rsid w:val="ED3D0747"/>
    <w:rsid w:val="ED776EC7"/>
    <w:rsid w:val="ED7B9EB2"/>
    <w:rsid w:val="ED7D2F81"/>
    <w:rsid w:val="ED978444"/>
    <w:rsid w:val="EDB23E4B"/>
    <w:rsid w:val="EDDB0315"/>
    <w:rsid w:val="EDDB1ACE"/>
    <w:rsid w:val="EDED3930"/>
    <w:rsid w:val="EDF7289F"/>
    <w:rsid w:val="EDF97518"/>
    <w:rsid w:val="EDFB357A"/>
    <w:rsid w:val="EDFBADD6"/>
    <w:rsid w:val="EDFD7D6E"/>
    <w:rsid w:val="EDFF21D8"/>
    <w:rsid w:val="EE8EFDEC"/>
    <w:rsid w:val="EEAF7242"/>
    <w:rsid w:val="EEDB5E28"/>
    <w:rsid w:val="EEDF28AA"/>
    <w:rsid w:val="EEDFBCFE"/>
    <w:rsid w:val="EEE5EE47"/>
    <w:rsid w:val="EEEED758"/>
    <w:rsid w:val="EEFE8DBE"/>
    <w:rsid w:val="EEFE91C0"/>
    <w:rsid w:val="EEFFE179"/>
    <w:rsid w:val="EF13DE54"/>
    <w:rsid w:val="EF1D0189"/>
    <w:rsid w:val="EF1D531A"/>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7E680"/>
    <w:rsid w:val="EFDEF807"/>
    <w:rsid w:val="EFDF51E2"/>
    <w:rsid w:val="EFF0AC50"/>
    <w:rsid w:val="EFF137AB"/>
    <w:rsid w:val="EFF2AEF5"/>
    <w:rsid w:val="EFF57E73"/>
    <w:rsid w:val="EFF727E7"/>
    <w:rsid w:val="EFFA1918"/>
    <w:rsid w:val="EFFAAB69"/>
    <w:rsid w:val="EFFCC0C1"/>
    <w:rsid w:val="EFFDDCE6"/>
    <w:rsid w:val="EFFE35CC"/>
    <w:rsid w:val="EFFF42A2"/>
    <w:rsid w:val="EFFF8FAE"/>
    <w:rsid w:val="EFFF9FB4"/>
    <w:rsid w:val="EFFFD03D"/>
    <w:rsid w:val="EFFFF399"/>
    <w:rsid w:val="F0EFA174"/>
    <w:rsid w:val="F1662D8A"/>
    <w:rsid w:val="F1AF4E16"/>
    <w:rsid w:val="F1C77922"/>
    <w:rsid w:val="F1D8F34F"/>
    <w:rsid w:val="F1EB14A1"/>
    <w:rsid w:val="F1FECEF6"/>
    <w:rsid w:val="F297A469"/>
    <w:rsid w:val="F2CFD398"/>
    <w:rsid w:val="F3736517"/>
    <w:rsid w:val="F37F1A6B"/>
    <w:rsid w:val="F37F6DD9"/>
    <w:rsid w:val="F3C658AD"/>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F455DC"/>
    <w:rsid w:val="F6F6A11D"/>
    <w:rsid w:val="F6FBA7D2"/>
    <w:rsid w:val="F6FD00E5"/>
    <w:rsid w:val="F6FFA95C"/>
    <w:rsid w:val="F7539ED6"/>
    <w:rsid w:val="F75586CC"/>
    <w:rsid w:val="F757BE1B"/>
    <w:rsid w:val="F77E7B9E"/>
    <w:rsid w:val="F77F4DE8"/>
    <w:rsid w:val="F793C6D1"/>
    <w:rsid w:val="F7953A46"/>
    <w:rsid w:val="F7AB730B"/>
    <w:rsid w:val="F7B7D3B2"/>
    <w:rsid w:val="F7BD1594"/>
    <w:rsid w:val="F7BFA339"/>
    <w:rsid w:val="F7BFBD92"/>
    <w:rsid w:val="F7C51E90"/>
    <w:rsid w:val="F7D8FE52"/>
    <w:rsid w:val="F7DA33A1"/>
    <w:rsid w:val="F7DF06F9"/>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7024"/>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9FF3A9E"/>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142D"/>
    <w:rsid w:val="FBFF8324"/>
    <w:rsid w:val="FBFFB287"/>
    <w:rsid w:val="FBFFBC88"/>
    <w:rsid w:val="FBFFD768"/>
    <w:rsid w:val="FBFFF823"/>
    <w:rsid w:val="FC4FAC31"/>
    <w:rsid w:val="FC7FB26B"/>
    <w:rsid w:val="FCA4100F"/>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B717C"/>
    <w:rsid w:val="FD9F3ACB"/>
    <w:rsid w:val="FD9F88ED"/>
    <w:rsid w:val="FDA39AA1"/>
    <w:rsid w:val="FDA6D35D"/>
    <w:rsid w:val="FDAF1EE6"/>
    <w:rsid w:val="FDB326BF"/>
    <w:rsid w:val="FDB5308D"/>
    <w:rsid w:val="FDB53266"/>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571CBF"/>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EEABF7"/>
    <w:rsid w:val="FEEEE0A9"/>
    <w:rsid w:val="FEF308B5"/>
    <w:rsid w:val="FEF33F68"/>
    <w:rsid w:val="FEF3D17F"/>
    <w:rsid w:val="FEF3E509"/>
    <w:rsid w:val="FEF5E285"/>
    <w:rsid w:val="FEF60562"/>
    <w:rsid w:val="FEF61B71"/>
    <w:rsid w:val="FEFB7326"/>
    <w:rsid w:val="FEFBA8F9"/>
    <w:rsid w:val="FEFBDE7D"/>
    <w:rsid w:val="FEFCF6CB"/>
    <w:rsid w:val="FEFECA47"/>
    <w:rsid w:val="FEFFB0F4"/>
    <w:rsid w:val="FEFFF846"/>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15CB"/>
    <w:rsid w:val="FF7F4F7D"/>
    <w:rsid w:val="FF7F5123"/>
    <w:rsid w:val="FF7F8AF1"/>
    <w:rsid w:val="FF7F9FDA"/>
    <w:rsid w:val="FF852B8F"/>
    <w:rsid w:val="FF973A04"/>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8302"/>
    <w:rsid w:val="FFC7AECA"/>
    <w:rsid w:val="FFCB8E04"/>
    <w:rsid w:val="FFCBEB0E"/>
    <w:rsid w:val="FFCEF076"/>
    <w:rsid w:val="FFCFEACA"/>
    <w:rsid w:val="FFD27586"/>
    <w:rsid w:val="FFD7A005"/>
    <w:rsid w:val="FFDA3A54"/>
    <w:rsid w:val="FFDBC2AB"/>
    <w:rsid w:val="FFDBD5CA"/>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7EB5B"/>
    <w:rsid w:val="FFF89DCC"/>
    <w:rsid w:val="FFF97D85"/>
    <w:rsid w:val="FFFA6A64"/>
    <w:rsid w:val="FFFABAD1"/>
    <w:rsid w:val="FFFACFDD"/>
    <w:rsid w:val="FFFB22C5"/>
    <w:rsid w:val="FFFB341B"/>
    <w:rsid w:val="FFFB431B"/>
    <w:rsid w:val="FFFC4F8A"/>
    <w:rsid w:val="FFFD2FDF"/>
    <w:rsid w:val="FFFEBFCB"/>
    <w:rsid w:val="FFFF24C0"/>
    <w:rsid w:val="FFFF50E8"/>
    <w:rsid w:val="FFFF52C3"/>
    <w:rsid w:val="FFFF655E"/>
    <w:rsid w:val="FFFF6CCF"/>
    <w:rsid w:val="FFFF7481"/>
    <w:rsid w:val="FFFF859F"/>
    <w:rsid w:val="FFFF9DA9"/>
    <w:rsid w:val="FFFFA5C2"/>
    <w:rsid w:val="FFFFB37C"/>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4"/>
    <w:qFormat/>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5">
    <w:name w:val="Normal Indent"/>
    <w:basedOn w:val="1"/>
    <w:qFormat/>
    <w:uiPriority w:val="0"/>
    <w:pPr>
      <w:adjustRightInd w:val="0"/>
      <w:snapToGrid w:val="0"/>
      <w:spacing w:line="360" w:lineRule="atLeast"/>
      <w:ind w:firstLine="200" w:firstLineChars="200"/>
    </w:pPr>
    <w:rPr>
      <w:snapToGrid w:val="0"/>
      <w:kern w:val="0"/>
      <w:sz w:val="24"/>
    </w:rPr>
  </w:style>
  <w:style w:type="character" w:styleId="16">
    <w:name w:val="page number"/>
    <w:qFormat/>
    <w:uiPriority w:val="0"/>
  </w:style>
  <w:style w:type="paragraph" w:styleId="17">
    <w:name w:val="Plain Text"/>
    <w:basedOn w:val="1"/>
    <w:qFormat/>
    <w:uiPriority w:val="0"/>
    <w:rPr>
      <w:rFonts w:ascii="宋体" w:hAnsi="Courier New"/>
      <w:szCs w:val="20"/>
    </w:rPr>
  </w:style>
  <w:style w:type="character" w:styleId="18">
    <w:name w:val="Strong"/>
    <w:basedOn w:val="4"/>
    <w:qFormat/>
    <w:uiPriority w:val="0"/>
    <w:rPr>
      <w:b/>
      <w:bCs/>
    </w:rPr>
  </w:style>
  <w:style w:type="table" w:styleId="1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table" w:customStyle="1" w:styleId="23">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7">
    <w:name w:val="font31"/>
    <w:basedOn w:val="4"/>
    <w:qFormat/>
    <w:uiPriority w:val="0"/>
    <w:rPr>
      <w:rFonts w:hint="default" w:ascii="Times New Roman" w:hAnsi="Times New Roman" w:cs="Times New Roman"/>
      <w:color w:val="000000"/>
      <w:sz w:val="21"/>
      <w:szCs w:val="21"/>
      <w:u w:val="none"/>
    </w:rPr>
  </w:style>
  <w:style w:type="character" w:customStyle="1" w:styleId="28">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55.png"/><Relationship Id="rId95" Type="http://schemas.openxmlformats.org/officeDocument/2006/relationships/image" Target="media/image54.png"/><Relationship Id="rId94" Type="http://schemas.openxmlformats.org/officeDocument/2006/relationships/image" Target="media/image53.png"/><Relationship Id="rId93" Type="http://schemas.openxmlformats.org/officeDocument/2006/relationships/image" Target="media/image52.png"/><Relationship Id="rId92" Type="http://schemas.openxmlformats.org/officeDocument/2006/relationships/image" Target="media/image51.jpeg"/><Relationship Id="rId91" Type="http://schemas.openxmlformats.org/officeDocument/2006/relationships/image" Target="media/image50.png"/><Relationship Id="rId90" Type="http://schemas.openxmlformats.org/officeDocument/2006/relationships/image" Target="media/image49.pn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wmf"/><Relationship Id="rId86" Type="http://schemas.openxmlformats.org/officeDocument/2006/relationships/image" Target="media/image45.wmf"/><Relationship Id="rId85" Type="http://schemas.openxmlformats.org/officeDocument/2006/relationships/image" Target="media/image44.wmf"/><Relationship Id="rId84" Type="http://schemas.openxmlformats.org/officeDocument/2006/relationships/image" Target="media/image43.wmf"/><Relationship Id="rId83" Type="http://schemas.openxmlformats.org/officeDocument/2006/relationships/image" Target="media/image42.wmf"/><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png"/><Relationship Id="rId63" Type="http://schemas.openxmlformats.org/officeDocument/2006/relationships/image" Target="media/image22.png"/><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100</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2023-06-11T14:21:56Z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