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61.png" ContentType="image/png"/>
  <Override PartName="/word/media/rId60.png" ContentType="image/png"/>
  <Override PartName="/word/media/rId32.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abstract"/>
      <w:bookmarkEnd w:id="21"/>
      <w:r>
        <w:t xml:space="preserve">Abstract</w:t>
      </w:r>
    </w:p>
    <w:p>
      <w:pPr>
        <w:pStyle w:val="FirstParagraph"/>
      </w:pPr>
      <w:r>
        <w:t xml:space="preserve">The use of remote sensing for modeling and prediction of yields in developed countries has seen substantial academic and commercial interest. Here we aim to provide an open-source suite of algorithms to rapidly capture and summarize portions of the phenological process relevant to crop modeling while maintaining spatiotemporal structure for use in panel econometric models. Here we demonstrate the predictive power of both these algorithms for summarizing remotely sensed data, and that of panel econometric methods to estimate wheat yields at the district level in Punjab and Haryana India. We find that our algorithms coupled with panel econometric methods can accurately predict yields both across districts, and within any given district over time, even during periods of drought (</w:t>
      </w:r>
      <m:oMath>
        <m:r>
          <m:t> </m:t>
        </m:r>
        <m:sSup>
          <m:e>
            <m:r>
              <m:t>R</m:t>
            </m:r>
          </m:e>
          <m:sup>
            <m:r>
              <m:t>2</m:t>
            </m:r>
          </m:sup>
        </m:sSup>
      </m:oMath>
      <w:r>
        <w:t xml:space="preserve">&gt;0.8).</w:t>
      </w:r>
    </w:p>
    <w:p>
      <w:pPr>
        <w:pStyle w:val="Heading1"/>
      </w:pPr>
      <w:bookmarkStart w:id="22" w:name="introduction"/>
      <w:bookmarkEnd w:id="22"/>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(David B. Lobell, Schlenker, &amp; Costa-Roberts, 2011)</w:t>
      </w:r>
      <w:r>
        <w:t xml:space="preserve">. Although much effort has been placed on modeling the spatial distribution of these shifts, less effort has been placed on how yields vary across space and time</w:t>
      </w:r>
      <w:r>
        <w:t xml:space="preserve"> </w:t>
      </w:r>
      <w:r>
        <w:t xml:space="preserve">(Ray, Gerber, MacDonald, &amp; West,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(ML L Mann &amp;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(R. B. MacDonald &amp; Hall, 1980,</w:t>
      </w:r>
      <w:r>
        <w:t xml:space="preserve"> </w:t>
      </w:r>
      <w:r>
        <w:t xml:space="preserve">J. Hatfield (1983)</w:t>
      </w:r>
      <w:r>
        <w:t xml:space="preserve">,</w:t>
      </w:r>
      <w:r>
        <w:t xml:space="preserve"> </w:t>
      </w:r>
      <w:r>
        <w:t xml:space="preserve">NASA (1984)</w:t>
      </w:r>
      <w:r>
        <w:t xml:space="preserve">,</w:t>
      </w:r>
      <w:r>
        <w:t xml:space="preserve">Pinter Jr, Ritchie, Hatfield, &amp; Hart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(M. A. Friedl et al., 2002,</w:t>
      </w:r>
      <w:r>
        <w:t xml:space="preserve"> </w:t>
      </w:r>
      <w:r>
        <w:t xml:space="preserve">M. A. Friedl et al. (2010b)</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(David B Lobell &amp; Asner, 2004,</w:t>
      </w:r>
      <w:r>
        <w:t xml:space="preserve"> </w:t>
      </w:r>
      <w:r>
        <w:t xml:space="preserve">Xiao et al. (2006)</w:t>
      </w:r>
      <w:r>
        <w:t xml:space="preserve">,</w:t>
      </w:r>
      <w:r>
        <w:t xml:space="preserve"> </w:t>
      </w:r>
      <w:r>
        <w:t xml:space="preserve">P. Thenkabail, GangadharaRao, Biggs, Krishna, &amp; Turral (2007)</w:t>
      </w:r>
      <w:r>
        <w:t xml:space="preserve">,</w:t>
      </w:r>
      <w:r>
        <w:t xml:space="preserve"> </w:t>
      </w:r>
      <w:r>
        <w:t xml:space="preserve">Ramankutty, Evan, Monfreda, &amp; Foley (2008)</w:t>
      </w:r>
      <w:r>
        <w:t xml:space="preserve">,</w:t>
      </w:r>
      <w:r>
        <w:t xml:space="preserve"> </w:t>
      </w:r>
      <w:r>
        <w:t xml:space="preserve">B. D. Wardlow &amp; Egbert (2008)</w:t>
      </w:r>
      <w:r>
        <w:t xml:space="preserve">,</w:t>
      </w:r>
      <w:r>
        <w:t xml:space="preserve"> </w:t>
      </w:r>
      <w:r>
        <w:t xml:space="preserve">Biradar &amp; Xiao (2011)</w:t>
      </w:r>
      <w:r>
        <w:t xml:space="preserve">)</w:t>
      </w:r>
      <w:r>
        <w:t xml:space="preserve">. Remotely sensed imagery has also been employed to map irrigated areas</w:t>
      </w:r>
      <w:r>
        <w:t xml:space="preserve"> </w:t>
      </w:r>
      <w:r>
        <w:t xml:space="preserve">(P. S. Thenkabail et al., 2009,</w:t>
      </w:r>
      <w:r>
        <w:t xml:space="preserve"> </w:t>
      </w:r>
      <w:r>
        <w:t xml:space="preserve">Portmann, Siebert, &amp; Döll (2010)</w:t>
      </w:r>
      <w:r>
        <w:t xml:space="preserve">)</w:t>
      </w:r>
      <w:r>
        <w:t xml:space="preserve">, and cropping frequency/intensity</w:t>
      </w:r>
      <w:r>
        <w:t xml:space="preserve"> </w:t>
      </w:r>
      <w:r>
        <w:t xml:space="preserve">(Biradar &amp; Xiao, 2011,</w:t>
      </w:r>
      <w:r>
        <w:t xml:space="preserve"> </w:t>
      </w:r>
      <w:r>
        <w:t xml:space="preserve">Gray et al. (2014)</w:t>
      </w:r>
      <w:r>
        <w:t xml:space="preserve">,</w:t>
      </w:r>
      <w:r>
        <w:t xml:space="preserve"> </w:t>
      </w:r>
      <w:r>
        <w:t xml:space="preserve">L. 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&amp; Reginato, 1977,</w:t>
      </w:r>
      <w:r>
        <w:t xml:space="preserve"> </w:t>
      </w:r>
      <w:r>
        <w:t xml:space="preserve">Doraiswamy, Moulin, Cook, &amp; Stern (2003)</w:t>
      </w:r>
      <w:r>
        <w:t xml:space="preserve">)</w:t>
      </w:r>
      <w:r>
        <w:t xml:space="preserve">. However, the biophysical link between canopy spectral reflectance and net primary production has long been established</w:t>
      </w:r>
      <w:r>
        <w:t xml:space="preserve"> </w:t>
      </w:r>
      <w:r>
        <w:t xml:space="preserve">(C. Tucker &amp;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&amp; Bauer, 1983,</w:t>
      </w:r>
      <w:r>
        <w:t xml:space="preserve"> </w:t>
      </w:r>
      <w:r>
        <w:t xml:space="preserve">Asrar, Fuchs, Kanemasu, &amp; Hatfield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(C. Tucker, Holben, Elgin Jr, McMurtrey III, &amp; others,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&amp; Rossini (1993)</w:t>
      </w:r>
      <w:r>
        <w:t xml:space="preserve">,</w:t>
      </w:r>
      <w:r>
        <w:t xml:space="preserve"> </w:t>
      </w:r>
      <w:r>
        <w:t xml:space="preserve">Funk &amp; Budde (2009)</w:t>
      </w:r>
      <w:r>
        <w:t xml:space="preserve">,</w:t>
      </w:r>
      <w:r>
        <w:t xml:space="preserve"> </w:t>
      </w:r>
      <w:r>
        <w:t xml:space="preserve">Becker-Reshef, Vermote, Lindeman, &amp; Justice (2010b)</w:t>
      </w:r>
      <w:r>
        <w:t xml:space="preserve">,</w:t>
      </w:r>
      <w:r>
        <w:t xml:space="preserve"> </w:t>
      </w:r>
      <w:r>
        <w:t xml:space="preserve">Becker-Reshef et al. (2010a)</w:t>
      </w:r>
      <w:r>
        <w:t xml:space="preserve">,</w:t>
      </w:r>
      <w:r>
        <w:t xml:space="preserve"> </w:t>
      </w:r>
      <w:r>
        <w:t xml:space="preserve">Mkhabela, Bullock, Raj, Wang, &amp; Yang (2011)</w:t>
      </w:r>
      <w:r>
        <w:t xml:space="preserve">)</w:t>
      </w:r>
      <w:r>
        <w:t xml:space="preserve">. Because certain crop growth stages are particularly critical for final yield</w:t>
      </w:r>
      <w:r>
        <w:t xml:space="preserve"> </w:t>
      </w:r>
      <w:r>
        <w:t xml:space="preserve">(Butler &amp; Huybers, 2015)</w:t>
      </w:r>
      <w:r>
        <w:t xml:space="preserve">, improved results are often seen when remotely sensed data are used to characterize crop phenology</w:t>
      </w:r>
      <w:r>
        <w:t xml:space="preserve"> </w:t>
      </w:r>
      <w:r>
        <w:t xml:space="preserve">(Bolton &amp; Friedl, 2013)</w:t>
      </w:r>
      <w:r>
        <w:t xml:space="preserve">. More recently, methods for forecasting yields with remotely sensed variables at the field scale have been explored</w:t>
      </w:r>
      <w:r>
        <w:t xml:space="preserve"> </w:t>
      </w:r>
      <w:r>
        <w:t xml:space="preserve">(David B Lobell, Thau, Seifert, Engle, &amp; Little,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&amp; Bindi (2007)</w:t>
      </w:r>
      <w:r>
        <w:t xml:space="preserve">,</w:t>
      </w:r>
      <w:r>
        <w:t xml:space="preserve"> </w:t>
      </w:r>
      <w:r>
        <w:t xml:space="preserve">De Wit &amp; Van Diepen (2007)</w:t>
      </w:r>
      <w:r>
        <w:t xml:space="preserve">)</w:t>
      </w:r>
      <w:r>
        <w:t xml:space="preserve">.</w:t>
      </w:r>
    </w:p>
    <w:p>
      <w:pPr>
        <w:pStyle w:val="BodyText"/>
      </w:pPr>
      <w:r>
        <w:t xml:space="preserve">The main objectives of this paper is to compare statistical methods commonly applied these problems outside of the field of geography. In particular, we will focus on the application of spatial panel regression to monitor spatiotemporal variability in wheat yields for Punjab and Haryana India at the district level. We also created and present a suite of algorithms used to extract, summarize, and organize remotely sensed data and prepare it for spatiotemporal analysis.</w:t>
      </w:r>
    </w:p>
    <w:p>
      <w:pPr>
        <w:pStyle w:val="BodyText"/>
      </w:pPr>
      <w:r>
        <w:t xml:space="preserve">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an open github repository</w:t>
      </w:r>
      <w:r>
        <w:t xml:space="preserve"> </w:t>
      </w:r>
      <w:hyperlink r:id="rId25">
        <w:r>
          <w:rPr>
            <w:rStyle w:val="Hyperlink"/>
          </w:rPr>
          <w:t xml:space="preserve">here</w:t>
        </w:r>
      </w:hyperlink>
      <w:r>
        <w:t xml:space="preserve">.</w:t>
      </w:r>
    </w:p>
    <w:p>
      <w:pPr>
        <w:pStyle w:val="Heading1"/>
      </w:pPr>
      <w:bookmarkStart w:id="26" w:name="methods"/>
      <w:bookmarkEnd w:id="26"/>
      <w:r>
        <w:t xml:space="preserve">Methods</w:t>
      </w:r>
    </w:p>
    <w:p>
      <w:pPr>
        <w:pStyle w:val="Heading2"/>
      </w:pPr>
      <w:bookmarkStart w:id="27" w:name="overview-and-study-area"/>
      <w:bookmarkEnd w:id="27"/>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are comprised of a large number of smaller heterogeneous plots. Both states are also extensively double-cropped with rice planting in the Kharif season (roughly May-Oct) and Wheat planted in the Rabi season. Rabi season wheat yield range from 1.88 to 5.68 metric tons per hectare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1456"/>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8"/>
                    <a:stretch>
                      <a:fillRect/>
                    </a:stretch>
                  </pic:blipFill>
                  <pic:spPr bwMode="auto">
                    <a:xfrm>
                      <a:off x="0" y="0"/>
                      <a:ext cx="5334000" cy="5331456"/>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9" w:name="data"/>
      <w:bookmarkEnd w:id="29"/>
      <w:r>
        <w:t xml:space="preserve">Data</w:t>
      </w:r>
    </w:p>
    <w:p>
      <w:pPr>
        <w:pStyle w:val="FirstParagraph"/>
      </w:pPr>
      <w:r>
        <w:t xml:space="preserve">The full model is comprised of 41 indicators of plant phenology. District level statistics are then generated from mean pixel level plant indicators.</w:t>
      </w:r>
    </w:p>
    <w:p>
      <w:pPr>
        <w:pStyle w:val="Heading3"/>
      </w:pPr>
      <w:bookmarkStart w:id="30" w:name="focus-group-interviews"/>
      <w:bookmarkEnd w:id="30"/>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Punjab states, in person with International Food Policy Research Institute (IFPRI) staff. Questions focused on farm characteristics, adopted technologies, Rabi crop calendar dates, and identifying the timing of risks to crops.</w:t>
      </w:r>
    </w:p>
    <w:p>
      <w:pPr>
        <w:pStyle w:val="Heading3"/>
      </w:pPr>
      <w:bookmarkStart w:id="31" w:name="remote-sensing-data"/>
      <w:bookmarkEnd w:id="31"/>
      <w:r>
        <w:t xml:space="preserve">Remote Sensing Data</w:t>
      </w:r>
    </w:p>
    <w:p>
      <w:pPr>
        <w:pStyle w:val="FirstParagraph"/>
      </w:pPr>
      <w:r>
        <w:t xml:space="preserve">Considering the relatively small scale of agriculture in this region (median plot sizes of 13.5 acres with a range of 2 to 17.2 acres) reported during focus groups</w:t>
      </w:r>
      <w:r>
        <w:t xml:space="preserve"> </w:t>
      </w:r>
      <w:r>
        <w:t xml:space="preserve">(Robles, Ceballos, &amp;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&amp; Huete, 2006)</w:t>
      </w:r>
      <w:r>
        <w:t xml:space="preserve">. Due to the staggered nature of acquisition these products are treated as partially overlapping windows representing 8 day periods</w:t>
      </w:r>
      <w:r>
        <w:t xml:space="preserve"> </w:t>
      </w:r>
      <w:r>
        <w:t xml:space="preserve">(Doraiswamy, Stern, &amp; Akhmedov, 2007)</w:t>
      </w:r>
      <w:r>
        <w:t xml:space="preserve">. We find that the combination of these two products provides a stable and informative time series.</w:t>
      </w:r>
    </w:p>
    <w:p>
      <w:pPr>
        <w:pStyle w:val="BodyText"/>
      </w:pPr>
      <w:r>
        <w:t xml:space="preserve">In particular, we examine the predictive power of the Normalized Difference Vegetation Index (NDVI) using panel econometric techniques. NDVI is sensitive to the amount of chlorophyll in any given pixel and is commonly used to estimate plant productivity and health in agricultural applications</w:t>
      </w:r>
      <w:r>
        <w:t xml:space="preserve"> </w:t>
      </w:r>
      <w:r>
        <w:t xml:space="preserve">(ML L Mann &amp; Warner, 2015,</w:t>
      </w:r>
      <w:r>
        <w:t xml:space="preserve"> </w:t>
      </w:r>
      <w:r>
        <w:t xml:space="preserve">Funk &amp; Budde (2009)</w:t>
      </w:r>
      <w:r>
        <w:t xml:space="preserve">,</w:t>
      </w:r>
      <w:r>
        <w:t xml:space="preserve"> </w:t>
      </w:r>
      <w:r>
        <w:t xml:space="preserve">Becker-Reshef et al. (2010b)</w:t>
      </w:r>
      <w:r>
        <w:t xml:space="preserve">,</w:t>
      </w:r>
      <w:r>
        <w:t xml:space="preserve"> </w:t>
      </w:r>
      <w:r>
        <w:t xml:space="preserve">Becker-Reshef et al. (2010a)</w:t>
      </w:r>
      <w:r>
        <w:t xml:space="preserve">,</w:t>
      </w:r>
      <w:r>
        <w:t xml:space="preserve"> </w:t>
      </w:r>
      <w:r>
        <w:t xml:space="preserve">Mkhabela et al. (2011)</w:t>
      </w:r>
      <w:r>
        <w:t xml:space="preserve">)</w:t>
      </w:r>
      <w:r>
        <w:t xml:space="preserve">. After removal of snow, cloud and other flagged low quality cells, we remove all non-agricultural cells through the use of the 500m MODIS land cover product (MCD12Q1) for the appropriate year</w:t>
      </w:r>
      <w:r>
        <w:t xml:space="preserve"> </w:t>
      </w:r>
      <w:r>
        <w:t xml:space="preserve">(M. A. Friedl et al., 2010a)</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 This would likely no hold true in other areas of India.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et al.,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&amp; Tibshirani, 1990,</w:t>
      </w:r>
      <w:r>
        <w:t xml:space="preserve"> </w:t>
      </w:r>
      <w:r>
        <w:t xml:space="preserve">Gray et al. (2014)</w:t>
      </w:r>
      <w:r>
        <w:t xml:space="preserve">)</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3810000"/>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vertical line).</w:t>
      </w:r>
    </w:p>
    <w:p>
      <w:pPr>
        <w:pStyle w:val="Heading3"/>
      </w:pPr>
      <w:bookmarkStart w:id="33" w:name="agricultural-survey-data"/>
      <w:bookmarkEnd w:id="33"/>
      <w:r>
        <w:t xml:space="preserve">Agricultural Survey Data</w:t>
      </w:r>
    </w:p>
    <w:p>
      <w:pPr>
        <w:pStyle w:val="FirstParagraph"/>
      </w:pPr>
      <w:r>
        <w:t xml:space="preserve">Agricultural survey data at the district level was obtained from the Government of India</w:t>
      </w:r>
      <w:r>
        <w:t xml:space="preserve"> </w:t>
      </w:r>
      <w:r>
        <w:t xml:space="preserve">(“District level agricultural yields,” n.d.)</w:t>
      </w:r>
      <w:r>
        <w:t xml:space="preserve">. Yields are measured in tons per hectare. As described later, we limit the sample to the 2003-2012 period in order to obtain a balanced panel.</w:t>
      </w:r>
    </w:p>
    <w:p>
      <w:pPr>
        <w:pStyle w:val="Heading2"/>
      </w:pPr>
      <w:bookmarkStart w:id="34" w:name="exploiting-time-summarizing-remotely-sensed-data"/>
      <w:bookmarkEnd w:id="34"/>
      <w:r>
        <w:t xml:space="preserve">Exploiting Time: Summarizing Remotely Sensed Data</w:t>
      </w:r>
    </w:p>
    <w:p>
      <w:pPr>
        <w:pStyle w:val="FirstParagraph"/>
      </w:pPr>
      <w:r>
        <w:t xml:space="preserve">One of the primary challenges in utilizing an 8-day time series to estimate annual wheat yields is the temporal mismatch in observations. Properties of the time series must be obtained to characterize and identify important components of plant phenology across the growing season correlated with wheat yields.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(DOY 136-314). Two classes of statistics are estimated for these two periods: first, summary statistics (e.g. mean, max, variance), second, integrated summary statistics (e.g. area under the curve for the 1st 1/2 of the growing season), and third comparison to norms (e.g. comparisons to 95th percentile).</w:t>
      </w:r>
    </w:p>
    <w:p>
      <w:pPr>
        <w:pStyle w:val="BodyText"/>
      </w:pPr>
      <w:r>
        <w:t xml:space="preserve">Pixels with in area of interest (AOI), district boundaries in this case, can be evaluated on a pixel by pixel basis in utilizing parallel processing or summarized by the AOI's mean value for each image. In this study, district-level mean values of NDVI for agricultural pixels are used to represent agricultural productivity for each 8-day period. The follow sections outline how these data are summarized for use in panel regression.</w:t>
      </w:r>
    </w:p>
    <w:p>
      <w:pPr>
        <w:pStyle w:val="Heading3"/>
      </w:pPr>
      <w:bookmarkStart w:id="35" w:name="growing-season-metrics"/>
      <w:bookmarkEnd w:id="35"/>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see function 1 in the appendix.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 season we calculate a variety of integration metrics. These include area under the curve (AUC) of the growing season, the AUC of the increasing portion of the curve from estimated planting date to growing season maximum ('Plant' to 'Peak' in Figure 2), and the AUC of the declining portion of the curve from growing season maximum to estimated harvest date ('Peak' to 'Harvest' in Figure 2). For comparison, these values are calculate using two methods, the first using integration using smoothing splines (appendix formula 3 ) and second using trapezoidal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&amp; Fan, 1996)</w:t>
      </w:r>
      <w:r>
        <w:t xml:space="preserve">) of all NDVI values, of maximum values, and of the integral (area under the curve) of NDVI values. These use the built in functionality of R's base stat function show formula 5 ) in the appendix.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Multiway ties are handled by preferring the middle most date or if an even number of ties the left middle most date. Another calculates the average value of NDVI for each day of the year, which can be used for graphing anomalies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6" w:name="annual-metrics"/>
      <w:bookmarkEnd w:id="36"/>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7" w:name="variable-definitions"/>
      <w:bookmarkEnd w:id="37"/>
      <w:r>
        <w:t xml:space="preserve">Variable Definitions</w:t>
      </w:r>
    </w:p>
    <w:p>
      <w:pPr>
        <w:pStyle w:val="FirstParagraph"/>
      </w:pPr>
      <w:r>
        <w:rPr>
          <w:i/>
        </w:rPr>
        <w:t xml:space="preserve">Table 1: Variable Names &amp; Descriptions</w:t>
      </w:r>
      <w:r>
        <w:rPr>
          <w:i/>
        </w:rPr>
        <w:t xml:space="preserve"> </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8" w:name="summarizing-space-time-extraction-and-aggregation-of-remotely-sensed-data"/>
      <w:bookmarkEnd w:id="38"/>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Heading2"/>
      </w:pPr>
      <w:bookmarkStart w:id="39" w:name="spatial-panel-regression-methods-and-models"/>
      <w:bookmarkEnd w:id="39"/>
      <w:r>
        <w:t xml:space="preserve">Spatial &amp; Panel Regression Methods and Models</w:t>
      </w:r>
    </w:p>
    <w:p>
      <w:pPr>
        <w:pStyle w:val="Heading3"/>
      </w:pPr>
      <w:bookmarkStart w:id="40" w:name="regression-methods-and-diagnostic-results"/>
      <w:bookmarkEnd w:id="40"/>
      <w:r>
        <w:t xml:space="preserve">Regression Methods and Diagnostic results</w:t>
      </w:r>
    </w:p>
    <w:p>
      <w:pPr>
        <w:pStyle w:val="FirstParagraph"/>
      </w:pPr>
      <w:r>
        <w:t xml:space="preserve">Traditional ordinary least squares (OLS) approaches look at cross-sectional or time-series data, exploiting variance in one dimension. However most social and physical processes occur over both space and time. For this reason we focus on the use of panel data sets which increases the amount of observed heterogeneity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Michael L Mann et al. (2010)</w:t>
      </w:r>
      <w:r>
        <w:t xml:space="preserve">), cross-sectional analysis should generally</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As such the number of districts for this regression is limited to 14 out of 36 total. This loss however is compensated by the fact that we can now compare a variety of estimation strategies on an even playing ground. Future work will aim to avoid this complication.</w:t>
      </w:r>
    </w:p>
    <w:p>
      <w:pPr>
        <w:pStyle w:val="Heading3"/>
      </w:pPr>
      <w:bookmarkStart w:id="41" w:name="diagnostic-tests"/>
      <w:bookmarkEnd w:id="41"/>
      <w:r>
        <w:t xml:space="preserve">Diagnostic Tests</w:t>
      </w:r>
    </w:p>
    <w:p>
      <w:pPr>
        <w:pStyle w:val="Heading4"/>
      </w:pPr>
      <w:bookmarkStart w:id="42" w:name="tests-spatial-autocorrelation"/>
      <w:bookmarkEnd w:id="42"/>
      <w:r>
        <w:t xml:space="preserve">Tests: Spatial Autocorrelation</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&amp; Charlton, 2002,</w:t>
      </w:r>
      <w:r>
        <w:t xml:space="preserve"> </w:t>
      </w:r>
      <w:r>
        <w:t xml:space="preserve">Luc Anselin, Bera, Florax, &amp; Yoon (1996)</w:t>
      </w:r>
      <w:r>
        <w:t xml:space="preserve">)</w:t>
      </w:r>
      <w:r>
        <w:t xml:space="preserve">. Here we use splm::slmtest, a locally robust Lagrange Multiplier test for spatial dependence for panel data, we reject the null of spatial independence in favor of spatial autocorrelation of the residual for a variety of spatial neighborhood definitions including queens continuity, and K-nearest-neighbors 6 through 10 (p&lt;0.01), see Table 2 below.</w:t>
      </w:r>
    </w:p>
    <w:p>
      <w:pPr>
        <w:pStyle w:val="BodyText"/>
      </w:pPr>
      <w:r>
        <w:rPr>
          <w:i/>
        </w:rPr>
        <w:t xml:space="preserve">Table 2: Robust Lagrange Multiplier test for spatial dependence of pooled regression residuals</w:t>
      </w:r>
      <w:r>
        <w:rPr>
          <w:i/>
        </w:rPr>
        <w:t xml:space="preserve"> </w:t>
      </w:r>
    </w:p>
    <w:tbl>
      <w:tblPr>
        <w:tblStyle w:val="TableNormal"/>
        <w:tblW w:type="pct" w:w="2777.777777777778"/>
        <w:tblLook w:firstRow="1"/>
      </w:tblPr>
      <w:tblGrid>
        <w:gridCol w:w="2090"/>
        <w:gridCol w:w="1320"/>
        <w:gridCol w:w="990"/>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Test Stat</w:t>
            </w:r>
          </w:p>
        </w:tc>
        <w:tc>
          <w:tcPr>
            <w:tcBorders>
              <w:bottom w:val="single"/>
            </w:tcBorders>
            <w:vAlign w:val="bottom"/>
          </w:tcPr>
          <w:p>
            <w:pPr>
              <w:pStyle w:val="Compact"/>
              <w:jc w:val="center"/>
            </w:pPr>
            <w:r>
              <w:t xml:space="preserve">P-Value</w:t>
            </w:r>
          </w:p>
        </w:tc>
      </w:tr>
      <w:tr>
        <w:tc>
          <w:p>
            <w:pPr>
              <w:pStyle w:val="Compact"/>
              <w:jc w:val="left"/>
            </w:pPr>
            <w:r>
              <w:t xml:space="preserve">Polygon Continuity</w:t>
            </w:r>
          </w:p>
        </w:tc>
        <w:tc>
          <w:p>
            <w:pPr>
              <w:pStyle w:val="Compact"/>
              <w:jc w:val="center"/>
            </w:pPr>
            <w:r>
              <w:t xml:space="preserve">41.04</w:t>
            </w:r>
          </w:p>
        </w:tc>
        <w:tc>
          <w:p>
            <w:pPr>
              <w:pStyle w:val="Compact"/>
              <w:jc w:val="center"/>
            </w:pPr>
            <w:r>
              <w:t xml:space="preserve">1.489e-10</w:t>
            </w:r>
          </w:p>
        </w:tc>
      </w:tr>
      <w:tr>
        <w:tc>
          <w:p>
            <w:pPr>
              <w:pStyle w:val="Compact"/>
              <w:jc w:val="left"/>
            </w:pPr>
            <w:r>
              <w:t xml:space="preserve">KNN 6</w:t>
            </w:r>
          </w:p>
        </w:tc>
        <w:tc>
          <w:p>
            <w:pPr>
              <w:pStyle w:val="Compact"/>
              <w:jc w:val="center"/>
            </w:pPr>
            <w:r>
              <w:t xml:space="preserve">53.38</w:t>
            </w:r>
          </w:p>
        </w:tc>
        <w:tc>
          <w:p>
            <w:pPr>
              <w:pStyle w:val="Compact"/>
              <w:jc w:val="center"/>
            </w:pPr>
            <w:r>
              <w:t xml:space="preserve">2.747e-13</w:t>
            </w:r>
          </w:p>
        </w:tc>
      </w:tr>
      <w:tr>
        <w:tc>
          <w:p>
            <w:pPr>
              <w:pStyle w:val="Compact"/>
              <w:jc w:val="left"/>
            </w:pPr>
            <w:r>
              <w:t xml:space="preserve">KNN 7</w:t>
            </w:r>
          </w:p>
        </w:tc>
        <w:tc>
          <w:p>
            <w:pPr>
              <w:pStyle w:val="Compact"/>
              <w:jc w:val="center"/>
            </w:pPr>
            <w:r>
              <w:t xml:space="preserve">56.44</w:t>
            </w:r>
          </w:p>
        </w:tc>
        <w:tc>
          <w:p>
            <w:pPr>
              <w:pStyle w:val="Compact"/>
              <w:jc w:val="center"/>
            </w:pPr>
            <w:r>
              <w:t xml:space="preserve">5.79e-14</w:t>
            </w:r>
          </w:p>
        </w:tc>
      </w:tr>
      <w:tr>
        <w:tc>
          <w:p>
            <w:pPr>
              <w:pStyle w:val="Compact"/>
              <w:jc w:val="left"/>
            </w:pPr>
            <w:r>
              <w:t xml:space="preserve">KNN 8</w:t>
            </w:r>
          </w:p>
        </w:tc>
        <w:tc>
          <w:p>
            <w:pPr>
              <w:pStyle w:val="Compact"/>
              <w:jc w:val="center"/>
            </w:pPr>
            <w:r>
              <w:t xml:space="preserve">52.38</w:t>
            </w:r>
          </w:p>
        </w:tc>
        <w:tc>
          <w:p>
            <w:pPr>
              <w:pStyle w:val="Compact"/>
              <w:jc w:val="center"/>
            </w:pPr>
            <w:r>
              <w:t xml:space="preserve">4.572e-13</w:t>
            </w:r>
          </w:p>
        </w:tc>
      </w:tr>
      <w:tr>
        <w:tc>
          <w:p>
            <w:pPr>
              <w:pStyle w:val="Compact"/>
              <w:jc w:val="left"/>
            </w:pPr>
            <w:r>
              <w:t xml:space="preserve">KNN 9</w:t>
            </w:r>
          </w:p>
        </w:tc>
        <w:tc>
          <w:p>
            <w:pPr>
              <w:pStyle w:val="Compact"/>
              <w:jc w:val="center"/>
            </w:pPr>
            <w:r>
              <w:t xml:space="preserve">43.06</w:t>
            </w:r>
          </w:p>
        </w:tc>
        <w:tc>
          <w:p>
            <w:pPr>
              <w:pStyle w:val="Compact"/>
              <w:jc w:val="center"/>
            </w:pPr>
            <w:r>
              <w:t xml:space="preserve">5.302e-11</w:t>
            </w:r>
          </w:p>
        </w:tc>
      </w:tr>
      <w:tr>
        <w:tc>
          <w:p>
            <w:pPr>
              <w:pStyle w:val="Compact"/>
              <w:jc w:val="left"/>
            </w:pPr>
            <w:r>
              <w:t xml:space="preserve">KNN 10</w:t>
            </w:r>
          </w:p>
        </w:tc>
        <w:tc>
          <w:p>
            <w:pPr>
              <w:pStyle w:val="Compact"/>
              <w:jc w:val="center"/>
            </w:pPr>
            <w:r>
              <w:t xml:space="preserve">44.69</w:t>
            </w:r>
          </w:p>
        </w:tc>
        <w:tc>
          <w:p>
            <w:pPr>
              <w:pStyle w:val="Compact"/>
              <w:jc w:val="center"/>
            </w:pPr>
            <w:r>
              <w:t xml:space="preserve">2.303e-11</w:t>
            </w:r>
          </w:p>
        </w:tc>
      </w:tr>
    </w:tbl>
    <w:p>
      <w:pPr>
        <w:pStyle w:val="Heading4"/>
      </w:pPr>
      <w:bookmarkStart w:id="43" w:name="tests-pooled-fixed-or-random"/>
      <w:bookmarkEnd w:id="43"/>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1.62e-02) in favor of a fixed effects model with unique intercepts for each district. We can then compare the use of the fixed effects and random effects models. The hausman test checks for exogeneity of the unobserved error component, if the null hypothesis is rejected, the random effects model is inconsistent, and the fixed effects model will be preferred. If individual effects are exogenous both fixed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1.00e+00) and choose to use the fixed effects estimator as it will be the only consistent estimator.</w:t>
      </w:r>
    </w:p>
    <w:p>
      <w:pPr>
        <w:pStyle w:val="Heading4"/>
      </w:pPr>
      <w:bookmarkStart w:id="44" w:name="multicolinearity-principal-components-analysis-transform"/>
      <w:bookmarkEnd w:id="44"/>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(Greene, 1997; O’Brien, 2007)</w:t>
      </w:r>
      <w:r>
        <w:t xml:space="preserve">. Here we use a variance inflation factor (VIF) to quantify how much the variance is inflated for each coefficient</w:t>
      </w:r>
      <w:r>
        <w:rPr>
          <w:rStyle w:val="FootnoteReference"/>
        </w:rPr>
        <w:footnoteReference w:id="45"/>
      </w:r>
      <w:r>
        <w:t xml:space="preserve">. VIF values over four for any variable are generally considered problematic and require further examination</w:t>
      </w:r>
      <w:r>
        <w:t xml:space="preserve"> </w:t>
      </w:r>
      <w:r>
        <w:t xml:space="preserve">(Greene, 1997)</w:t>
      </w:r>
      <w:r>
        <w:t xml:space="preserve">. Here we present summary statistics for VIFs on an ordinary least squares estimation of all model variable in Table (3) below:</w:t>
      </w:r>
    </w:p>
    <w:p>
      <w:pPr>
        <w:pStyle w:val="BodyText"/>
      </w:pPr>
      <w:r>
        <w:rPr>
          <w:i/>
        </w:rPr>
        <w:t xml:space="preserve">Table 3: Variance inflation factor summary table</w:t>
      </w:r>
      <w:r>
        <w:rPr>
          <w:i/>
        </w:rPr>
        <w:t xml:space="preserve"> </w:t>
      </w:r>
    </w:p>
    <w:tbl>
      <w:tblPr>
        <w:tblStyle w:val="TableNormal"/>
        <w:tblW w:type="pct" w:w="2638.888888888889"/>
        <w:tblLook w:firstRow="1"/>
      </w:tblPr>
      <w:tblGrid>
        <w:gridCol w:w="1100"/>
        <w:gridCol w:w="770"/>
        <w:gridCol w:w="880"/>
        <w:gridCol w:w="660"/>
        <w:gridCol w:w="7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rPr>
                <w:b/>
              </w:rPr>
              <w:t xml:space="preserve">VIF</w:t>
            </w:r>
          </w:p>
        </w:tc>
        <w:tc>
          <w:p>
            <w:pPr>
              <w:pStyle w:val="Compact"/>
              <w:jc w:val="left"/>
            </w:pPr>
            <w:r>
              <w:t xml:space="preserve">77,773</w:t>
            </w:r>
          </w:p>
        </w:tc>
        <w:tc>
          <w:p>
            <w:pPr>
              <w:pStyle w:val="Compact"/>
              <w:jc w:val="left"/>
            </w:pPr>
            <w:r>
              <w:t xml:space="preserve">179,885</w:t>
            </w:r>
          </w:p>
        </w:tc>
        <w:tc>
          <w:p>
            <w:pPr>
              <w:pStyle w:val="Compact"/>
              <w:jc w:val="left"/>
            </w:pPr>
            <w:r>
              <w:t xml:space="preserve">1.361</w:t>
            </w:r>
          </w:p>
        </w:tc>
        <w:tc>
          <w:p>
            <w:pPr>
              <w:pStyle w:val="Compact"/>
              <w:jc w:val="left"/>
            </w:pPr>
            <w:r>
              <w:t xml:space="preserve">634,503</w:t>
            </w:r>
          </w:p>
        </w:tc>
      </w:tr>
    </w:tbl>
    <w:p>
      <w:pPr>
        <w:pStyle w:val="BodyText"/>
      </w:pPr>
      <w:r>
        <w:t xml:space="preserve">To avoid problems with multicolinearity between independent variables we apply a principal components analysis transformation (PCA) to a centered and scaled matrix of all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&amp; Kowalski, 1986)</w:t>
      </w:r>
      <w:r>
        <w:t xml:space="preserve">. In this case, we generate 36 principal components for inclusion in a random effects panel regression. A table of PCA component imporance can be found in the appendix, Table(A1).</w:t>
      </w:r>
    </w:p>
    <w:p>
      <w:pPr>
        <w:pStyle w:val="Heading3"/>
      </w:pPr>
      <w:bookmarkStart w:id="46" w:name="pooled-regression-estimation"/>
      <w:bookmarkEnd w:id="46"/>
      <w:r>
        <w:t xml:space="preserve">Pooled Regression Estimation</w:t>
      </w:r>
    </w:p>
    <w:p>
      <w:pPr>
        <w:pStyle w:val="FirstParagraph"/>
      </w:pPr>
      <w:r>
        <w:t xml:space="preserve">Panel data can be treated as "pooled", "fixed effects" or "random effects" models. 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heterogeneity (e.g. districts with different policies, or changes to policies over time). Although the choice between pooled and fixed or random effect estimators, must be tested (see section '</w:t>
      </w:r>
      <w:r>
        <w:rPr>
          <w:i/>
        </w:rPr>
        <w:t xml:space="preserve">Tests: Pooled, Fixed or Random</w:t>
      </w:r>
      <w:r>
        <w:t xml:space="preserve">'). For comparison we estimate three types of panel models in this paper. The first of which, pooled OLS, is estimated in equation 1:</w:t>
      </w:r>
    </w:p>
    <w:p>
      <w:pPr>
        <w:pStyle w:val="Compact"/>
        <w:numPr>
          <w:numId w:val="1001"/>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This estimation strategy essentially treats panel data as cross-sectional OLS.</w:t>
      </w:r>
    </w:p>
    <w:p>
      <w:pPr>
        <w:pStyle w:val="Heading3"/>
      </w:pPr>
      <w:bookmarkStart w:id="47" w:name="panel-regression-estimation"/>
      <w:bookmarkEnd w:id="47"/>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For a fixed effect panel, we estimate equation 2:</w:t>
      </w:r>
    </w:p>
    <w:p>
      <w:pPr>
        <w:pStyle w:val="Compact"/>
        <w:numPr>
          <w:numId w:val="1002"/>
          <w:ilvl w:val="0"/>
        </w:numPr>
      </w:pPr>
      <m:oMath>
        <m:r>
          <m:t> </m:t>
        </m:r>
        <m:sSub>
          <m:e>
            <m:r>
              <m:t>Y</m:t>
            </m:r>
          </m:e>
          <m:sub>
            <m:r>
              <m:t>i</m:t>
            </m:r>
            <m:r>
              <m:t>t</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w:t>
      </w:r>
      <w:r>
        <w:t xml:space="preserve"> </w:t>
      </w:r>
      <w:r>
        <w:rPr>
          <w:i/>
        </w:rPr>
        <w:t xml:space="preserve">i</w:t>
      </w:r>
      <w:r>
        <w:t xml:space="preserve"> </w:t>
      </w:r>
      <w:r>
        <w:t xml:space="preserve">intercept terms that control for unobserved characteristics of each district</w:t>
      </w:r>
      <w:r>
        <w:t xml:space="preserve"> </w:t>
      </w:r>
      <w:r>
        <w:rPr>
          <w:i/>
        </w:rPr>
        <w:t xml:space="preserve">i</w:t>
      </w:r>
      <w:r>
        <w:t xml:space="preserve">,</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rPr>
          <w:rStyle w:val="FootnoteReference"/>
        </w:rPr>
        <w:footnoteReference w:id="48"/>
      </w:r>
      <w:r>
        <w:t xml:space="preserve">,</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w:t>
      </w:r>
    </w:p>
    <w:p>
      <w:pPr>
        <w:pStyle w:val="Heading3"/>
      </w:pPr>
      <w:bookmarkStart w:id="49" w:name="spatial-panel-regression-estimation"/>
      <w:bookmarkEnd w:id="49"/>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(L Anselin, 1999; P. J. Elhorst, 2010)</w:t>
      </w:r>
      <w:r>
        <w:t xml:space="preserve">. The inclusion of a spatial lag (spillovers) can also increase predictive accuracy, as neighboring regions are often effected by similar exogenous shocks (for instance drought or rust)</w:t>
      </w:r>
      <w:r>
        <w:t xml:space="preserve"> </w:t>
      </w:r>
      <w:r>
        <w:t xml:space="preserve">(ML L Mann &amp; Warner, 2015; Michael L Mann &amp; Warner, 2017; M L Mann et al., 2014)</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(P. 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3:</w:t>
      </w:r>
    </w:p>
    <w:p>
      <w:pPr>
        <w:pStyle w:val="Compact"/>
        <w:numPr>
          <w:numId w:val="1003"/>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3 augments the specification in 3.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 polygon continuity. These weighted values can be considered the mean values of 'neighboring' districts.</w:t>
      </w:r>
      <w:r>
        <w:t xml:space="preserve"> </w:t>
      </w:r>
      <m:oMath>
        <m:r>
          <m:t>λ</m:t>
        </m:r>
      </m:oMath>
      <w:r>
        <w:t xml:space="preserve"> </w:t>
      </w:r>
      <w:r>
        <w:t xml:space="preserve">then is then a measure of how neighboring values of</w:t>
      </w:r>
      <w:r>
        <w:t xml:space="preserve"> </w:t>
      </w:r>
      <m:oMath>
        <m:r>
          <m:t> </m:t>
        </m:r>
        <m:r>
          <m:t>Y</m:t>
        </m:r>
      </m:oMath>
      <w:r>
        <w:t xml:space="preserve"> </w:t>
      </w:r>
      <w:r>
        <w:t xml:space="preserve">affect a District</w:t>
      </w:r>
      <w:r>
        <w:t xml:space="preserve"> </w:t>
      </w:r>
      <w:r>
        <w:rPr>
          <w:i/>
        </w:rPr>
        <w:t xml:space="preserve">i</w:t>
      </w:r>
      <w:r>
        <w:t xml:space="preserve">.</w:t>
      </w:r>
    </w:p>
    <w:p>
      <w:pPr>
        <w:pStyle w:val="Heading2"/>
      </w:pPr>
      <w:bookmarkStart w:id="50" w:name="accuracy-measures"/>
      <w:bookmarkEnd w:id="50"/>
      <w:r>
        <w:t xml:space="preserve">Accuracy Measures</w:t>
      </w:r>
    </w:p>
    <w:p>
      <w:pPr>
        <w:pStyle w:val="Heading3"/>
      </w:pPr>
      <w:bookmarkStart w:id="51" w:name="within-sample"/>
      <w:bookmarkEnd w:id="51"/>
      <w:r>
        <w:t xml:space="preserve">Within-Sample</w:t>
      </w:r>
    </w:p>
    <w:p>
      <w:pPr>
        <w:pStyle w:val="FirstParagraph"/>
      </w:pPr>
      <w:r>
        <w:t xml:space="preserve">To measure the ability of these models to accurately model wheat yields we calculate the Root Mean Squared Error (RMSE) of the residuals, as outlined in 4:</w:t>
      </w:r>
    </w:p>
    <w:p>
      <w:pPr>
        <w:pStyle w:val="Compact"/>
        <w:numPr>
          <w:numId w:val="1004"/>
          <w:ilvl w:val="0"/>
        </w:numPr>
      </w:pPr>
      <m:oMath>
        <m:r>
          <m:t> </m:t>
        </m:r>
        <m:r>
          <m:t>R</m:t>
        </m:r>
        <m:r>
          <m:t>M</m:t>
        </m:r>
        <m:r>
          <m:t>S</m:t>
        </m:r>
        <m:r>
          <m:t>E</m:t>
        </m:r>
        <m:r>
          <m:t>=</m:t>
        </m:r>
        <m:rad>
          <m:radPr>
            <m:degHide m:val="1"/>
          </m:radPr>
          <m:deg/>
          <m:e>
            <m:f>
              <m:fPr>
                <m:type m:val="bar"/>
              </m:fPr>
              <m:num>
                <m:nary>
                  <m:naryPr>
                    <m:chr m:val="∑"/>
                    <m:limLoc m:val="undOvr"/>
                    <m:subHide m:val="0"/>
                    <m:supHide m:val="0"/>
                  </m:naryPr>
                  <m:sub>
                    <m:r>
                      <m:t>n</m:t>
                    </m:r>
                    <m:r>
                      <m:t>=</m:t>
                    </m:r>
                    <m:r>
                      <m:t>1</m:t>
                    </m:r>
                  </m:sub>
                  <m:sup>
                    <m:r>
                      <m:t>N</m:t>
                    </m:r>
                  </m:sup>
                  <m:e>
                    <m:sSub>
                      <m:e>
                        <m:r>
                          <m:t>y</m:t>
                        </m:r>
                      </m:e>
                      <m:sub>
                        <m:r>
                          <m:t>t</m:t>
                        </m:r>
                      </m:sub>
                    </m:sSub>
                  </m:e>
                </m:nary>
                <m:r>
                  <m:t>−</m:t>
                </m:r>
                <m:sSub>
                  <m:e>
                    <m:groupChr>
                      <m:groupChrPr>
                        <m:chr m:val="^"/>
                        <m:pos m:val="top"/>
                        <m:vertJc m:val="bot"/>
                      </m:groupChrPr>
                      <m:e>
                        <m:r>
                          <m:t>y</m:t>
                        </m:r>
                      </m:e>
                    </m:groupChr>
                  </m:e>
                  <m:sub>
                    <m:r>
                      <m:t>t</m:t>
                    </m:r>
                  </m:sub>
                </m:sSub>
              </m:num>
              <m:den>
                <m:r>
                  <m:t>n</m:t>
                </m:r>
              </m:den>
            </m:f>
          </m:e>
        </m:rad>
      </m:oMath>
    </w:p>
    <w:p>
      <w:pPr>
        <w:pStyle w:val="FirstParagraph"/>
      </w:pPr>
      <w:r>
        <w:t xml:space="preserve">Where</w:t>
      </w:r>
      <w:r>
        <w:t xml:space="preserve"> </w:t>
      </w:r>
      <m:oMath>
        <m:sSub>
          <m:e>
            <m:r>
              <m:t>y</m:t>
            </m:r>
          </m:e>
          <m:sub>
            <m:r>
              <m:t>t</m:t>
            </m:r>
          </m:sub>
        </m:sSub>
      </m:oMath>
      <w:r>
        <w:t xml:space="preserve"> </w:t>
      </w:r>
      <w:r>
        <w:t xml:space="preserve">are observed values of</w:t>
      </w:r>
      <w:r>
        <w:t xml:space="preserve"> </w:t>
      </w:r>
      <w:r>
        <w:rPr>
          <w:i/>
        </w:rPr>
        <w:t xml:space="preserve">yield_tn_ha</w:t>
      </w:r>
      <w:r>
        <w:t xml:space="preserve"> </w:t>
      </w:r>
      <w:r>
        <w:t xml:space="preserve">and</w:t>
      </w:r>
      <w:r>
        <w:t xml:space="preserve"> </w:t>
      </w:r>
      <m:oMath>
        <m:sSub>
          <m:e>
            <m:groupChr>
              <m:groupChrPr>
                <m:chr m:val="^"/>
                <m:pos m:val="top"/>
                <m:vertJc m:val="bot"/>
              </m:groupChrPr>
              <m:e>
                <m:r>
                  <m:t>y</m:t>
                </m:r>
              </m:e>
            </m:groupChr>
          </m:e>
          <m:sub>
            <m:r>
              <m:t>t</m:t>
            </m:r>
          </m:sub>
        </m:sSub>
      </m:oMath>
      <w:r>
        <w:t xml:space="preserve"> </w:t>
      </w:r>
      <w:r>
        <w:t xml:space="preserve">are the predicted values of</w:t>
      </w:r>
      <w:r>
        <w:t xml:space="preserve"> </w:t>
      </w:r>
      <w:r>
        <w:rPr>
          <w:i/>
        </w:rPr>
        <w:t xml:space="preserve">yield_tn_ha</w:t>
      </w:r>
      <w:r>
        <w:t xml:space="preserve"> </w:t>
      </w:r>
      <w:r>
        <w:t xml:space="preserve">for time</w:t>
      </w:r>
      <w:r>
        <w:t xml:space="preserve"> </w:t>
      </w:r>
      <m:oMath>
        <m:r>
          <m:t>t</m:t>
        </m:r>
      </m:oMath>
      <w:r>
        <w:t xml:space="preserve">.</w:t>
      </w:r>
    </w:p>
    <w:p>
      <w:pPr>
        <w:pStyle w:val="Heading3"/>
      </w:pPr>
      <w:bookmarkStart w:id="52" w:name="out-of-sample-cross-validation"/>
      <w:bookmarkEnd w:id="52"/>
      <w:r>
        <w:t xml:space="preserve">Out-of-Sample Cross Validation</w:t>
      </w:r>
    </w:p>
    <w:p>
      <w:pPr>
        <w:pStyle w:val="FirstParagraph"/>
      </w:pPr>
      <w:r>
        <w:t xml:space="preserve">In predictive applications is it also extremely important to provide relevant measures of predictive performance. For this application we are interested in the ability of the model to estimate wheat yields based on a new growing season's data. To validate the predictive accuracy of our models we complete a Leave-P-Out Cross Validation (LPOCV), where each of the models 1-3 are reestimated, withholding a single year of observations, and storing the residuals for the omitted year. This process is repeated</w:t>
      </w:r>
      <w:r>
        <w:t xml:space="preserve"> </w:t>
      </w:r>
      <w:r>
        <w:rPr>
          <w:i/>
        </w:rPr>
        <w:t xml:space="preserve">p</w:t>
      </w:r>
      <w:r>
        <w:t xml:space="preserve"> </w:t>
      </w:r>
      <w:r>
        <w:t xml:space="preserve">times until all years have been evaluated. We then calculate the Root Mean Squared Error (RMSE) of the retained residuals, providing an estimate of the predictive accuracy of our models. RMSE is defined by 4.</w:t>
      </w:r>
    </w:p>
    <w:p>
      <w:pPr>
        <w:pStyle w:val="BodyText"/>
      </w:pPr>
      <w:r>
        <w:t xml:space="preserve">The following results section will outline the results from OLS, Panel, and Spatial Panel estimation (e.q. 1-3).</w:t>
      </w:r>
    </w:p>
    <w:p>
      <w:pPr>
        <w:pStyle w:val="Heading1"/>
      </w:pPr>
      <w:bookmarkStart w:id="53" w:name="results"/>
      <w:bookmarkEnd w:id="53"/>
      <w:r>
        <w:t xml:space="preserve">Results</w:t>
      </w:r>
    </w:p>
    <w:p>
      <w:pPr>
        <w:pStyle w:val="Heading2"/>
      </w:pPr>
      <w:bookmarkStart w:id="54" w:name="principal-component-loadings"/>
      <w:bookmarkEnd w:id="54"/>
      <w:r>
        <w:t xml:space="preserve">Principal Component Loadings</w:t>
      </w:r>
    </w:p>
    <w:p>
      <w:pPr>
        <w:pStyle w:val="FirstParagraph"/>
      </w:pPr>
      <w:r>
        <w:t xml:space="preserve">We can evaluate how each variable contributes to the principal component used in later in this study. Large loadings indicate that a variable has a large effect on a principal component, this can be either in the positive or negative direction. We can see in Figure 3 below for principal component one (PC1), a large and positive loading for</w:t>
      </w:r>
      <w:r>
        <w:t xml:space="preserve"> </w:t>
      </w:r>
      <w:r>
        <w:rPr>
          <w:i/>
        </w:rPr>
        <w:t xml:space="preserve">Kharif_95th_diff_mn</w:t>
      </w:r>
      <w:r>
        <w:t xml:space="preserve">, which is a difference between mean NDVI for year</w:t>
      </w:r>
      <w:r>
        <w:t xml:space="preserve"> </w:t>
      </w:r>
      <w:r>
        <w:rPr>
          <w:i/>
        </w:rPr>
        <w:t xml:space="preserve">i</w:t>
      </w:r>
      <w:r>
        <w:t xml:space="preserve"> </w:t>
      </w:r>
      <w:r>
        <w:t xml:space="preserve">and the 95th percentile of historical values. This is relative to the large and positive loadings of a variety of variables largely relating to upper percentiles of the Kharif and Rabi seasons such as</w:t>
      </w:r>
      <w:r>
        <w:t xml:space="preserve"> </w:t>
      </w:r>
      <w:r>
        <w:rPr>
          <w:i/>
        </w:rPr>
        <w:t xml:space="preserve">Rabi_max &amp; Kharif_max</w:t>
      </w:r>
      <w:r>
        <w:t xml:space="preserve"> </w:t>
      </w:r>
      <w:r>
        <w:t xml:space="preserve">and</w:t>
      </w:r>
      <w:r>
        <w:t xml:space="preserve"> </w:t>
      </w:r>
      <w:r>
        <w:rPr>
          <w:i/>
        </w:rPr>
        <w:t xml:space="preserve">Kharif_95th_prct</w:t>
      </w:r>
      <w:r>
        <w:t xml:space="preserve">, a measure of the 95th percentile for that season. Combined this component emphasizes the variability between Kharif and Rabi growing seasons. The second principal component (PC2) is primarily positive loadings of the lower percentiles of the distribution for both growing seasons including</w:t>
      </w:r>
      <w:r>
        <w:t xml:space="preserve"> </w:t>
      </w:r>
      <w:r>
        <w:rPr>
          <w:i/>
        </w:rPr>
        <w:t xml:space="preserve">Kharif</w:t>
      </w:r>
      <w:r>
        <w:t xml:space="preserve"> </w:t>
      </w:r>
      <w:r>
        <w:t xml:space="preserve">and</w:t>
      </w:r>
      <w:r>
        <w:t xml:space="preserve"> </w:t>
      </w:r>
      <w:r>
        <w:rPr>
          <w:i/>
        </w:rPr>
        <w:t xml:space="preserve">Rabi_min</w:t>
      </w:r>
      <w:r>
        <w:t xml:space="preserve">. PC3 has strong loadings for variables relating to planting and harvest dates including</w:t>
      </w:r>
      <w:r>
        <w:t xml:space="preserve"> </w:t>
      </w:r>
      <w:r>
        <w:rPr>
          <w:i/>
        </w:rPr>
        <w:t xml:space="preserve">Kharif_harvest_dates</w:t>
      </w:r>
      <w:r>
        <w:t xml:space="preserve">,</w:t>
      </w:r>
      <w:r>
        <w:t xml:space="preserve"> </w:t>
      </w:r>
      <w:r>
        <w:rPr>
          <w:i/>
        </w:rPr>
        <w:t xml:space="preserve">Rabi_plant_dates</w:t>
      </w:r>
      <w:r>
        <w:t xml:space="preserve"> </w:t>
      </w:r>
      <w:r>
        <w:t xml:space="preserve">and</w:t>
      </w:r>
      <w:r>
        <w:t xml:space="preserve"> </w:t>
      </w:r>
      <w:r>
        <w:rPr>
          <w:i/>
        </w:rPr>
        <w:t xml:space="preserve">Rabi_season_length</w:t>
      </w:r>
      <w:r>
        <w:t xml:space="preserve">. PC4 emphasizes differences between the current year and the upper percentiles of the historic distribution for the wheat growing season. These include</w:t>
      </w:r>
      <w:r>
        <w:t xml:space="preserve"> </w:t>
      </w:r>
      <w:r>
        <w:rPr>
          <w:i/>
        </w:rPr>
        <w:t xml:space="preserve">Rabi_95th_diff_AUC</w:t>
      </w:r>
      <w:r>
        <w:t xml:space="preserve">, and</w:t>
      </w:r>
      <w:r>
        <w:t xml:space="preserve"> </w:t>
      </w:r>
      <w:r>
        <w:rPr>
          <w:i/>
        </w:rPr>
        <w:t xml:space="preserve">Rabi_AUC_diff_mn</w:t>
      </w:r>
      <w:r>
        <w:t xml:space="preserve">.</w:t>
      </w:r>
    </w:p>
    <w:p>
      <w:pPr>
        <w:pStyle w:val="BodyText"/>
      </w:pPr>
      <w:r>
        <w:rPr>
          <w:i/>
        </w:rPr>
        <w:t xml:space="preserve">Figure 3: Principal Component Analysis Loadings</w:t>
      </w:r>
      <w:r>
        <w:rPr>
          <w:i/>
        </w:rPr>
        <w:t xml:space="preserve"> </w:t>
      </w:r>
    </w:p>
    <w:p>
      <w:pPr>
        <w:pStyle w:val="BodyText"/>
      </w:pPr>
      <w:r>
        <w:drawing>
          <wp:inline>
            <wp:extent cx="5334000" cy="3333750"/>
            <wp:effectExtent b="0" l="0" r="0" t="0"/>
            <wp:docPr descr="" id="1" name="Picture"/>
            <a:graphic>
              <a:graphicData uri="http://schemas.openxmlformats.org/drawingml/2006/picture">
                <pic:pic>
                  <pic:nvPicPr>
                    <pic:cNvPr descr="WheatYieldWriteUp_files/figure-docx/unnamed-chunk-4-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6" w:name="panel-regression"/>
      <w:bookmarkEnd w:id="56"/>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 Since the objective of this study is to make predictions of wheat yields per hectare, it is also important to look at the accuracy of our estimation in these units. For this reason we also report the Root Mean Square Error (RMSE).</w:t>
      </w:r>
    </w:p>
    <w:p>
      <w:pPr>
        <w:pStyle w:val="Heading3"/>
      </w:pPr>
      <w:bookmarkStart w:id="57" w:name="pooled-ols"/>
      <w:bookmarkEnd w:id="57"/>
      <w:r>
        <w:t xml:space="preserve">Pooled OLS</w:t>
      </w:r>
    </w:p>
    <w:p>
      <w:pPr>
        <w:pStyle w:val="FirstParagraph"/>
      </w:pPr>
      <w:r>
        <w:t xml:space="preserve">Estimates of equation (1) are provide below:</w:t>
      </w:r>
    </w:p>
    <w:p>
      <w:pPr>
        <w:pStyle w:val="BodyText"/>
      </w:pPr>
      <w:r>
        <w:t xml:space="preserve">Table 4:</w:t>
      </w:r>
      <w:r>
        <w:t xml:space="preserve"> </w:t>
      </w:r>
      <w:r>
        <w:rPr>
          <w:i/>
        </w:rPr>
        <w:t xml:space="preserve">District level pooled estimation of wheat yields in tons per hectare</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-199.5</w:t>
            </w:r>
          </w:p>
        </w:tc>
        <w:tc>
          <w:p>
            <w:pPr>
              <w:pStyle w:val="Compact"/>
              <w:jc w:val="center"/>
            </w:pPr>
            <w:r>
              <w:t xml:space="preserve">26.66</w:t>
            </w:r>
          </w:p>
        </w:tc>
        <w:tc>
          <w:p>
            <w:pPr>
              <w:pStyle w:val="Compact"/>
              <w:jc w:val="center"/>
            </w:pPr>
            <w:r>
              <w:t xml:space="preserve">-7.484</w:t>
            </w:r>
          </w:p>
        </w:tc>
        <w:tc>
          <w:p>
            <w:pPr>
              <w:pStyle w:val="Compact"/>
              <w:jc w:val="center"/>
            </w:pPr>
            <w:r>
              <w:t xml:space="preserve">8.598e-12</w:t>
            </w:r>
          </w:p>
        </w:tc>
      </w:tr>
      <w:tr>
        <w:tc>
          <w:p>
            <w:pPr>
              <w:pStyle w:val="Compact"/>
              <w:jc w:val="center"/>
            </w:pPr>
            <w:r>
              <w:rPr>
                <w:b/>
              </w:rPr>
              <w:t xml:space="preserve">PC1</w:t>
            </w:r>
          </w:p>
        </w:tc>
        <w:tc>
          <w:p>
            <w:pPr>
              <w:pStyle w:val="Compact"/>
              <w:jc w:val="center"/>
            </w:pPr>
            <w:r>
              <w:t xml:space="preserve">-0.03061</w:t>
            </w:r>
          </w:p>
        </w:tc>
        <w:tc>
          <w:p>
            <w:pPr>
              <w:pStyle w:val="Compact"/>
              <w:jc w:val="center"/>
            </w:pPr>
            <w:r>
              <w:t xml:space="preserve">0.01097</w:t>
            </w:r>
          </w:p>
        </w:tc>
        <w:tc>
          <w:p>
            <w:pPr>
              <w:pStyle w:val="Compact"/>
              <w:jc w:val="center"/>
            </w:pPr>
            <w:r>
              <w:t xml:space="preserve">-2.79</w:t>
            </w:r>
          </w:p>
        </w:tc>
        <w:tc>
          <w:p>
            <w:pPr>
              <w:pStyle w:val="Compact"/>
              <w:jc w:val="center"/>
            </w:pPr>
            <w:r>
              <w:t xml:space="preserve">0.006046</w:t>
            </w:r>
          </w:p>
        </w:tc>
      </w:tr>
      <w:tr>
        <w:tc>
          <w:p>
            <w:pPr>
              <w:pStyle w:val="Compact"/>
              <w:jc w:val="center"/>
            </w:pPr>
            <w:r>
              <w:rPr>
                <w:b/>
              </w:rPr>
              <w:t xml:space="preserve">PC2</w:t>
            </w:r>
          </w:p>
        </w:tc>
        <w:tc>
          <w:p>
            <w:pPr>
              <w:pStyle w:val="Compact"/>
              <w:jc w:val="center"/>
            </w:pPr>
            <w:r>
              <w:t xml:space="preserve">-0.1441</w:t>
            </w:r>
          </w:p>
        </w:tc>
        <w:tc>
          <w:p>
            <w:pPr>
              <w:pStyle w:val="Compact"/>
              <w:jc w:val="center"/>
            </w:pPr>
            <w:r>
              <w:t xml:space="preserve">0.01194</w:t>
            </w:r>
          </w:p>
        </w:tc>
        <w:tc>
          <w:p>
            <w:pPr>
              <w:pStyle w:val="Compact"/>
              <w:jc w:val="center"/>
            </w:pPr>
            <w:r>
              <w:t xml:space="preserve">-12.06</w:t>
            </w:r>
          </w:p>
        </w:tc>
        <w:tc>
          <w:p>
            <w:pPr>
              <w:pStyle w:val="Compact"/>
              <w:jc w:val="center"/>
            </w:pPr>
            <w:r>
              <w:t xml:space="preserve">3.841e-23</w:t>
            </w:r>
          </w:p>
        </w:tc>
      </w:tr>
      <w:tr>
        <w:tc>
          <w:p>
            <w:pPr>
              <w:pStyle w:val="Compact"/>
              <w:jc w:val="center"/>
            </w:pPr>
            <w:r>
              <w:rPr>
                <w:b/>
              </w:rPr>
              <w:t xml:space="preserve">PC3</w:t>
            </w:r>
          </w:p>
        </w:tc>
        <w:tc>
          <w:p>
            <w:pPr>
              <w:pStyle w:val="Compact"/>
              <w:jc w:val="center"/>
            </w:pPr>
            <w:r>
              <w:t xml:space="preserve">-0.02384</w:t>
            </w:r>
          </w:p>
        </w:tc>
        <w:tc>
          <w:p>
            <w:pPr>
              <w:pStyle w:val="Compact"/>
              <w:jc w:val="center"/>
            </w:pPr>
            <w:r>
              <w:t xml:space="preserve">0.017</w:t>
            </w:r>
          </w:p>
        </w:tc>
        <w:tc>
          <w:p>
            <w:pPr>
              <w:pStyle w:val="Compact"/>
              <w:jc w:val="center"/>
            </w:pPr>
            <w:r>
              <w:t xml:space="preserve">-1.402</w:t>
            </w:r>
          </w:p>
        </w:tc>
        <w:tc>
          <w:p>
            <w:pPr>
              <w:pStyle w:val="Compact"/>
              <w:jc w:val="center"/>
            </w:pPr>
            <w:r>
              <w:t xml:space="preserve">0.1633</w:t>
            </w:r>
          </w:p>
        </w:tc>
      </w:tr>
      <w:tr>
        <w:tc>
          <w:p>
            <w:pPr>
              <w:pStyle w:val="Compact"/>
              <w:jc w:val="center"/>
            </w:pPr>
            <w:r>
              <w:rPr>
                <w:b/>
              </w:rPr>
              <w:t xml:space="preserve">PC4</w:t>
            </w:r>
          </w:p>
        </w:tc>
        <w:tc>
          <w:p>
            <w:pPr>
              <w:pStyle w:val="Compact"/>
              <w:jc w:val="center"/>
            </w:pPr>
            <w:r>
              <w:t xml:space="preserve">0.004502</w:t>
            </w:r>
          </w:p>
        </w:tc>
        <w:tc>
          <w:p>
            <w:pPr>
              <w:pStyle w:val="Compact"/>
              <w:jc w:val="center"/>
            </w:pPr>
            <w:r>
              <w:t xml:space="preserve">0.02513</w:t>
            </w:r>
          </w:p>
        </w:tc>
        <w:tc>
          <w:p>
            <w:pPr>
              <w:pStyle w:val="Compact"/>
              <w:jc w:val="center"/>
            </w:pPr>
            <w:r>
              <w:t xml:space="preserve">0.1792</w:t>
            </w:r>
          </w:p>
        </w:tc>
        <w:tc>
          <w:p>
            <w:pPr>
              <w:pStyle w:val="Compact"/>
              <w:jc w:val="center"/>
            </w:pPr>
            <w:r>
              <w:t xml:space="preserve">0.8581</w:t>
            </w:r>
          </w:p>
        </w:tc>
      </w:tr>
      <w:tr>
        <w:tc>
          <w:p>
            <w:pPr>
              <w:pStyle w:val="Compact"/>
              <w:jc w:val="center"/>
            </w:pPr>
            <w:r>
              <w:rPr>
                <w:b/>
              </w:rPr>
              <w:t xml:space="preserve">Years</w:t>
            </w:r>
          </w:p>
        </w:tc>
        <w:tc>
          <w:p>
            <w:pPr>
              <w:pStyle w:val="Compact"/>
              <w:jc w:val="center"/>
            </w:pPr>
            <w:r>
              <w:t xml:space="preserve">0.1015</w:t>
            </w:r>
          </w:p>
        </w:tc>
        <w:tc>
          <w:p>
            <w:pPr>
              <w:pStyle w:val="Compact"/>
              <w:jc w:val="center"/>
            </w:pPr>
            <w:r>
              <w:t xml:space="preserve">0.01328</w:t>
            </w:r>
          </w:p>
        </w:tc>
        <w:tc>
          <w:p>
            <w:pPr>
              <w:pStyle w:val="Compact"/>
              <w:jc w:val="center"/>
            </w:pPr>
            <w:r>
              <w:t xml:space="preserve">7.642</w:t>
            </w:r>
          </w:p>
        </w:tc>
        <w:tc>
          <w:p>
            <w:pPr>
              <w:pStyle w:val="Compact"/>
              <w:jc w:val="center"/>
            </w:pPr>
            <w:r>
              <w:t xml:space="preserve">3.658e-12</w:t>
            </w:r>
          </w:p>
        </w:tc>
      </w:tr>
    </w:tbl>
    <w:p>
      <w:pPr>
        <w:pStyle w:val="BodyText"/>
      </w:pPr>
      <w:r>
        <w:t xml:space="preserve">Residuals:</w:t>
      </w:r>
      <w:r>
        <w:t xml:space="preserve"> </w:t>
      </w:r>
      <w:r>
        <w:t xml:space="preserve">Min 1st Qu. Median Mean 3rd Qu. Max</w:t>
      </w:r>
      <w:r>
        <w:t xml:space="preserve"> </w:t>
      </w:r>
      <w:r>
        <w:t xml:space="preserve">-1.1 -0.264 -0.0318 -3.08e-19 0.312 0.998</w:t>
      </w:r>
      <w:r>
        <w:t xml:space="preserve"> </w:t>
      </w:r>
      <w:r>
        <w:t xml:space="preserve">RMSE: 0.402 on 134 degrees of freedom</w:t>
      </w:r>
      <w:r>
        <w:t xml:space="preserve"> </w:t>
      </w:r>
      <w:r>
        <w:t xml:space="preserve">Multiple R2: 0.632, Adjusted R2: 0.618, Within R2:0.526</w:t>
      </w:r>
      <w:r>
        <w:t xml:space="preserve"> </w:t>
      </w:r>
      <w:r>
        <w:t xml:space="preserve">F-statistic: 45.9 on 5 and 100 DF</w:t>
      </w:r>
    </w:p>
    <w:p>
      <w:pPr>
        <w:pStyle w:val="Heading3"/>
      </w:pPr>
      <w:bookmarkStart w:id="58" w:name="fixed-effects-panel"/>
      <w:bookmarkEnd w:id="58"/>
      <w:r>
        <w:t xml:space="preserve">Fixed Effects Panel</w:t>
      </w:r>
    </w:p>
    <w:p>
      <w:pPr>
        <w:pStyle w:val="FirstParagraph"/>
      </w:pPr>
      <w:r>
        <w:t xml:space="preserve">Estimates of equation (2) are provide below:</w:t>
      </w:r>
    </w:p>
    <w:p>
      <w:pPr>
        <w:pStyle w:val="BodyText"/>
      </w:pPr>
      <w:r>
        <w:t xml:space="preserve">Table 5:</w:t>
      </w:r>
      <w:r>
        <w:t xml:space="preserve"> </w:t>
      </w:r>
      <w:r>
        <w:rPr>
          <w:i/>
        </w:rPr>
        <w:t xml:space="preserve">District level fixed effects estimation of wheat yields in tons per hectare</w:t>
      </w:r>
    </w:p>
    <w:tbl>
      <w:tblPr>
        <w:tblStyle w:val="TableNormal"/>
        <w:tblW w:type="pct" w:w="3888.8888888888882"/>
        <w:tblLook w:firstRow="1"/>
      </w:tblPr>
      <w:tblGrid>
        <w:gridCol w:w="132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PC1</w:t>
            </w:r>
          </w:p>
        </w:tc>
        <w:tc>
          <w:p>
            <w:pPr>
              <w:pStyle w:val="Compact"/>
              <w:jc w:val="center"/>
            </w:pPr>
            <w:r>
              <w:t xml:space="preserve">-0.115</w:t>
            </w:r>
          </w:p>
        </w:tc>
        <w:tc>
          <w:p>
            <w:pPr>
              <w:pStyle w:val="Compact"/>
              <w:jc w:val="center"/>
            </w:pPr>
            <w:r>
              <w:t xml:space="preserve">0.0533</w:t>
            </w:r>
          </w:p>
        </w:tc>
        <w:tc>
          <w:p>
            <w:pPr>
              <w:pStyle w:val="Compact"/>
              <w:jc w:val="center"/>
            </w:pPr>
            <w:r>
              <w:t xml:space="preserve">-2.17</w:t>
            </w:r>
          </w:p>
        </w:tc>
        <w:tc>
          <w:p>
            <w:pPr>
              <w:pStyle w:val="Compact"/>
              <w:jc w:val="center"/>
            </w:pPr>
            <w:r>
              <w:t xml:space="preserve">0.0322</w:t>
            </w:r>
          </w:p>
        </w:tc>
      </w:tr>
      <w:tr>
        <w:tc>
          <w:p>
            <w:pPr>
              <w:pStyle w:val="Compact"/>
              <w:jc w:val="center"/>
            </w:pPr>
            <w:r>
              <w:rPr>
                <w:b/>
              </w:rPr>
              <w:t xml:space="preserve">PC2</w:t>
            </w:r>
          </w:p>
        </w:tc>
        <w:tc>
          <w:p>
            <w:pPr>
              <w:pStyle w:val="Compact"/>
              <w:jc w:val="center"/>
            </w:pPr>
            <w:r>
              <w:t xml:space="preserve">0.158</w:t>
            </w:r>
          </w:p>
        </w:tc>
        <w:tc>
          <w:p>
            <w:pPr>
              <w:pStyle w:val="Compact"/>
              <w:jc w:val="center"/>
            </w:pPr>
            <w:r>
              <w:t xml:space="preserve">0.0319</w:t>
            </w:r>
          </w:p>
        </w:tc>
        <w:tc>
          <w:p>
            <w:pPr>
              <w:pStyle w:val="Compact"/>
              <w:jc w:val="center"/>
            </w:pPr>
            <w:r>
              <w:t xml:space="preserve">4.97</w:t>
            </w:r>
          </w:p>
        </w:tc>
        <w:tc>
          <w:p>
            <w:pPr>
              <w:pStyle w:val="Compact"/>
              <w:jc w:val="center"/>
            </w:pPr>
            <w:r>
              <w:t xml:space="preserve">2.24e-06</w:t>
            </w:r>
          </w:p>
        </w:tc>
      </w:tr>
      <w:tr>
        <w:tc>
          <w:p>
            <w:pPr>
              <w:pStyle w:val="Compact"/>
              <w:jc w:val="center"/>
            </w:pPr>
            <w:r>
              <w:rPr>
                <w:b/>
              </w:rPr>
              <w:t xml:space="preserve">PC3</w:t>
            </w:r>
          </w:p>
        </w:tc>
        <w:tc>
          <w:p>
            <w:pPr>
              <w:pStyle w:val="Compact"/>
              <w:jc w:val="center"/>
            </w:pPr>
            <w:r>
              <w:t xml:space="preserve">0.112</w:t>
            </w:r>
          </w:p>
        </w:tc>
        <w:tc>
          <w:p>
            <w:pPr>
              <w:pStyle w:val="Compact"/>
              <w:jc w:val="center"/>
            </w:pPr>
            <w:r>
              <w:t xml:space="preserve">0.0273</w:t>
            </w:r>
          </w:p>
        </w:tc>
        <w:tc>
          <w:p>
            <w:pPr>
              <w:pStyle w:val="Compact"/>
              <w:jc w:val="center"/>
            </w:pPr>
            <w:r>
              <w:t xml:space="preserve">4.11</w:t>
            </w:r>
          </w:p>
        </w:tc>
        <w:tc>
          <w:p>
            <w:pPr>
              <w:pStyle w:val="Compact"/>
              <w:jc w:val="center"/>
            </w:pPr>
            <w:r>
              <w:t xml:space="preserve">7.3e-05</w:t>
            </w:r>
          </w:p>
        </w:tc>
      </w:tr>
      <w:tr>
        <w:tc>
          <w:p>
            <w:pPr>
              <w:pStyle w:val="Compact"/>
              <w:jc w:val="center"/>
            </w:pPr>
            <w:r>
              <w:rPr>
                <w:b/>
              </w:rPr>
              <w:t xml:space="preserve">PC4</w:t>
            </w:r>
          </w:p>
        </w:tc>
        <w:tc>
          <w:p>
            <w:pPr>
              <w:pStyle w:val="Compact"/>
              <w:jc w:val="center"/>
            </w:pPr>
            <w:r>
              <w:t xml:space="preserve">-0.0634</w:t>
            </w:r>
          </w:p>
        </w:tc>
        <w:tc>
          <w:p>
            <w:pPr>
              <w:pStyle w:val="Compact"/>
              <w:jc w:val="center"/>
            </w:pPr>
            <w:r>
              <w:t xml:space="preserve">0.0323</w:t>
            </w:r>
          </w:p>
        </w:tc>
        <w:tc>
          <w:p>
            <w:pPr>
              <w:pStyle w:val="Compact"/>
              <w:jc w:val="center"/>
            </w:pPr>
            <w:r>
              <w:t xml:space="preserve">-1.96</w:t>
            </w:r>
          </w:p>
        </w:tc>
        <w:tc>
          <w:p>
            <w:pPr>
              <w:pStyle w:val="Compact"/>
              <w:jc w:val="center"/>
            </w:pPr>
            <w:r>
              <w:t xml:space="preserve">0.0517</w:t>
            </w:r>
          </w:p>
        </w:tc>
      </w:tr>
      <w:tr>
        <w:tc>
          <w:p>
            <w:pPr>
              <w:pStyle w:val="Compact"/>
              <w:jc w:val="center"/>
            </w:pPr>
            <w:r>
              <w:rPr>
                <w:b/>
              </w:rPr>
              <w:t xml:space="preserve">Years</w:t>
            </w:r>
          </w:p>
        </w:tc>
        <w:tc>
          <w:p>
            <w:pPr>
              <w:pStyle w:val="Compact"/>
              <w:jc w:val="center"/>
            </w:pPr>
            <w:r>
              <w:t xml:space="preserve">0.0774</w:t>
            </w:r>
          </w:p>
        </w:tc>
        <w:tc>
          <w:p>
            <w:pPr>
              <w:pStyle w:val="Compact"/>
              <w:jc w:val="center"/>
            </w:pPr>
            <w:r>
              <w:t xml:space="preserve">0.0114</w:t>
            </w:r>
          </w:p>
        </w:tc>
        <w:tc>
          <w:p>
            <w:pPr>
              <w:pStyle w:val="Compact"/>
              <w:jc w:val="center"/>
            </w:pPr>
            <w:r>
              <w:t xml:space="preserve">6.8</w:t>
            </w:r>
          </w:p>
        </w:tc>
        <w:tc>
          <w:p>
            <w:pPr>
              <w:pStyle w:val="Compact"/>
              <w:jc w:val="center"/>
            </w:pPr>
            <w:r>
              <w:t xml:space="preserve">4.25e-10</w:t>
            </w:r>
          </w:p>
        </w:tc>
      </w:tr>
    </w:tbl>
    <w:p>
      <w:pPr>
        <w:pStyle w:val="BodyText"/>
      </w:pPr>
      <w:r>
        <w:t xml:space="preserve">Residuals:</w:t>
      </w:r>
      <w:r>
        <w:t xml:space="preserve"> </w:t>
      </w:r>
      <w:r>
        <w:t xml:space="preserve">Min 1st Qu. Median Mean 3rd Qu. Max</w:t>
      </w:r>
      <w:r>
        <w:t xml:space="preserve"> </w:t>
      </w:r>
      <w:r>
        <w:t xml:space="preserve">-0.54 -0.162 0.00707 -9.63e-18 0.174 0.74</w:t>
      </w:r>
      <w:r>
        <w:t xml:space="preserve"> </w:t>
      </w:r>
      <w:r>
        <w:t xml:space="preserve">RMSE: 0.256 on 121 degrees of freedom</w:t>
      </w:r>
      <w:r>
        <w:t xml:space="preserve"> </w:t>
      </w:r>
      <w:r>
        <w:t xml:space="preserve">Multiple R2: 0.649, Adjusted R2: 0.597, Within R2: 0.808</w:t>
      </w:r>
      <w:r>
        <w:t xml:space="preserve"> </w:t>
      </w:r>
      <w:r>
        <w:t xml:space="preserve">F-statistic: 44.8 on 5 and 100 DF</w:t>
      </w:r>
    </w:p>
    <w:p>
      <w:pPr>
        <w:pStyle w:val="Heading2"/>
      </w:pPr>
      <w:bookmarkStart w:id="59" w:name="spatial-panel-regression"/>
      <w:bookmarkEnd w:id="59"/>
      <w:r>
        <w:t xml:space="preserve">Spatial Panel Regression</w:t>
      </w:r>
    </w:p>
    <w:p>
      <w:pPr>
        <w:pStyle w:val="FirstParagraph"/>
      </w:pPr>
      <w:r>
        <w:t xml:space="preserve">Estimates of equation (3) are provide below:</w:t>
      </w:r>
      <w:r>
        <w:t xml:space="preserve"> </w:t>
      </w:r>
      <w:r>
        <w:t xml:space="preserve">Table 6:</w:t>
      </w:r>
      <w:r>
        <w:t xml:space="preserve"> </w:t>
      </w:r>
      <w:r>
        <w:rPr>
          <w:i/>
        </w:rPr>
        <w:t xml:space="preserve">District level spatial lag fixed effects estimation of wheat yields in tons per hectare</w:t>
      </w:r>
    </w:p>
    <w:tbl>
      <w:tblPr>
        <w:tblStyle w:val="TableNormal"/>
        <w:tblW w:type="pct" w:w="3958.3333333333335"/>
        <w:tblLook w:firstRow="1"/>
      </w:tblPr>
      <w:tblGrid>
        <w:gridCol w:w="143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lambda</w:t>
            </w:r>
          </w:p>
        </w:tc>
        <w:tc>
          <w:p>
            <w:pPr>
              <w:pStyle w:val="Compact"/>
              <w:jc w:val="center"/>
            </w:pPr>
            <w:r>
              <w:t xml:space="preserve">0.574</w:t>
            </w:r>
          </w:p>
        </w:tc>
        <w:tc>
          <w:p>
            <w:pPr>
              <w:pStyle w:val="Compact"/>
              <w:jc w:val="center"/>
            </w:pPr>
            <w:r>
              <w:t xml:space="preserve">0.0581</w:t>
            </w:r>
          </w:p>
        </w:tc>
        <w:tc>
          <w:p>
            <w:pPr>
              <w:pStyle w:val="Compact"/>
              <w:jc w:val="center"/>
            </w:pPr>
            <w:r>
              <w:t xml:space="preserve">9.88</w:t>
            </w:r>
          </w:p>
        </w:tc>
        <w:tc>
          <w:p>
            <w:pPr>
              <w:pStyle w:val="Compact"/>
              <w:jc w:val="center"/>
            </w:pPr>
            <w:r>
              <w:t xml:space="preserve">4.94e-23</w:t>
            </w:r>
          </w:p>
        </w:tc>
      </w:tr>
      <w:tr>
        <w:tc>
          <w:p>
            <w:pPr>
              <w:pStyle w:val="Compact"/>
              <w:jc w:val="center"/>
            </w:pPr>
            <w:r>
              <w:rPr>
                <w:b/>
              </w:rPr>
              <w:t xml:space="preserve">PC1</w:t>
            </w:r>
          </w:p>
        </w:tc>
        <w:tc>
          <w:p>
            <w:pPr>
              <w:pStyle w:val="Compact"/>
              <w:jc w:val="center"/>
            </w:pPr>
            <w:r>
              <w:t xml:space="preserve">-0.0617</w:t>
            </w:r>
          </w:p>
        </w:tc>
        <w:tc>
          <w:p>
            <w:pPr>
              <w:pStyle w:val="Compact"/>
              <w:jc w:val="center"/>
            </w:pPr>
            <w:r>
              <w:t xml:space="preserve">0.0374</w:t>
            </w:r>
          </w:p>
        </w:tc>
        <w:tc>
          <w:p>
            <w:pPr>
              <w:pStyle w:val="Compact"/>
              <w:jc w:val="center"/>
            </w:pPr>
            <w:r>
              <w:t xml:space="preserve">-1.65</w:t>
            </w:r>
          </w:p>
        </w:tc>
        <w:tc>
          <w:p>
            <w:pPr>
              <w:pStyle w:val="Compact"/>
              <w:jc w:val="center"/>
            </w:pPr>
            <w:r>
              <w:t xml:space="preserve">0.0993</w:t>
            </w:r>
          </w:p>
        </w:tc>
      </w:tr>
      <w:tr>
        <w:tc>
          <w:p>
            <w:pPr>
              <w:pStyle w:val="Compact"/>
              <w:jc w:val="center"/>
            </w:pPr>
            <w:r>
              <w:rPr>
                <w:b/>
              </w:rPr>
              <w:t xml:space="preserve">PC2</w:t>
            </w:r>
          </w:p>
        </w:tc>
        <w:tc>
          <w:p>
            <w:pPr>
              <w:pStyle w:val="Compact"/>
              <w:jc w:val="center"/>
            </w:pPr>
            <w:r>
              <w:t xml:space="preserve">0.0582</w:t>
            </w:r>
          </w:p>
        </w:tc>
        <w:tc>
          <w:p>
            <w:pPr>
              <w:pStyle w:val="Compact"/>
              <w:jc w:val="center"/>
            </w:pPr>
            <w:r>
              <w:t xml:space="preserve">0.023</w:t>
            </w:r>
          </w:p>
        </w:tc>
        <w:tc>
          <w:p>
            <w:pPr>
              <w:pStyle w:val="Compact"/>
              <w:jc w:val="center"/>
            </w:pPr>
            <w:r>
              <w:t xml:space="preserve">2.54</w:t>
            </w:r>
          </w:p>
        </w:tc>
        <w:tc>
          <w:p>
            <w:pPr>
              <w:pStyle w:val="Compact"/>
              <w:jc w:val="center"/>
            </w:pPr>
            <w:r>
              <w:t xml:space="preserve">0.0112</w:t>
            </w:r>
          </w:p>
        </w:tc>
      </w:tr>
      <w:tr>
        <w:tc>
          <w:p>
            <w:pPr>
              <w:pStyle w:val="Compact"/>
              <w:jc w:val="center"/>
            </w:pPr>
            <w:r>
              <w:rPr>
                <w:b/>
              </w:rPr>
              <w:t xml:space="preserve">PC3</w:t>
            </w:r>
          </w:p>
        </w:tc>
        <w:tc>
          <w:p>
            <w:pPr>
              <w:pStyle w:val="Compact"/>
              <w:jc w:val="center"/>
            </w:pPr>
            <w:r>
              <w:t xml:space="preserve">0.0297</w:t>
            </w:r>
          </w:p>
        </w:tc>
        <w:tc>
          <w:p>
            <w:pPr>
              <w:pStyle w:val="Compact"/>
              <w:jc w:val="center"/>
            </w:pPr>
            <w:r>
              <w:t xml:space="preserve">0.0194</w:t>
            </w:r>
          </w:p>
        </w:tc>
        <w:tc>
          <w:p>
            <w:pPr>
              <w:pStyle w:val="Compact"/>
              <w:jc w:val="center"/>
            </w:pPr>
            <w:r>
              <w:t xml:space="preserve">1.53</w:t>
            </w:r>
          </w:p>
        </w:tc>
        <w:tc>
          <w:p>
            <w:pPr>
              <w:pStyle w:val="Compact"/>
              <w:jc w:val="center"/>
            </w:pPr>
            <w:r>
              <w:t xml:space="preserve">0.126</w:t>
            </w:r>
          </w:p>
        </w:tc>
      </w:tr>
      <w:tr>
        <w:tc>
          <w:p>
            <w:pPr>
              <w:pStyle w:val="Compact"/>
              <w:jc w:val="center"/>
            </w:pPr>
            <w:r>
              <w:rPr>
                <w:b/>
              </w:rPr>
              <w:t xml:space="preserve">PC4</w:t>
            </w:r>
          </w:p>
        </w:tc>
        <w:tc>
          <w:p>
            <w:pPr>
              <w:pStyle w:val="Compact"/>
              <w:jc w:val="center"/>
            </w:pPr>
            <w:r>
              <w:t xml:space="preserve">-0.0416</w:t>
            </w:r>
          </w:p>
        </w:tc>
        <w:tc>
          <w:p>
            <w:pPr>
              <w:pStyle w:val="Compact"/>
              <w:jc w:val="center"/>
            </w:pPr>
            <w:r>
              <w:t xml:space="preserve">0.0229</w:t>
            </w:r>
          </w:p>
        </w:tc>
        <w:tc>
          <w:p>
            <w:pPr>
              <w:pStyle w:val="Compact"/>
              <w:jc w:val="center"/>
            </w:pPr>
            <w:r>
              <w:t xml:space="preserve">-1.82</w:t>
            </w:r>
          </w:p>
        </w:tc>
        <w:tc>
          <w:p>
            <w:pPr>
              <w:pStyle w:val="Compact"/>
              <w:jc w:val="center"/>
            </w:pPr>
            <w:r>
              <w:t xml:space="preserve">0.0688</w:t>
            </w:r>
          </w:p>
        </w:tc>
      </w:tr>
      <w:tr>
        <w:tc>
          <w:p>
            <w:pPr>
              <w:pStyle w:val="Compact"/>
              <w:jc w:val="center"/>
            </w:pPr>
            <w:r>
              <w:rPr>
                <w:b/>
              </w:rPr>
              <w:t xml:space="preserve">Years</w:t>
            </w:r>
          </w:p>
        </w:tc>
        <w:tc>
          <w:p>
            <w:pPr>
              <w:pStyle w:val="Compact"/>
              <w:jc w:val="center"/>
            </w:pPr>
            <w:r>
              <w:t xml:space="preserve">0.0306</w:t>
            </w:r>
          </w:p>
        </w:tc>
        <w:tc>
          <w:p>
            <w:pPr>
              <w:pStyle w:val="Compact"/>
              <w:jc w:val="center"/>
            </w:pPr>
            <w:r>
              <w:t xml:space="preserve">0.00939</w:t>
            </w:r>
          </w:p>
        </w:tc>
        <w:tc>
          <w:p>
            <w:pPr>
              <w:pStyle w:val="Compact"/>
              <w:jc w:val="center"/>
            </w:pPr>
            <w:r>
              <w:t xml:space="preserve">3.26</w:t>
            </w:r>
          </w:p>
        </w:tc>
        <w:tc>
          <w:p>
            <w:pPr>
              <w:pStyle w:val="Compact"/>
              <w:jc w:val="center"/>
            </w:pPr>
            <w:r>
              <w:t xml:space="preserve">0.00112</w:t>
            </w:r>
          </w:p>
        </w:tc>
      </w:tr>
    </w:tbl>
    <w:p>
      <w:pPr>
        <w:pStyle w:val="BodyText"/>
      </w:pPr>
      <w:r>
        <w:t xml:space="preserve">Residuals:</w:t>
      </w:r>
      <w:r>
        <w:t xml:space="preserve"> </w:t>
      </w:r>
      <w:r>
        <w:t xml:space="preserve">Min 1st Qu. Median Mean 3rd Qu. Max</w:t>
      </w:r>
      <w:r>
        <w:t xml:space="preserve"> </w:t>
      </w:r>
      <w:r>
        <w:t xml:space="preserve">-0.573 -0.112 0.00519 -5.08e-17 0.134 0.566</w:t>
      </w:r>
      <w:r>
        <w:t xml:space="preserve"> </w:t>
      </w:r>
      <w:r>
        <w:t xml:space="preserve">RMSE: 0.192 on 134 degrees of freedom</w:t>
      </w:r>
      <w:r>
        <w:t xml:space="preserve"> </w:t>
      </w:r>
      <w:r>
        <w:t xml:space="preserve">Multiple R2: 0.916, Within R2: 0.803</w:t>
      </w:r>
    </w:p>
    <w:p>
      <w:pPr>
        <w:pStyle w:val="BodyText"/>
      </w:pPr>
      <w:r>
        <w:rPr>
          <w:i/>
        </w:rPr>
        <w:t xml:space="preserve">Figure 4: District Wheat Yield Estimates (2003-2012)</w:t>
      </w:r>
      <w:r>
        <w:rPr>
          <w:i/>
        </w:rPr>
        <w:t xml:space="preserve"> </w:t>
      </w:r>
    </w:p>
    <w:p>
      <w:pPr>
        <w:pStyle w:val="BodyText"/>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rPr>
        <w:t xml:space="preserve">Figure 5: Residuals from District Wheat Yield Estimates (2003-2012)</w:t>
      </w:r>
      <w:r>
        <w:rPr>
          <w:i/>
        </w:rPr>
        <w:t xml:space="preserve"> </w:t>
      </w:r>
    </w:p>
    <w:p>
      <w:pPr>
        <w:pStyle w:val="BodyText"/>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62" w:name="out-of-sample-cross-validation-1"/>
      <w:bookmarkEnd w:id="62"/>
      <w:r>
        <w:t xml:space="preserve">Out-Of-Sample Cross Validation</w:t>
      </w:r>
    </w:p>
    <w:p>
      <w:pPr>
        <w:pStyle w:val="FirstParagraph"/>
      </w:pPr>
      <w:r>
        <w:t xml:space="preserve">Here we present the results of measurements of predictive accuracy outlined in the methods section. Within-sample refers to the RMSE associated with a single regression estimation, and out-of-sample refers to the Leave-P-Out Cross Validation (LPOCV) described in the</w:t>
      </w:r>
      <w:r>
        <w:t xml:space="preserve"> </w:t>
      </w:r>
      <w:r>
        <w:rPr>
          <w:i/>
        </w:rPr>
        <w:t xml:space="preserve">Methods</w:t>
      </w:r>
      <w:r>
        <w:t xml:space="preserve"> </w:t>
      </w:r>
      <w:r>
        <w:t xml:space="preserve">section, and 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r>
        <w:t xml:space="preserve">.</w:t>
      </w:r>
    </w:p>
    <w:p>
      <w:pPr>
        <w:pStyle w:val="BodyText"/>
      </w:pPr>
      <w:r>
        <w:rPr>
          <w:i/>
        </w:rPr>
        <w:t xml:space="preserve">Table 7: LPOCV Performance Metrics for Within and Out Of Sample Prediction</w:t>
      </w:r>
      <w:r>
        <w:rPr>
          <w:i/>
        </w:rPr>
        <w:t xml:space="preserve"> </w:t>
      </w:r>
    </w:p>
    <w:tbl>
      <w:tblPr>
        <w:tblStyle w:val="TableNormal"/>
        <w:tblW w:type="pct" w:w="4930.555555555557"/>
        <w:tblLook w:firstRow="1"/>
      </w:tblPr>
      <w:tblGrid>
        <w:gridCol w:w="1980"/>
        <w:gridCol w:w="2310"/>
        <w:gridCol w:w="231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Within Sample RMSE</w:t>
            </w:r>
          </w:p>
        </w:tc>
        <w:tc>
          <w:tcPr>
            <w:tcBorders>
              <w:bottom w:val="single"/>
            </w:tcBorders>
            <w:vAlign w:val="bottom"/>
          </w:tcPr>
          <w:p>
            <w:pPr>
              <w:pStyle w:val="Compact"/>
              <w:jc w:val="center"/>
            </w:pPr>
            <w:r>
              <w:t xml:space="preserve">Out of Sample RMSE</w:t>
            </w:r>
          </w:p>
        </w:tc>
        <w:tc>
          <w:tcPr>
            <w:tcBorders>
              <w:bottom w:val="single"/>
            </w:tcBorders>
            <w:vAlign w:val="bottom"/>
          </w:tcPr>
          <w:p>
            <w:pPr>
              <w:pStyle w:val="Compact"/>
              <w:jc w:val="center"/>
            </w:pPr>
            <w:r>
              <w:t xml:space="preserve">Within R2</w:t>
            </w:r>
          </w:p>
        </w:tc>
      </w:tr>
      <w:tr>
        <w:tc>
          <w:p>
            <w:pPr>
              <w:pStyle w:val="Compact"/>
              <w:jc w:val="left"/>
            </w:pPr>
            <w:r>
              <w:rPr>
                <w:b/>
              </w:rPr>
              <w:t xml:space="preserve">Pool Fit</w:t>
            </w:r>
          </w:p>
        </w:tc>
        <w:tc>
          <w:p>
            <w:pPr>
              <w:pStyle w:val="Compact"/>
              <w:jc w:val="center"/>
            </w:pPr>
            <w:r>
              <w:t xml:space="preserve">0.4</w:t>
            </w:r>
          </w:p>
        </w:tc>
        <w:tc>
          <w:p>
            <w:pPr>
              <w:pStyle w:val="Compact"/>
              <w:jc w:val="center"/>
            </w:pPr>
            <w:r>
              <w:t xml:space="preserve">0.5</w:t>
            </w:r>
          </w:p>
        </w:tc>
        <w:tc>
          <w:p>
            <w:pPr>
              <w:pStyle w:val="Compact"/>
              <w:jc w:val="center"/>
            </w:pPr>
            <w:r>
              <w:t xml:space="preserve">0.53</w:t>
            </w:r>
          </w:p>
        </w:tc>
      </w:tr>
      <w:tr>
        <w:tc>
          <w:p>
            <w:pPr>
              <w:pStyle w:val="Compact"/>
              <w:jc w:val="left"/>
            </w:pPr>
            <w:r>
              <w:rPr>
                <w:b/>
              </w:rPr>
              <w:t xml:space="preserve">FE Fit</w:t>
            </w:r>
          </w:p>
        </w:tc>
        <w:tc>
          <w:p>
            <w:pPr>
              <w:pStyle w:val="Compact"/>
              <w:jc w:val="center"/>
            </w:pPr>
            <w:r>
              <w:t xml:space="preserve">0.26</w:t>
            </w:r>
          </w:p>
        </w:tc>
        <w:tc>
          <w:p>
            <w:pPr>
              <w:pStyle w:val="Compact"/>
              <w:jc w:val="center"/>
            </w:pPr>
            <w:r>
              <w:t xml:space="preserve">0.39</w:t>
            </w:r>
          </w:p>
        </w:tc>
        <w:tc>
          <w:p>
            <w:pPr>
              <w:pStyle w:val="Compact"/>
              <w:jc w:val="center"/>
            </w:pPr>
            <w:r>
              <w:t xml:space="preserve">0.81</w:t>
            </w:r>
          </w:p>
        </w:tc>
      </w:tr>
      <w:tr>
        <w:tc>
          <w:p>
            <w:pPr>
              <w:pStyle w:val="Compact"/>
              <w:jc w:val="left"/>
            </w:pPr>
            <w:r>
              <w:rPr>
                <w:b/>
              </w:rPr>
              <w:t xml:space="preserve">Spatial Fit</w:t>
            </w:r>
          </w:p>
        </w:tc>
        <w:tc>
          <w:p>
            <w:pPr>
              <w:pStyle w:val="Compact"/>
              <w:jc w:val="center"/>
            </w:pPr>
            <w:r>
              <w:t xml:space="preserve">0.19</w:t>
            </w:r>
          </w:p>
        </w:tc>
        <w:tc>
          <w:p>
            <w:pPr>
              <w:pStyle w:val="Compact"/>
              <w:jc w:val="center"/>
            </w:pPr>
            <w:r>
              <w:t xml:space="preserve">0.24</w:t>
            </w:r>
          </w:p>
        </w:tc>
        <w:tc>
          <w:p>
            <w:pPr>
              <w:pStyle w:val="Compact"/>
              <w:jc w:val="center"/>
            </w:pPr>
            <w:r>
              <w:t xml:space="preserve">0.8</w:t>
            </w:r>
          </w:p>
        </w:tc>
      </w:tr>
    </w:tbl>
    <w:p>
      <w:pPr>
        <w:pStyle w:val="Heading1"/>
      </w:pPr>
      <w:bookmarkStart w:id="63" w:name="discussion"/>
      <w:bookmarkEnd w:id="63"/>
      <w:r>
        <w:t xml:space="preserve">Discussion</w:t>
      </w:r>
    </w:p>
    <w:p>
      <w:pPr>
        <w:pStyle w:val="Heading2"/>
      </w:pPr>
      <w:bookmarkStart w:id="64" w:name="algorithms"/>
      <w:bookmarkEnd w:id="64"/>
      <w:r>
        <w:t xml:space="preserve">Algorithms</w:t>
      </w:r>
    </w:p>
    <w:p>
      <w:pPr>
        <w:pStyle w:val="FirstParagraph"/>
      </w:pPr>
      <w:r>
        <w:t xml:space="preserve">A broad suite of algorithms for crop modeling using the open-source language R are provided in the</w:t>
      </w:r>
      <w:r>
        <w:t xml:space="preserve"> </w:t>
      </w:r>
      <w:r>
        <w:rPr>
          <w:i/>
        </w:rPr>
        <w:t xml:space="preserve">Functions</w:t>
      </w:r>
      <w:r>
        <w:t xml:space="preserve"> </w:t>
      </w:r>
      <w:r>
        <w:t xml:space="preserve">section of Appendix A as well as in an open github repository</w:t>
      </w:r>
      <w:r>
        <w:t xml:space="preserve"> </w:t>
      </w:r>
      <w:hyperlink r:id="rId25">
        <w:r>
          <w:rPr>
            <w:rStyle w:val="Hyperlink"/>
          </w:rPr>
          <w:t xml:space="preserve">here</w:t>
        </w:r>
      </w:hyperlink>
      <w:r>
        <w:t xml:space="preserve">, and were used to create variables described in Table 1. These functions have been designed to capture phenologically relevant components of the a growing season. They are designed to be flexibly applied to a wide set of geographic areas and crop seasons. For instance, similar or better results to those presented here were created for rice production in Punjab and Haryana. The functions are also able to reasonably estimate critical management indicators such as planting and harvest dates by mixing expert opinion with optimization routines.</w:t>
      </w:r>
    </w:p>
    <w:p>
      <w:pPr>
        <w:pStyle w:val="BodyText"/>
      </w:pPr>
      <w:r>
        <w:t xml:space="preserve">Due to the idiosyncratic and heterogeneous nature of crop production in many developing countries these statistics are calculated independently for each area of interest and time-period. Therefore, metrics can accurately reflect spatial and temporal variability due to differences in management practices, climatic zone, weather, and edaphic properties. Importantly, the spatiotemporal characteristics of the data are maintained for use in panel econometric applications.</w:t>
      </w:r>
    </w:p>
    <w:p>
      <w:pPr>
        <w:pStyle w:val="Heading2"/>
      </w:pPr>
      <w:bookmarkStart w:id="65" w:name="principal-component-loadings-1"/>
      <w:bookmarkEnd w:id="65"/>
      <w:r>
        <w:t xml:space="preserve">Principal Component Loadings</w:t>
      </w:r>
    </w:p>
    <w:p>
      <w:pPr>
        <w:pStyle w:val="FirstParagraph"/>
      </w:pPr>
      <w:r>
        <w:t xml:space="preserve">Here we use principal components to avoid issues of multicolinearity across NDVI metrics for both the Rabi and Kharif seasons. An unusual feature of this study is the explicit integration of statistics from the preceeding Kharif season (typically rice) for Rabi wheat estimation. These variables were included because nutrients and water availability, although rarely modeled as such, are part of longer-term integrative processes. Water availability during a growing season is a function of rainfall, temperatures, wind speeds, and edaphic properties more closely related to metrics such as climatic water deficit</w:t>
      </w:r>
      <w:r>
        <w:t xml:space="preserve"> </w:t>
      </w:r>
      <w:r>
        <w:t xml:space="preserve">(Michael L Mann et al., 2016)</w:t>
      </w:r>
      <w:r>
        <w:t xml:space="preserve">. As such, the inclusion of Kharif season statistics allow us to control for spillovers from the preceding growing season.</w:t>
      </w:r>
    </w:p>
    <w:p>
      <w:pPr>
        <w:pStyle w:val="BodyText"/>
      </w:pPr>
      <w:r>
        <w:t xml:space="preserve">Considering the longer-term nature of moisture availability, we also must consider the inability of Rabi NDVI to capture all meaningful characteristics of the season. Rainfall in the months leading up to a growing season will be important for maintaining soil moisture across the growing season, but is particularly important during the germination process, when the NDVI signal for the Rabi season is minimal. Plant health in the preceding season is therefore a good indicator of current growing conditions, especially in the early parts of the season. Looking at Figure 4 we can see that effects of a failed monsoon in 2004-2005 on yeilds. Despite the extensive use of irrigation in Punjab and Haryana, deficits in soil moisture proved difficult to make up for. For more details on this please see the later section on droughts.</w:t>
      </w:r>
    </w:p>
    <w:p>
      <w:pPr>
        <w:pStyle w:val="Heading2"/>
      </w:pPr>
      <w:bookmarkStart w:id="66" w:name="regression-results"/>
      <w:bookmarkEnd w:id="66"/>
      <w:r>
        <w:t xml:space="preserve">Regression Results</w:t>
      </w:r>
    </w:p>
    <w:p>
      <w:pPr>
        <w:pStyle w:val="FirstParagraph"/>
      </w:pPr>
      <w:r>
        <w:t xml:space="preserve">Preliminary tests rule out the use of pooled OLS in favor of fixed effects methods. Looking at Table 5 results for PC1, which largely comprises comparisons of the current years mean value and the historic 95th percentile in the Kharif season, we can see that low current values relative to the upper percentiles are significantly correlated with reductions in Rabi wheat yields (p&lt;0.0322). For PC2, we see that increases in the minimum values of NDVI correspond to significantly higher wheat yields (p&lt;2.24e-06). For PC3, we see that increases in season length correspond (although with a relatively small response) to significantly higher yields (p&lt;7.3e-05). For PC4, we see significantly lower yields corresponding to greater differences between the current year AUC values and the upper percentiles of the observed record (p&lt;0.0517). The spatial lag model from eq. 3 follows a similar pattern of sign and significance, however the relative size of the coefficients are smaller due to the influence of</w:t>
      </w:r>
      <w:r>
        <w:t xml:space="preserve"> </w:t>
      </w:r>
      <m:oMath>
        <m:r>
          <m:t>λ</m:t>
        </m:r>
      </m:oMath>
      <w:r>
        <w:t xml:space="preserve">, the spatial autoregressive coefficient (Table 6). Here the large and positive coefficient indicates strong spatial spillover effects, with uncontrolled factors affecting yield not easily captured by NDVI (e.g. pest, disease, management, ground water availability) influencing their neighboring district.</w:t>
      </w:r>
    </w:p>
    <w:p>
      <w:pPr>
        <w:pStyle w:val="Heading2"/>
      </w:pPr>
      <w:bookmarkStart w:id="67" w:name="spatiotemporal-model-accuracy"/>
      <w:bookmarkEnd w:id="67"/>
      <w:r>
        <w:t xml:space="preserve">Spatiotemporal Model Accuracy</w:t>
      </w:r>
    </w:p>
    <w:p>
      <w:pPr>
        <w:pStyle w:val="FirstParagraph"/>
      </w:pPr>
      <w:r>
        <w:t xml:space="preserve">Metrics for wheat yield prediction at the district level are promising, with within-</w:t>
      </w:r>
      <m:oMath>
        <m:sSup>
          <m:e>
            <m:r>
              <m:t>R</m:t>
            </m:r>
          </m:e>
          <m:sup>
            <m:r>
              <m:t>2</m:t>
            </m:r>
          </m:sup>
        </m:sSup>
      </m:oMath>
      <w:r>
        <w:t xml:space="preserve"> </w:t>
      </w:r>
      <w:r>
        <w:t xml:space="preserve">0.53 to 0.81</w:t>
      </w:r>
      <w:r>
        <w:rPr>
          <w:rStyle w:val="FootnoteReference"/>
        </w:rPr>
        <w:footnoteReference w:id="68"/>
      </w:r>
      <w:r>
        <w:t xml:space="preserve"> </w:t>
      </w:r>
      <w:r>
        <w:t xml:space="preserve">and out of sample RMSEs as low as 0.24 metric tons per hectare using only information extracted from NDVI (Table 7). The improvements in accuracy from leveraging the spatiotemporal properties of panel data is apparent with predictive accuracy increasing nearly 2 fold relative to traditional OLS approaches. We can also see the improvements of accuracy obtained when spatially lagged values of yields (</w:t>
      </w:r>
      <m:oMath>
        <m:sSub>
          <m:e>
            <m:r>
              <m:t>W</m:t>
            </m:r>
          </m:e>
          <m:sub>
            <m:r>
              <m:t>i</m:t>
            </m:r>
            <m:r>
              <m:t>j</m:t>
            </m:r>
          </m:sub>
        </m:sSub>
        <m:sSub>
          <m:e>
            <m:r>
              <m:t>Y</m:t>
            </m:r>
          </m:e>
          <m:sub>
            <m:r>
              <m:t>j</m:t>
            </m:r>
            <m:r>
              <m:t>t</m:t>
            </m:r>
          </m:sub>
        </m:sSub>
      </m:oMath>
      <w:r>
        <w:t xml:space="preserve">) are included in the regression. Note however that the inclusion of</w:t>
      </w:r>
      <w:r>
        <w:t xml:space="preserve"> </w:t>
      </w:r>
      <m:oMath>
        <m:sSub>
          <m:e>
            <m:r>
              <m:t>Y</m:t>
            </m:r>
          </m:e>
          <m:sub>
            <m:r>
              <m:t>j</m:t>
            </m:r>
            <m:r>
              <m:t>t</m:t>
            </m:r>
          </m:sub>
        </m:sSub>
      </m:oMath>
      <w:r>
        <w:t xml:space="preserve"> </w:t>
      </w:r>
      <w:r>
        <w:t xml:space="preserve">on the right side of the equation precludes true forecasting applications because it requires contemporaneous information on yields in neighboring districts. This particular issue could be at least partially addressed by integrated spatially and lagged values of Y for neighbors</w:t>
      </w:r>
      <w:r>
        <w:t xml:space="preserve"> </w:t>
      </w:r>
      <w:r>
        <w:rPr>
          <w:i/>
        </w:rPr>
        <w:t xml:space="preserve">j</w:t>
      </w:r>
      <w:r>
        <w:t xml:space="preserve"> </w:t>
      </w:r>
      <w:r>
        <w:t xml:space="preserve">(</w:t>
      </w:r>
      <m:oMath>
        <m:sSub>
          <m:e>
            <m:r>
              <m:t>Y</m:t>
            </m:r>
          </m:e>
          <m:sub>
            <m:r>
              <m:t>j</m:t>
            </m:r>
            <m:r>
              <m:t>t</m:t>
            </m:r>
            <m:r>
              <m:t>−</m:t>
            </m:r>
            <m:r>
              <m:t>1</m:t>
            </m:r>
          </m:sub>
        </m:sSub>
      </m:oMath>
      <w:r>
        <w:t xml:space="preserve">), which require no contemporaneous information.</w:t>
      </w:r>
    </w:p>
    <w:p>
      <w:pPr>
        <w:pStyle w:val="BodyText"/>
      </w:pPr>
      <w:r>
        <w:t xml:space="preserve">These differences are clearly exhibited in Figure 4 where the fixed effect and spatial lag models clearly out-perform the pooled OLS methodology. This is particularly true during years exhibiting high variance such as 2005 and 2011 where unusually low and high values are prevalent across the sample. This characteristic of panel data reflects the underlying principal of the methodology which is able to model both the time-series properties of a single district, as well as the cross-sectional (spatial) properties of a particular year and or district. These improvements are also expressed in the distribution of residuals presented in Figure 5.</w:t>
      </w:r>
    </w:p>
    <w:p>
      <w:pPr>
        <w:pStyle w:val="Heading2"/>
      </w:pPr>
      <w:bookmarkStart w:id="69" w:name="observations-of-drought"/>
      <w:bookmarkEnd w:id="69"/>
      <w:r>
        <w:t xml:space="preserve">Observations of Drought</w:t>
      </w:r>
    </w:p>
    <w:p>
      <w:pPr>
        <w:pStyle w:val="FirstParagraph"/>
      </w:pPr>
      <w:r>
        <w:t xml:space="preserve">Much of western India has experience regular and often intense droughts over the past decades. In Punjab prior to 2010, annual rainfall had declined nearly 450 mm, and experienced drought conditions in 1987, 1997, 2002, 2007 and 2009</w:t>
      </w:r>
      <w:r>
        <w:t xml:space="preserve"> </w:t>
      </w:r>
      <w:r>
        <w:t xml:space="preserve">(Sidhu &amp; Vatta, 2012)</w:t>
      </w:r>
      <w:r>
        <w:t xml:space="preserve">. These declines, coupled with increasing temperatures, has made both Punjab and Haryana increasingly dependent on irrigation to maintain yields, with over 95% of arable land irrigated</w:t>
      </w:r>
      <w:r>
        <w:t xml:space="preserve"> </w:t>
      </w:r>
      <w:r>
        <w:t xml:space="preserve">(Sidhu &amp; Vatta, 2012,</w:t>
      </w:r>
      <w:r>
        <w:t xml:space="preserve"> </w:t>
      </w:r>
      <w:r>
        <w:t xml:space="preserve">Ambika, Wardlow, &amp; Mishra (2016)</w:t>
      </w:r>
      <w:r>
        <w:t xml:space="preserve">)</w:t>
      </w:r>
      <w:r>
        <w:t xml:space="preserve">. Declining precipitation and increasing temperatures has necessitated the ever increasing use of groundwater, calling into question the economic and environmental sustainability of the practice. For instance in 2009 alone, the water table in the central valley of Punjab declined by more than one meter</w:t>
      </w:r>
      <w:r>
        <w:t xml:space="preserve"> </w:t>
      </w:r>
      <w:r>
        <w:t xml:space="preserve">(Sidhu &amp; Vatta, 2012)</w:t>
      </w:r>
      <w:r>
        <w:t xml:space="preserve">. Rapid declines in the water table substantially increases the costs of irrigation by necessitating the deepening of wells, and increasing the costs of pumping water to the surface. Because the government nearly fully subsidies the fuel and electricity costs of groundwater extraction, it seems broadly perceived that "yield levels are seldom affected by even a significant fall in rainfall"</w:t>
      </w:r>
      <w:r>
        <w:t xml:space="preserve"> </w:t>
      </w:r>
      <w:r>
        <w:t xml:space="preserve">(Sidhu &amp; Vatta, 2012)</w:t>
      </w:r>
      <w:r>
        <w:t xml:space="preserve">.</w:t>
      </w:r>
    </w:p>
    <w:p>
      <w:pPr>
        <w:pStyle w:val="BodyText"/>
      </w:pPr>
      <w:r>
        <w:t xml:space="preserve">Our time series of wheat yields shows strong resilience to drought but still demonstrates declines during periods of extended drought (Figure 4). For instance, yields declined up to 1/2 a ton per hectare during 2009. These declines, and other years like it, may be caused by the lag between observations of drought and investment in wells. Supporting this, a recent remotely sensed study of irrigated land reports significant portions both states coming into and out of irrigated production during times of drought</w:t>
      </w:r>
      <w:r>
        <w:t xml:space="preserve"> </w:t>
      </w:r>
      <w:r>
        <w:t xml:space="preserve">(Ambika et al., 2016)</w:t>
      </w:r>
      <w:r>
        <w:t xml:space="preserve">. Regardless of access to irrigation water, proper timing of irrigation and management can be difficult during periods of drought especially in areas with sandy soils or even those with compacted soils</w:t>
      </w:r>
      <w:r>
        <w:t xml:space="preserve"> </w:t>
      </w:r>
      <w:r>
        <w:t xml:space="preserve">(Utt, 2017,</w:t>
      </w:r>
      <w:r>
        <w:t xml:space="preserve"> </w:t>
      </w:r>
      <w:r>
        <w:t xml:space="preserve">Kumar (2017)</w:t>
      </w:r>
      <w:r>
        <w:t xml:space="preserve">)</w:t>
      </w:r>
      <w:r>
        <w:t xml:space="preserve">.</w:t>
      </w:r>
    </w:p>
    <w:p>
      <w:pPr>
        <w:pStyle w:val="BodyText"/>
      </w:pPr>
      <w:r>
        <w:t xml:space="preserve">From Figure 4 we can see that the variables derived from NDVI as estimated by fixed effects and spatial panel can realistically track these shifts. Meanwhile the pooled regression approach, which ignores the spatiotemporal nature of the data, is largely insensitive the shifts in NDVI caused by drought. This finding reinforces the critical importance of panel regression to predictive modeling, especially in studies with spatiotemporal components.</w:t>
      </w:r>
    </w:p>
    <w:p>
      <w:pPr>
        <w:pStyle w:val="Heading1"/>
      </w:pPr>
      <w:bookmarkStart w:id="70" w:name="conclusions"/>
      <w:bookmarkEnd w:id="70"/>
      <w:r>
        <w:t xml:space="preserve">Conclusions</w:t>
      </w:r>
    </w:p>
    <w:p>
      <w:pPr>
        <w:pStyle w:val="FirstParagraph"/>
      </w:pPr>
      <w:r>
        <w:t xml:space="preserve">In this study we demonstrate and provide open access to a new suite of algorithms designed to rapidly extract and summarize remotely sensed data for use in panel regression. We then demonstrate the desireability of panel regression techniques above traditional crossectional or pooled approaches. Traditional cross sectional and pooled regression approaches mistreat or underutilize the spatiotemporal variation they wish to explain. All code use to estimate these models and to write this text is provided</w:t>
      </w:r>
      <w:r>
        <w:t xml:space="preserve"> </w:t>
      </w:r>
      <w:hyperlink r:id="rId24">
        <w:r>
          <w:rPr>
            <w:rStyle w:val="Hyperlink"/>
          </w:rPr>
          <w:t xml:space="preserve">online</w:t>
        </w:r>
      </w:hyperlink>
      <w:r>
        <w:t xml:space="preserve"> </w:t>
      </w:r>
      <w:r>
        <w:t xml:space="preserve">through github.</w:t>
      </w:r>
    </w:p>
    <w:p>
      <w:pPr>
        <w:pStyle w:val="Heading1"/>
      </w:pPr>
      <w:bookmarkStart w:id="71" w:name="appendix-a"/>
      <w:bookmarkEnd w:id="71"/>
      <w:r>
        <w:t xml:space="preserve">Appendix A</w:t>
      </w:r>
    </w:p>
    <w:p>
      <w:pPr>
        <w:pStyle w:val="Heading2"/>
      </w:pPr>
      <w:bookmarkStart w:id="72" w:name="yield-data"/>
      <w:bookmarkEnd w:id="72"/>
      <w:r>
        <w:t xml:space="preserve">Yield Data</w:t>
      </w:r>
    </w:p>
    <w:p>
      <w:pPr>
        <w:pStyle w:val="FirstParagraph"/>
      </w:pPr>
      <w:r>
        <w:rPr>
          <w:i/>
        </w:rPr>
        <w:t xml:space="preserve">Table A2: Rabi Season Wheat Yields Metric Tons per Hectare by State</w:t>
      </w:r>
      <w:r>
        <w:rPr>
          <w:i/>
        </w:rPr>
        <w:t xml:space="preserve"> </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3.82</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3.78</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4.62</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4.55</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4.69</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2.63</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4.51</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4.63</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4.27</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4.67</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4.38</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4.52</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3.81</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w:t>
            </w:r>
          </w:p>
        </w:tc>
        <w:tc>
          <w:p>
            <w:pPr>
              <w:pStyle w:val="Compact"/>
              <w:jc w:val="center"/>
            </w:pPr>
            <w:r>
              <w:t xml:space="preserve">5.13</w:t>
            </w:r>
          </w:p>
        </w:tc>
      </w:tr>
    </w:tbl>
    <w:p>
      <w:pPr>
        <w:pStyle w:val="Heading2"/>
      </w:pPr>
      <w:bookmarkStart w:id="73" w:name="principal-components-analysis"/>
      <w:bookmarkEnd w:id="73"/>
      <w:r>
        <w:t xml:space="preserve">Principal Components Analysis</w:t>
      </w:r>
    </w:p>
    <w:p>
      <w:pPr>
        <w:pStyle w:val="FirstParagraph"/>
      </w:pPr>
      <w:r>
        <w:rPr>
          <w:i/>
        </w:rPr>
        <w:t xml:space="preserve">Table A1: Importance of PCA components</w:t>
      </w:r>
    </w:p>
    <w:p>
      <w:pPr>
        <w:pStyle w:val="TableCaption"/>
      </w:pPr>
      <w:r>
        <w:t xml:space="preserve">Table continues below</w:t>
      </w:r>
    </w:p>
    <w:tbl>
      <w:tblPr>
        <w:tblStyle w:val="TableNormal"/>
        <w:tblW w:type="pct" w:w="5000.0"/>
        <w:tblLook w:firstRow="1"/>
        <w:tblCaption w:val="Table continues below"/>
      </w:tblPr>
      <w:tblGrid>
        <w:gridCol w:w="3062"/>
        <w:gridCol w:w="633"/>
        <w:gridCol w:w="633"/>
        <w:gridCol w:w="633"/>
        <w:gridCol w:w="739"/>
        <w:gridCol w:w="739"/>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r>
      <w:tr>
        <w:tc>
          <w:p>
            <w:pPr>
              <w:pStyle w:val="Compact"/>
              <w:jc w:val="center"/>
            </w:pPr>
            <w:r>
              <w:rPr>
                <w:b/>
              </w:rPr>
              <w:t xml:space="preserve">Standard deviation</w:t>
            </w:r>
          </w:p>
        </w:tc>
        <w:tc>
          <w:p>
            <w:pPr>
              <w:pStyle w:val="Compact"/>
              <w:jc w:val="center"/>
            </w:pPr>
            <w:r>
              <w:t xml:space="preserve">3.47</w:t>
            </w:r>
          </w:p>
        </w:tc>
        <w:tc>
          <w:p>
            <w:pPr>
              <w:pStyle w:val="Compact"/>
              <w:jc w:val="center"/>
            </w:pPr>
            <w:r>
              <w:t xml:space="preserve">2.83</w:t>
            </w:r>
          </w:p>
        </w:tc>
        <w:tc>
          <w:p>
            <w:pPr>
              <w:pStyle w:val="Compact"/>
              <w:jc w:val="center"/>
            </w:pPr>
            <w:r>
              <w:t xml:space="preserve">2.28</w:t>
            </w:r>
          </w:p>
        </w:tc>
        <w:tc>
          <w:p>
            <w:pPr>
              <w:pStyle w:val="Compact"/>
              <w:jc w:val="center"/>
            </w:pPr>
            <w:r>
              <w:t xml:space="preserve">1.56</w:t>
            </w:r>
          </w:p>
        </w:tc>
        <w:tc>
          <w:p>
            <w:pPr>
              <w:pStyle w:val="Compact"/>
              <w:jc w:val="center"/>
            </w:pPr>
            <w:r>
              <w:t xml:space="preserve">1.27</w:t>
            </w:r>
          </w:p>
        </w:tc>
        <w:tc>
          <w:p>
            <w:pPr>
              <w:pStyle w:val="Compact"/>
              <w:jc w:val="center"/>
            </w:pPr>
            <w:r>
              <w:t xml:space="preserve">1.23</w:t>
            </w:r>
          </w:p>
        </w:tc>
        <w:tc>
          <w:p>
            <w:pPr>
              <w:pStyle w:val="Compact"/>
              <w:jc w:val="center"/>
            </w:pPr>
            <w:r>
              <w:t xml:space="preserve">1.13</w:t>
            </w:r>
          </w:p>
        </w:tc>
      </w:tr>
      <w:tr>
        <w:tc>
          <w:p>
            <w:pPr>
              <w:pStyle w:val="Compact"/>
              <w:jc w:val="center"/>
            </w:pPr>
            <w:r>
              <w:rPr>
                <w:b/>
              </w:rPr>
              <w:t xml:space="preserve">Proportion of Variance</w:t>
            </w:r>
          </w:p>
        </w:tc>
        <w:tc>
          <w:p>
            <w:pPr>
              <w:pStyle w:val="Compact"/>
              <w:jc w:val="center"/>
            </w:pPr>
            <w:r>
              <w:t xml:space="preserve">0.335</w:t>
            </w:r>
          </w:p>
        </w:tc>
        <w:tc>
          <w:p>
            <w:pPr>
              <w:pStyle w:val="Compact"/>
              <w:jc w:val="center"/>
            </w:pPr>
            <w:r>
              <w:t xml:space="preserve">0.222</w:t>
            </w:r>
          </w:p>
        </w:tc>
        <w:tc>
          <w:p>
            <w:pPr>
              <w:pStyle w:val="Compact"/>
              <w:jc w:val="center"/>
            </w:pPr>
            <w:r>
              <w:t xml:space="preserve">0.144</w:t>
            </w:r>
          </w:p>
        </w:tc>
        <w:tc>
          <w:p>
            <w:pPr>
              <w:pStyle w:val="Compact"/>
              <w:jc w:val="center"/>
            </w:pPr>
            <w:r>
              <w:t xml:space="preserve">0.0678</w:t>
            </w:r>
          </w:p>
        </w:tc>
        <w:tc>
          <w:p>
            <w:pPr>
              <w:pStyle w:val="Compact"/>
              <w:jc w:val="center"/>
            </w:pPr>
            <w:r>
              <w:t xml:space="preserve">0.0451</w:t>
            </w:r>
          </w:p>
        </w:tc>
        <w:tc>
          <w:p>
            <w:pPr>
              <w:pStyle w:val="Compact"/>
              <w:jc w:val="center"/>
            </w:pPr>
            <w:r>
              <w:t xml:space="preserve">0.0418</w:t>
            </w:r>
          </w:p>
        </w:tc>
        <w:tc>
          <w:p>
            <w:pPr>
              <w:pStyle w:val="Compact"/>
              <w:jc w:val="center"/>
            </w:pPr>
            <w:r>
              <w:t xml:space="preserve">0.0353</w:t>
            </w:r>
          </w:p>
        </w:tc>
      </w:tr>
      <w:tr>
        <w:tc>
          <w:p>
            <w:pPr>
              <w:pStyle w:val="Compact"/>
              <w:jc w:val="center"/>
            </w:pPr>
            <w:r>
              <w:rPr>
                <w:b/>
              </w:rPr>
              <w:t xml:space="preserve">Cumulative Proportion</w:t>
            </w:r>
          </w:p>
        </w:tc>
        <w:tc>
          <w:p>
            <w:pPr>
              <w:pStyle w:val="Compact"/>
              <w:jc w:val="center"/>
            </w:pPr>
            <w:r>
              <w:t xml:space="preserve">0.335</w:t>
            </w:r>
          </w:p>
        </w:tc>
        <w:tc>
          <w:p>
            <w:pPr>
              <w:pStyle w:val="Compact"/>
              <w:jc w:val="center"/>
            </w:pPr>
            <w:r>
              <w:t xml:space="preserve">0.557</w:t>
            </w:r>
          </w:p>
        </w:tc>
        <w:tc>
          <w:p>
            <w:pPr>
              <w:pStyle w:val="Compact"/>
              <w:jc w:val="center"/>
            </w:pPr>
            <w:r>
              <w:t xml:space="preserve">0.701</w:t>
            </w:r>
          </w:p>
        </w:tc>
        <w:tc>
          <w:p>
            <w:pPr>
              <w:pStyle w:val="Compact"/>
              <w:jc w:val="center"/>
            </w:pPr>
            <w:r>
              <w:t xml:space="preserve">0.769</w:t>
            </w:r>
          </w:p>
        </w:tc>
        <w:tc>
          <w:p>
            <w:pPr>
              <w:pStyle w:val="Compact"/>
              <w:jc w:val="center"/>
            </w:pPr>
            <w:r>
              <w:t xml:space="preserve">0.814</w:t>
            </w:r>
          </w:p>
        </w:tc>
        <w:tc>
          <w:p>
            <w:pPr>
              <w:pStyle w:val="Compact"/>
              <w:jc w:val="center"/>
            </w:pPr>
            <w:r>
              <w:t xml:space="preserve">0.855</w:t>
            </w:r>
          </w:p>
        </w:tc>
        <w:tc>
          <w:p>
            <w:pPr>
              <w:pStyle w:val="Compact"/>
              <w:jc w:val="center"/>
            </w:pPr>
            <w:r>
              <w:t xml:space="preserve">0.891</w:t>
            </w:r>
          </w:p>
        </w:tc>
      </w:tr>
    </w:tbl>
    <w:p>
      <w:pPr>
        <w:pStyle w:val="TableCaption"/>
      </w:pPr>
      <w:r>
        <w:t xml:space="preserve">Table continues below</w:t>
      </w:r>
    </w:p>
    <w:tbl>
      <w:tblPr>
        <w:tblStyle w:val="TableNormal"/>
        <w:tblW w:type="pct" w:w="4999.999999999999"/>
        <w:tblLook w:firstRow="1"/>
        <w:tblCaption w:val="Table continues below"/>
      </w:tblPr>
      <w:tblGrid>
        <w:gridCol w:w="2871"/>
        <w:gridCol w:w="693"/>
        <w:gridCol w:w="594"/>
        <w:gridCol w:w="693"/>
        <w:gridCol w:w="693"/>
        <w:gridCol w:w="792"/>
        <w:gridCol w:w="792"/>
        <w:gridCol w:w="79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c>
          <w:tcPr>
            <w:tcBorders>
              <w:bottom w:val="single"/>
            </w:tcBorders>
            <w:vAlign w:val="bottom"/>
          </w:tcPr>
          <w:p>
            <w:pPr>
              <w:pStyle w:val="Compact"/>
              <w:jc w:val="center"/>
            </w:pPr>
            <w:r>
              <w:t xml:space="preserve">PC10</w:t>
            </w:r>
          </w:p>
        </w:tc>
        <w:tc>
          <w:tcPr>
            <w:tcBorders>
              <w:bottom w:val="single"/>
            </w:tcBorders>
            <w:vAlign w:val="bottom"/>
          </w:tcPr>
          <w:p>
            <w:pPr>
              <w:pStyle w:val="Compact"/>
              <w:jc w:val="center"/>
            </w:pPr>
            <w:r>
              <w:t xml:space="preserve">PC11</w:t>
            </w:r>
          </w:p>
        </w:tc>
        <w:tc>
          <w:tcPr>
            <w:tcBorders>
              <w:bottom w:val="single"/>
            </w:tcBorders>
            <w:vAlign w:val="bottom"/>
          </w:tcPr>
          <w:p>
            <w:pPr>
              <w:pStyle w:val="Compact"/>
              <w:jc w:val="center"/>
            </w:pPr>
            <w:r>
              <w:t xml:space="preserve">PC12</w:t>
            </w:r>
          </w:p>
        </w:tc>
        <w:tc>
          <w:tcPr>
            <w:tcBorders>
              <w:bottom w:val="single"/>
            </w:tcBorders>
            <w:vAlign w:val="bottom"/>
          </w:tcPr>
          <w:p>
            <w:pPr>
              <w:pStyle w:val="Compact"/>
              <w:jc w:val="center"/>
            </w:pPr>
            <w:r>
              <w:t xml:space="preserve">PC13</w:t>
            </w:r>
          </w:p>
        </w:tc>
        <w:tc>
          <w:tcPr>
            <w:tcBorders>
              <w:bottom w:val="single"/>
            </w:tcBorders>
            <w:vAlign w:val="bottom"/>
          </w:tcPr>
          <w:p>
            <w:pPr>
              <w:pStyle w:val="Compact"/>
              <w:jc w:val="center"/>
            </w:pPr>
            <w:r>
              <w:t xml:space="preserve">PC14</w:t>
            </w:r>
          </w:p>
        </w:tc>
      </w:tr>
      <w:tr>
        <w:tc>
          <w:p>
            <w:pPr>
              <w:pStyle w:val="Compact"/>
              <w:jc w:val="center"/>
            </w:pPr>
            <w:r>
              <w:rPr>
                <w:b/>
              </w:rPr>
              <w:t xml:space="preserve">Standard deviation</w:t>
            </w:r>
          </w:p>
        </w:tc>
        <w:tc>
          <w:p>
            <w:pPr>
              <w:pStyle w:val="Compact"/>
              <w:jc w:val="center"/>
            </w:pPr>
            <w:r>
              <w:t xml:space="preserve">1.05</w:t>
            </w:r>
          </w:p>
        </w:tc>
        <w:tc>
          <w:p>
            <w:pPr>
              <w:pStyle w:val="Compact"/>
              <w:jc w:val="center"/>
            </w:pPr>
            <w:r>
              <w:t xml:space="preserve">0.889</w:t>
            </w:r>
          </w:p>
        </w:tc>
        <w:tc>
          <w:p>
            <w:pPr>
              <w:pStyle w:val="Compact"/>
              <w:jc w:val="center"/>
            </w:pPr>
            <w:r>
              <w:t xml:space="preserve">0.762</w:t>
            </w:r>
          </w:p>
        </w:tc>
        <w:tc>
          <w:p>
            <w:pPr>
              <w:pStyle w:val="Compact"/>
              <w:jc w:val="center"/>
            </w:pPr>
            <w:r>
              <w:t xml:space="preserve">0.739</w:t>
            </w:r>
          </w:p>
        </w:tc>
        <w:tc>
          <w:p>
            <w:pPr>
              <w:pStyle w:val="Compact"/>
              <w:jc w:val="center"/>
            </w:pPr>
            <w:r>
              <w:t xml:space="preserve">0.577</w:t>
            </w:r>
          </w:p>
        </w:tc>
        <w:tc>
          <w:p>
            <w:pPr>
              <w:pStyle w:val="Compact"/>
              <w:jc w:val="center"/>
            </w:pPr>
            <w:r>
              <w:t xml:space="preserve">0.416</w:t>
            </w:r>
          </w:p>
        </w:tc>
        <w:tc>
          <w:p>
            <w:pPr>
              <w:pStyle w:val="Compact"/>
              <w:jc w:val="center"/>
            </w:pPr>
            <w:r>
              <w:t xml:space="preserve">0.367</w:t>
            </w:r>
          </w:p>
        </w:tc>
      </w:tr>
      <w:tr>
        <w:tc>
          <w:p>
            <w:pPr>
              <w:pStyle w:val="Compact"/>
              <w:jc w:val="center"/>
            </w:pPr>
            <w:r>
              <w:rPr>
                <w:b/>
              </w:rPr>
              <w:t xml:space="preserve">Proportion of Variance</w:t>
            </w:r>
          </w:p>
        </w:tc>
        <w:tc>
          <w:p>
            <w:pPr>
              <w:pStyle w:val="Compact"/>
              <w:jc w:val="center"/>
            </w:pPr>
            <w:r>
              <w:t xml:space="preserve">0.0305</w:t>
            </w:r>
          </w:p>
        </w:tc>
        <w:tc>
          <w:p>
            <w:pPr>
              <w:pStyle w:val="Compact"/>
              <w:jc w:val="center"/>
            </w:pPr>
            <w:r>
              <w:t xml:space="preserve">0.022</w:t>
            </w:r>
          </w:p>
        </w:tc>
        <w:tc>
          <w:p>
            <w:pPr>
              <w:pStyle w:val="Compact"/>
              <w:jc w:val="center"/>
            </w:pPr>
            <w:r>
              <w:t xml:space="preserve">0.0161</w:t>
            </w:r>
          </w:p>
        </w:tc>
        <w:tc>
          <w:p>
            <w:pPr>
              <w:pStyle w:val="Compact"/>
              <w:jc w:val="center"/>
            </w:pPr>
            <w:r>
              <w:t xml:space="preserve">0.0152</w:t>
            </w:r>
          </w:p>
        </w:tc>
        <w:tc>
          <w:p>
            <w:pPr>
              <w:pStyle w:val="Compact"/>
              <w:jc w:val="center"/>
            </w:pPr>
            <w:r>
              <w:t xml:space="preserve">0.00925</w:t>
            </w:r>
          </w:p>
        </w:tc>
        <w:tc>
          <w:p>
            <w:pPr>
              <w:pStyle w:val="Compact"/>
              <w:jc w:val="center"/>
            </w:pPr>
            <w:r>
              <w:t xml:space="preserve">0.00481</w:t>
            </w:r>
          </w:p>
        </w:tc>
        <w:tc>
          <w:p>
            <w:pPr>
              <w:pStyle w:val="Compact"/>
              <w:jc w:val="center"/>
            </w:pPr>
            <w:r>
              <w:t xml:space="preserve">0.00375</w:t>
            </w:r>
          </w:p>
        </w:tc>
      </w:tr>
      <w:tr>
        <w:tc>
          <w:p>
            <w:pPr>
              <w:pStyle w:val="Compact"/>
              <w:jc w:val="center"/>
            </w:pPr>
            <w:r>
              <w:rPr>
                <w:b/>
              </w:rPr>
              <w:t xml:space="preserve">Cumulative Proportion</w:t>
            </w:r>
          </w:p>
        </w:tc>
        <w:tc>
          <w:p>
            <w:pPr>
              <w:pStyle w:val="Compact"/>
              <w:jc w:val="center"/>
            </w:pPr>
            <w:r>
              <w:t xml:space="preserve">0.921</w:t>
            </w:r>
          </w:p>
        </w:tc>
        <w:tc>
          <w:p>
            <w:pPr>
              <w:pStyle w:val="Compact"/>
              <w:jc w:val="center"/>
            </w:pPr>
            <w:r>
              <w:t xml:space="preserve">0.943</w:t>
            </w:r>
          </w:p>
        </w:tc>
        <w:tc>
          <w:p>
            <w:pPr>
              <w:pStyle w:val="Compact"/>
              <w:jc w:val="center"/>
            </w:pPr>
            <w:r>
              <w:t xml:space="preserve">0.959</w:t>
            </w:r>
          </w:p>
        </w:tc>
        <w:tc>
          <w:p>
            <w:pPr>
              <w:pStyle w:val="Compact"/>
              <w:jc w:val="center"/>
            </w:pPr>
            <w:r>
              <w:t xml:space="preserve">0.974</w:t>
            </w:r>
          </w:p>
        </w:tc>
        <w:tc>
          <w:p>
            <w:pPr>
              <w:pStyle w:val="Compact"/>
              <w:jc w:val="center"/>
            </w:pPr>
            <w:r>
              <w:t xml:space="preserve">0.984</w:t>
            </w:r>
          </w:p>
        </w:tc>
        <w:tc>
          <w:p>
            <w:pPr>
              <w:pStyle w:val="Compact"/>
              <w:jc w:val="center"/>
            </w:pPr>
            <w:r>
              <w:t xml:space="preserve">0.988</w:t>
            </w:r>
          </w:p>
        </w:tc>
        <w:tc>
          <w:p>
            <w:pPr>
              <w:pStyle w:val="Compact"/>
              <w:jc w:val="center"/>
            </w:pPr>
            <w:r>
              <w:t xml:space="preserve">0.992</w:t>
            </w:r>
          </w:p>
        </w:tc>
      </w:tr>
    </w:tbl>
    <w:p>
      <w:pPr>
        <w:pStyle w:val="TableCaption"/>
      </w:pPr>
      <w:r>
        <w:t xml:space="preserve">Table continues below</w:t>
      </w:r>
    </w:p>
    <w:tbl>
      <w:tblPr>
        <w:tblStyle w:val="TableNormal"/>
        <w:tblW w:type="pct" w:w="4999.999999999999"/>
        <w:tblLook w:firstRow="1"/>
        <w:tblCaption w:val="Table continues below"/>
      </w:tblPr>
      <w:tblGrid>
        <w:gridCol w:w="3022"/>
        <w:gridCol w:w="833"/>
        <w:gridCol w:w="833"/>
        <w:gridCol w:w="729"/>
        <w:gridCol w:w="833"/>
        <w:gridCol w:w="833"/>
        <w:gridCol w:w="83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PC15</w:t>
            </w:r>
          </w:p>
        </w:tc>
        <w:tc>
          <w:tcPr>
            <w:tcBorders>
              <w:bottom w:val="single"/>
            </w:tcBorders>
            <w:vAlign w:val="bottom"/>
          </w:tcPr>
          <w:p>
            <w:pPr>
              <w:pStyle w:val="Compact"/>
              <w:jc w:val="center"/>
            </w:pPr>
            <w:r>
              <w:t xml:space="preserve">PC16</w:t>
            </w:r>
          </w:p>
        </w:tc>
        <w:tc>
          <w:tcPr>
            <w:tcBorders>
              <w:bottom w:val="single"/>
            </w:tcBorders>
            <w:vAlign w:val="bottom"/>
          </w:tcPr>
          <w:p>
            <w:pPr>
              <w:pStyle w:val="Compact"/>
              <w:jc w:val="center"/>
            </w:pPr>
            <w:r>
              <w:t xml:space="preserve">PC17</w:t>
            </w:r>
          </w:p>
        </w:tc>
        <w:tc>
          <w:tcPr>
            <w:tcBorders>
              <w:bottom w:val="single"/>
            </w:tcBorders>
            <w:vAlign w:val="bottom"/>
          </w:tcPr>
          <w:p>
            <w:pPr>
              <w:pStyle w:val="Compact"/>
              <w:jc w:val="center"/>
            </w:pPr>
            <w:r>
              <w:t xml:space="preserve">PC18</w:t>
            </w:r>
          </w:p>
        </w:tc>
        <w:tc>
          <w:tcPr>
            <w:tcBorders>
              <w:bottom w:val="single"/>
            </w:tcBorders>
            <w:vAlign w:val="bottom"/>
          </w:tcPr>
          <w:p>
            <w:pPr>
              <w:pStyle w:val="Compact"/>
              <w:jc w:val="center"/>
            </w:pPr>
            <w:r>
              <w:t xml:space="preserve">PC19</w:t>
            </w:r>
          </w:p>
        </w:tc>
        <w:tc>
          <w:tcPr>
            <w:tcBorders>
              <w:bottom w:val="single"/>
            </w:tcBorders>
            <w:vAlign w:val="bottom"/>
          </w:tcPr>
          <w:p>
            <w:pPr>
              <w:pStyle w:val="Compact"/>
              <w:jc w:val="center"/>
            </w:pPr>
            <w:r>
              <w:t xml:space="preserve">PC20</w:t>
            </w:r>
          </w:p>
        </w:tc>
      </w:tr>
      <w:tr>
        <w:tc>
          <w:p>
            <w:pPr>
              <w:pStyle w:val="Compact"/>
              <w:jc w:val="center"/>
            </w:pPr>
            <w:r>
              <w:rPr>
                <w:b/>
              </w:rPr>
              <w:t xml:space="preserve">Standard deviation</w:t>
            </w:r>
          </w:p>
        </w:tc>
        <w:tc>
          <w:p>
            <w:pPr>
              <w:pStyle w:val="Compact"/>
              <w:jc w:val="center"/>
            </w:pPr>
            <w:r>
              <w:t xml:space="preserve">0.275</w:t>
            </w:r>
          </w:p>
        </w:tc>
        <w:tc>
          <w:p>
            <w:pPr>
              <w:pStyle w:val="Compact"/>
              <w:jc w:val="center"/>
            </w:pPr>
            <w:r>
              <w:t xml:space="preserve">0.218</w:t>
            </w:r>
          </w:p>
        </w:tc>
        <w:tc>
          <w:p>
            <w:pPr>
              <w:pStyle w:val="Compact"/>
              <w:jc w:val="center"/>
            </w:pPr>
            <w:r>
              <w:t xml:space="preserve">0.199</w:t>
            </w:r>
          </w:p>
        </w:tc>
        <w:tc>
          <w:p>
            <w:pPr>
              <w:pStyle w:val="Compact"/>
              <w:jc w:val="center"/>
            </w:pPr>
            <w:r>
              <w:t xml:space="preserve">0.177</w:t>
            </w:r>
          </w:p>
        </w:tc>
        <w:tc>
          <w:p>
            <w:pPr>
              <w:pStyle w:val="Compact"/>
              <w:jc w:val="center"/>
            </w:pPr>
            <w:r>
              <w:t xml:space="preserve">0.158</w:t>
            </w:r>
          </w:p>
        </w:tc>
        <w:tc>
          <w:p>
            <w:pPr>
              <w:pStyle w:val="Compact"/>
              <w:jc w:val="center"/>
            </w:pPr>
            <w:r>
              <w:t xml:space="preserve">0.136</w:t>
            </w:r>
          </w:p>
        </w:tc>
      </w:tr>
      <w:tr>
        <w:tc>
          <w:p>
            <w:pPr>
              <w:pStyle w:val="Compact"/>
              <w:jc w:val="center"/>
            </w:pPr>
            <w:r>
              <w:rPr>
                <w:b/>
              </w:rPr>
              <w:t xml:space="preserve">Proportion of Variance</w:t>
            </w:r>
          </w:p>
        </w:tc>
        <w:tc>
          <w:p>
            <w:pPr>
              <w:pStyle w:val="Compact"/>
              <w:jc w:val="center"/>
            </w:pPr>
            <w:r>
              <w:t xml:space="preserve">0.00211</w:t>
            </w:r>
          </w:p>
        </w:tc>
        <w:tc>
          <w:p>
            <w:pPr>
              <w:pStyle w:val="Compact"/>
              <w:jc w:val="center"/>
            </w:pPr>
            <w:r>
              <w:t xml:space="preserve">0.00132</w:t>
            </w:r>
          </w:p>
        </w:tc>
        <w:tc>
          <w:p>
            <w:pPr>
              <w:pStyle w:val="Compact"/>
              <w:jc w:val="center"/>
            </w:pPr>
            <w:r>
              <w:t xml:space="preserve">0.0011</w:t>
            </w:r>
          </w:p>
        </w:tc>
        <w:tc>
          <w:p>
            <w:pPr>
              <w:pStyle w:val="Compact"/>
              <w:jc w:val="center"/>
            </w:pPr>
            <w:r>
              <w:t xml:space="preserve">0.00087</w:t>
            </w:r>
          </w:p>
        </w:tc>
        <w:tc>
          <w:p>
            <w:pPr>
              <w:pStyle w:val="Compact"/>
              <w:jc w:val="center"/>
            </w:pPr>
            <w:r>
              <w:t xml:space="preserve">0.00069</w:t>
            </w:r>
          </w:p>
        </w:tc>
        <w:tc>
          <w:p>
            <w:pPr>
              <w:pStyle w:val="Compact"/>
              <w:jc w:val="center"/>
            </w:pPr>
            <w:r>
              <w:t xml:space="preserve">0.00052</w:t>
            </w:r>
          </w:p>
        </w:tc>
      </w:tr>
      <w:tr>
        <w:tc>
          <w:p>
            <w:pPr>
              <w:pStyle w:val="Compact"/>
              <w:jc w:val="center"/>
            </w:pPr>
            <w:r>
              <w:rPr>
                <w:b/>
              </w:rPr>
              <w:t xml:space="preserve">Cumulative Proportion</w:t>
            </w:r>
          </w:p>
        </w:tc>
        <w:tc>
          <w:p>
            <w:pPr>
              <w:pStyle w:val="Compact"/>
              <w:jc w:val="center"/>
            </w:pPr>
            <w:r>
              <w:t xml:space="preserve">0.994</w:t>
            </w:r>
          </w:p>
        </w:tc>
        <w:tc>
          <w:p>
            <w:pPr>
              <w:pStyle w:val="Compact"/>
              <w:jc w:val="center"/>
            </w:pPr>
            <w:r>
              <w:t xml:space="preserve">0.996</w:t>
            </w:r>
          </w:p>
        </w:tc>
        <w:tc>
          <w:p>
            <w:pPr>
              <w:pStyle w:val="Compact"/>
              <w:jc w:val="center"/>
            </w:pPr>
            <w:r>
              <w:t xml:space="preserve">0.997</w:t>
            </w:r>
          </w:p>
        </w:tc>
        <w:tc>
          <w:p>
            <w:pPr>
              <w:pStyle w:val="Compact"/>
              <w:jc w:val="center"/>
            </w:pPr>
            <w:r>
              <w:t xml:space="preserve">0.998</w:t>
            </w:r>
          </w:p>
        </w:tc>
        <w:tc>
          <w:p>
            <w:pPr>
              <w:pStyle w:val="Compact"/>
              <w:jc w:val="center"/>
            </w:pPr>
            <w:r>
              <w:t xml:space="preserve">0.998</w:t>
            </w:r>
          </w:p>
        </w:tc>
        <w:tc>
          <w:p>
            <w:pPr>
              <w:pStyle w:val="Compact"/>
              <w:jc w:val="center"/>
            </w:pPr>
            <w:r>
              <w:t xml:space="preserve">0.999</w:t>
            </w:r>
          </w:p>
        </w:tc>
      </w:tr>
    </w:tbl>
    <w:p>
      <w:pPr>
        <w:pStyle w:val="TableCaption"/>
      </w:pPr>
      <w:r>
        <w:t xml:space="preserve">Table continues below</w:t>
      </w:r>
    </w:p>
    <w:tbl>
      <w:tblPr>
        <w:tblStyle w:val="TableNormal"/>
        <w:tblW w:type="pct" w:w="5000.0"/>
        <w:tblLook w:firstRow="1"/>
        <w:tblCaption w:val="Table continues below"/>
      </w:tblPr>
      <w:tblGrid>
        <w:gridCol w:w="3062"/>
        <w:gridCol w:w="844"/>
        <w:gridCol w:w="844"/>
        <w:gridCol w:w="844"/>
        <w:gridCol w:w="844"/>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PC21</w:t>
            </w:r>
          </w:p>
        </w:tc>
        <w:tc>
          <w:tcPr>
            <w:tcBorders>
              <w:bottom w:val="single"/>
            </w:tcBorders>
            <w:vAlign w:val="bottom"/>
          </w:tcPr>
          <w:p>
            <w:pPr>
              <w:pStyle w:val="Compact"/>
              <w:jc w:val="center"/>
            </w:pPr>
            <w:r>
              <w:t xml:space="preserve">PC22</w:t>
            </w:r>
          </w:p>
        </w:tc>
        <w:tc>
          <w:tcPr>
            <w:tcBorders>
              <w:bottom w:val="single"/>
            </w:tcBorders>
            <w:vAlign w:val="bottom"/>
          </w:tcPr>
          <w:p>
            <w:pPr>
              <w:pStyle w:val="Compact"/>
              <w:jc w:val="center"/>
            </w:pPr>
            <w:r>
              <w:t xml:space="preserve">PC23</w:t>
            </w:r>
          </w:p>
        </w:tc>
        <w:tc>
          <w:tcPr>
            <w:tcBorders>
              <w:bottom w:val="single"/>
            </w:tcBorders>
            <w:vAlign w:val="bottom"/>
          </w:tcPr>
          <w:p>
            <w:pPr>
              <w:pStyle w:val="Compact"/>
              <w:jc w:val="center"/>
            </w:pPr>
            <w:r>
              <w:t xml:space="preserve">PC24</w:t>
            </w:r>
          </w:p>
        </w:tc>
        <w:tc>
          <w:tcPr>
            <w:tcBorders>
              <w:bottom w:val="single"/>
            </w:tcBorders>
            <w:vAlign w:val="bottom"/>
          </w:tcPr>
          <w:p>
            <w:pPr>
              <w:pStyle w:val="Compact"/>
              <w:jc w:val="center"/>
            </w:pPr>
            <w:r>
              <w:t xml:space="preserve">PC25</w:t>
            </w:r>
          </w:p>
        </w:tc>
        <w:tc>
          <w:tcPr>
            <w:tcBorders>
              <w:bottom w:val="single"/>
            </w:tcBorders>
            <w:vAlign w:val="bottom"/>
          </w:tcPr>
          <w:p>
            <w:pPr>
              <w:pStyle w:val="Compact"/>
              <w:jc w:val="center"/>
            </w:pPr>
            <w:r>
              <w:t xml:space="preserve">PC26</w:t>
            </w:r>
          </w:p>
        </w:tc>
      </w:tr>
      <w:tr>
        <w:tc>
          <w:p>
            <w:pPr>
              <w:pStyle w:val="Compact"/>
              <w:jc w:val="center"/>
            </w:pPr>
            <w:r>
              <w:rPr>
                <w:b/>
              </w:rPr>
              <w:t xml:space="preserve">Standard deviation</w:t>
            </w:r>
          </w:p>
        </w:tc>
        <w:tc>
          <w:p>
            <w:pPr>
              <w:pStyle w:val="Compact"/>
              <w:jc w:val="center"/>
            </w:pPr>
            <w:r>
              <w:t xml:space="preserve">0.123</w:t>
            </w:r>
          </w:p>
        </w:tc>
        <w:tc>
          <w:p>
            <w:pPr>
              <w:pStyle w:val="Compact"/>
              <w:jc w:val="center"/>
            </w:pPr>
            <w:r>
              <w:t xml:space="preserve">0.109</w:t>
            </w:r>
          </w:p>
        </w:tc>
        <w:tc>
          <w:p>
            <w:pPr>
              <w:pStyle w:val="Compact"/>
              <w:jc w:val="center"/>
            </w:pPr>
            <w:r>
              <w:t xml:space="preserve">0.066</w:t>
            </w:r>
          </w:p>
        </w:tc>
        <w:tc>
          <w:p>
            <w:pPr>
              <w:pStyle w:val="Compact"/>
              <w:jc w:val="center"/>
            </w:pPr>
            <w:r>
              <w:t xml:space="preserve">0.0618</w:t>
            </w:r>
          </w:p>
        </w:tc>
        <w:tc>
          <w:p>
            <w:pPr>
              <w:pStyle w:val="Compact"/>
              <w:jc w:val="center"/>
            </w:pPr>
            <w:r>
              <w:t xml:space="preserve">0.0529</w:t>
            </w:r>
          </w:p>
        </w:tc>
        <w:tc>
          <w:p>
            <w:pPr>
              <w:pStyle w:val="Compact"/>
              <w:jc w:val="center"/>
            </w:pPr>
            <w:r>
              <w:t xml:space="preserve">0.0493</w:t>
            </w:r>
          </w:p>
        </w:tc>
      </w:tr>
      <w:tr>
        <w:tc>
          <w:p>
            <w:pPr>
              <w:pStyle w:val="Compact"/>
              <w:jc w:val="center"/>
            </w:pPr>
            <w:r>
              <w:rPr>
                <w:b/>
              </w:rPr>
              <w:t xml:space="preserve">Proportion of Variance</w:t>
            </w:r>
          </w:p>
        </w:tc>
        <w:tc>
          <w:p>
            <w:pPr>
              <w:pStyle w:val="Compact"/>
              <w:jc w:val="center"/>
            </w:pPr>
            <w:r>
              <w:t xml:space="preserve">0.00042</w:t>
            </w:r>
          </w:p>
        </w:tc>
        <w:tc>
          <w:p>
            <w:pPr>
              <w:pStyle w:val="Compact"/>
              <w:jc w:val="center"/>
            </w:pPr>
            <w:r>
              <w:t xml:space="preserve">0.00033</w:t>
            </w:r>
          </w:p>
        </w:tc>
        <w:tc>
          <w:p>
            <w:pPr>
              <w:pStyle w:val="Compact"/>
              <w:jc w:val="center"/>
            </w:pPr>
            <w:r>
              <w:t xml:space="preserve">0.00012</w:t>
            </w:r>
          </w:p>
        </w:tc>
        <w:tc>
          <w:p>
            <w:pPr>
              <w:pStyle w:val="Compact"/>
              <w:jc w:val="center"/>
            </w:pPr>
            <w:r>
              <w:t xml:space="preserve">0.00011</w:t>
            </w:r>
          </w:p>
        </w:tc>
        <w:tc>
          <w:p>
            <w:pPr>
              <w:pStyle w:val="Compact"/>
              <w:jc w:val="center"/>
            </w:pPr>
            <w:r>
              <w:t xml:space="preserve">8e-05</w:t>
            </w:r>
          </w:p>
        </w:tc>
        <w:tc>
          <w:p>
            <w:pPr>
              <w:pStyle w:val="Compact"/>
              <w:jc w:val="center"/>
            </w:pPr>
            <w:r>
              <w:t xml:space="preserve">7e-05</w:t>
            </w:r>
          </w:p>
        </w:tc>
      </w:tr>
      <w:tr>
        <w:tc>
          <w:p>
            <w:pPr>
              <w:pStyle w:val="Compact"/>
              <w:jc w:val="center"/>
            </w:pPr>
            <w:r>
              <w:rPr>
                <w:b/>
              </w:rPr>
              <w:t xml:space="preserve">Cumulative Proportion</w:t>
            </w:r>
          </w:p>
        </w:tc>
        <w:tc>
          <w:p>
            <w:pPr>
              <w:pStyle w:val="Compact"/>
              <w:jc w:val="center"/>
            </w:pPr>
            <w:r>
              <w:t xml:space="preserve">0.999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TableCaption"/>
      </w:pPr>
      <w:r>
        <w:t xml:space="preserve">Table continues below</w:t>
      </w:r>
    </w:p>
    <w:tbl>
      <w:tblPr>
        <w:tblStyle w:val="TableNormal"/>
        <w:tblW w:type="pct" w:w="5000.0"/>
        <w:tblLook w:firstRow="1"/>
        <w:tblCaption w:val="Table continues below"/>
      </w:tblPr>
      <w:tblGrid>
        <w:gridCol w:w="3103"/>
        <w:gridCol w:w="749"/>
        <w:gridCol w:w="749"/>
        <w:gridCol w:w="856"/>
        <w:gridCol w:w="749"/>
        <w:gridCol w:w="856"/>
        <w:gridCol w:w="85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PC27</w:t>
            </w:r>
          </w:p>
        </w:tc>
        <w:tc>
          <w:tcPr>
            <w:tcBorders>
              <w:bottom w:val="single"/>
            </w:tcBorders>
            <w:vAlign w:val="bottom"/>
          </w:tcPr>
          <w:p>
            <w:pPr>
              <w:pStyle w:val="Compact"/>
              <w:jc w:val="center"/>
            </w:pPr>
            <w:r>
              <w:t xml:space="preserve">PC28</w:t>
            </w:r>
          </w:p>
        </w:tc>
        <w:tc>
          <w:tcPr>
            <w:tcBorders>
              <w:bottom w:val="single"/>
            </w:tcBorders>
            <w:vAlign w:val="bottom"/>
          </w:tcPr>
          <w:p>
            <w:pPr>
              <w:pStyle w:val="Compact"/>
              <w:jc w:val="center"/>
            </w:pPr>
            <w:r>
              <w:t xml:space="preserve">PC29</w:t>
            </w:r>
          </w:p>
        </w:tc>
        <w:tc>
          <w:tcPr>
            <w:tcBorders>
              <w:bottom w:val="single"/>
            </w:tcBorders>
            <w:vAlign w:val="bottom"/>
          </w:tcPr>
          <w:p>
            <w:pPr>
              <w:pStyle w:val="Compact"/>
              <w:jc w:val="center"/>
            </w:pPr>
            <w:r>
              <w:t xml:space="preserve">PC30</w:t>
            </w:r>
          </w:p>
        </w:tc>
        <w:tc>
          <w:tcPr>
            <w:tcBorders>
              <w:bottom w:val="single"/>
            </w:tcBorders>
            <w:vAlign w:val="bottom"/>
          </w:tcPr>
          <w:p>
            <w:pPr>
              <w:pStyle w:val="Compact"/>
              <w:jc w:val="center"/>
            </w:pPr>
            <w:r>
              <w:t xml:space="preserve">PC31</w:t>
            </w:r>
          </w:p>
        </w:tc>
        <w:tc>
          <w:tcPr>
            <w:tcBorders>
              <w:bottom w:val="single"/>
            </w:tcBorders>
            <w:vAlign w:val="bottom"/>
          </w:tcPr>
          <w:p>
            <w:pPr>
              <w:pStyle w:val="Compact"/>
              <w:jc w:val="center"/>
            </w:pPr>
            <w:r>
              <w:t xml:space="preserve">PC32</w:t>
            </w:r>
          </w:p>
        </w:tc>
      </w:tr>
      <w:tr>
        <w:tc>
          <w:p>
            <w:pPr>
              <w:pStyle w:val="Compact"/>
              <w:jc w:val="center"/>
            </w:pPr>
            <w:r>
              <w:rPr>
                <w:b/>
              </w:rPr>
              <w:t xml:space="preserve">Standard deviation</w:t>
            </w:r>
          </w:p>
        </w:tc>
        <w:tc>
          <w:p>
            <w:pPr>
              <w:pStyle w:val="Compact"/>
              <w:jc w:val="center"/>
            </w:pPr>
            <w:r>
              <w:t xml:space="preserve">0.0359</w:t>
            </w:r>
          </w:p>
        </w:tc>
        <w:tc>
          <w:p>
            <w:pPr>
              <w:pStyle w:val="Compact"/>
              <w:jc w:val="center"/>
            </w:pPr>
            <w:r>
              <w:t xml:space="preserve">0.0227</w:t>
            </w:r>
          </w:p>
        </w:tc>
        <w:tc>
          <w:p>
            <w:pPr>
              <w:pStyle w:val="Compact"/>
              <w:jc w:val="center"/>
            </w:pPr>
            <w:r>
              <w:t xml:space="preserve">0.00273</w:t>
            </w:r>
          </w:p>
        </w:tc>
        <w:tc>
          <w:p>
            <w:pPr>
              <w:pStyle w:val="Compact"/>
              <w:jc w:val="center"/>
            </w:pPr>
            <w:r>
              <w:t xml:space="preserve">0.0018</w:t>
            </w:r>
          </w:p>
        </w:tc>
        <w:tc>
          <w:p>
            <w:pPr>
              <w:pStyle w:val="Compact"/>
              <w:jc w:val="center"/>
            </w:pPr>
            <w:r>
              <w:t xml:space="preserve">0.00119</w:t>
            </w:r>
          </w:p>
        </w:tc>
        <w:tc>
          <w:p>
            <w:pPr>
              <w:pStyle w:val="Compact"/>
              <w:jc w:val="center"/>
            </w:pPr>
            <w:r>
              <w:t xml:space="preserve">0.000975</w:t>
            </w:r>
          </w:p>
        </w:tc>
      </w:tr>
      <w:tr>
        <w:tc>
          <w:p>
            <w:pPr>
              <w:pStyle w:val="Compact"/>
              <w:jc w:val="center"/>
            </w:pPr>
            <w:r>
              <w:rPr>
                <w:b/>
              </w:rPr>
              <w:t xml:space="preserve">Proportion of Variance</w:t>
            </w:r>
          </w:p>
        </w:tc>
        <w:tc>
          <w:p>
            <w:pPr>
              <w:pStyle w:val="Compact"/>
              <w:jc w:val="center"/>
            </w:pPr>
            <w:r>
              <w:t xml:space="preserve">4e-05</w:t>
            </w:r>
          </w:p>
        </w:tc>
        <w:tc>
          <w:p>
            <w:pPr>
              <w:pStyle w:val="Compact"/>
              <w:jc w:val="center"/>
            </w:pPr>
            <w:r>
              <w:t xml:space="preserve">1e-05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tbl>
      <w:tblPr>
        <w:tblStyle w:val="TableNormal"/>
        <w:tblW w:type="pct" w:w="4097.222222222222"/>
        <w:tblLook w:firstRow="1"/>
      </w:tblPr>
      <w:tblGrid>
        <w:gridCol w:w="3190"/>
        <w:gridCol w:w="770"/>
        <w:gridCol w:w="880"/>
        <w:gridCol w:w="77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PC33</w:t>
            </w:r>
          </w:p>
        </w:tc>
        <w:tc>
          <w:tcPr>
            <w:tcBorders>
              <w:bottom w:val="single"/>
            </w:tcBorders>
            <w:vAlign w:val="bottom"/>
          </w:tcPr>
          <w:p>
            <w:pPr>
              <w:pStyle w:val="Compact"/>
              <w:jc w:val="center"/>
            </w:pPr>
            <w:r>
              <w:t xml:space="preserve">PC34</w:t>
            </w:r>
          </w:p>
        </w:tc>
        <w:tc>
          <w:tcPr>
            <w:tcBorders>
              <w:bottom w:val="single"/>
            </w:tcBorders>
            <w:vAlign w:val="bottom"/>
          </w:tcPr>
          <w:p>
            <w:pPr>
              <w:pStyle w:val="Compact"/>
              <w:jc w:val="center"/>
            </w:pPr>
            <w:r>
              <w:t xml:space="preserve">PC35</w:t>
            </w:r>
          </w:p>
        </w:tc>
        <w:tc>
          <w:tcPr>
            <w:tcBorders>
              <w:bottom w:val="single"/>
            </w:tcBorders>
            <w:vAlign w:val="bottom"/>
          </w:tcPr>
          <w:p>
            <w:pPr>
              <w:pStyle w:val="Compact"/>
              <w:jc w:val="center"/>
            </w:pPr>
            <w:r>
              <w:t xml:space="preserve">PC36</w:t>
            </w:r>
          </w:p>
        </w:tc>
      </w:tr>
      <w:tr>
        <w:tc>
          <w:p>
            <w:pPr>
              <w:pStyle w:val="Compact"/>
              <w:jc w:val="center"/>
            </w:pPr>
            <w:r>
              <w:rPr>
                <w:b/>
              </w:rPr>
              <w:t xml:space="preserve">Standard deviation</w:t>
            </w:r>
          </w:p>
        </w:tc>
        <w:tc>
          <w:p>
            <w:pPr>
              <w:pStyle w:val="Compact"/>
              <w:jc w:val="center"/>
            </w:pPr>
            <w:r>
              <w:t xml:space="preserve">1e-15</w:t>
            </w:r>
          </w:p>
        </w:tc>
        <w:tc>
          <w:p>
            <w:pPr>
              <w:pStyle w:val="Compact"/>
              <w:jc w:val="center"/>
            </w:pPr>
            <w:r>
              <w:t xml:space="preserve">6.9e-16</w:t>
            </w:r>
          </w:p>
        </w:tc>
        <w:tc>
          <w:p>
            <w:pPr>
              <w:pStyle w:val="Compact"/>
              <w:jc w:val="center"/>
            </w:pPr>
            <w:r>
              <w:t xml:space="preserve">3e-16</w:t>
            </w:r>
          </w:p>
        </w:tc>
        <w:tc>
          <w:p>
            <w:pPr>
              <w:pStyle w:val="Compact"/>
              <w:jc w:val="center"/>
            </w:pPr>
            <w:r>
              <w:t xml:space="preserve">2.85e-16</w:t>
            </w:r>
          </w:p>
        </w:tc>
      </w:tr>
      <w:tr>
        <w:tc>
          <w:p>
            <w:pPr>
              <w:pStyle w:val="Compact"/>
              <w:jc w:val="center"/>
            </w:pPr>
            <w:r>
              <w:rPr>
                <w:b/>
              </w:rPr>
              <w:t xml:space="preserve">Proportion of Variance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Heading2"/>
      </w:pPr>
      <w:bookmarkStart w:id="74" w:name="functions"/>
      <w:bookmarkEnd w:id="74"/>
      <w:r>
        <w:t xml:space="preserve">Functions</w:t>
      </w:r>
    </w:p>
    <w:p>
      <w:pPr>
        <w:pStyle w:val="FirstParagraph"/>
      </w:pPr>
      <w:r>
        <w:t xml:space="preserve">All functions used in the creation of this paper above are provided in the section below. Additionally, 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 github repository</w:t>
      </w:r>
      <w:r>
        <w:t xml:space="preserve"> </w:t>
      </w:r>
      <w:hyperlink r:id="rId25">
        <w:r>
          <w:rPr>
            <w:rStyle w:val="Hyperlink"/>
          </w:rPr>
          <w:t xml:space="preserve">here</w:t>
        </w:r>
      </w:hyperlink>
      <w:r>
        <w:t xml:space="preserve">.</w:t>
      </w:r>
    </w:p>
    <w:p>
      <w:pPr>
        <w:pStyle w:val="BodyText"/>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 end_date, PlantingMonth, PlantingDay,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HarvestMonth, HarvestDay)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time series as a data.frame for all years of interest. Handles growing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periods overlaping a new year properly.  NOTE: This is used to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dataframe of planting / harvest dates for many other functions 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PlantHarvestDates('2002-01-01','2016-02-02',PlantingMonth=11,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 </w:t>
      </w:r>
      <w:r>
        <w:rPr>
          <w:rStyle w:val="StringTok"/>
        </w:rPr>
        <w:t xml:space="preserve">"%Y-%m-%d"</w:t>
      </w:r>
      <w:r>
        <w:rPr>
          <w:rStyle w:val="NormalTok"/>
        </w:rPr>
        <w:t xml:space="preserve">), </w:t>
      </w:r>
      <w:r>
        <w:rPr>
          <w:rStyle w:val="KeywordTok"/>
        </w:rPr>
        <w:t xml:space="preserve">strptime</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 =</w:t>
      </w:r>
      <w:r>
        <w:rPr>
          <w:rStyle w:val="StringTok"/>
        </w:rPr>
        <w:t xml:space="preserve"> </w:t>
      </w:r>
      <w:r>
        <w:rPr>
          <w:rStyle w:val="NormalTok"/>
        </w:rPr>
        <w:t xml:space="preserve">PlantingMonth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 =</w:t>
      </w:r>
      <w:r>
        <w:rPr>
          <w:rStyle w:val="StringTok"/>
        </w:rPr>
        <w:t xml:space="preserve"> </w:t>
      </w:r>
      <w:r>
        <w:rPr>
          <w:rStyle w:val="NormalTok"/>
        </w:rPr>
        <w:t xml:space="preserve">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(dates[</w:t>
      </w:r>
      <w:r>
        <w:rPr>
          <w:rStyle w:val="DecValTok"/>
        </w:rPr>
        <w:t xml:space="preserve">2</w:t>
      </w:r>
      <w:r>
        <w:rPr>
          <w:rStyle w:val="NormalTok"/>
        </w:rPr>
        <w:t xml:space="preserv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(dates[</w:t>
      </w:r>
      <w:r>
        <w:rPr>
          <w:rStyle w:val="DecValTok"/>
        </w:rPr>
        <w:t xml:space="preserve">1</w:t>
      </w:r>
      <w:r>
        <w:rPr>
          <w:rStyle w:val="NormalTok"/>
        </w:rPr>
        <w:t xml:space="preserv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 =</w:t>
      </w:r>
      <w:r>
        <w:rPr>
          <w:rStyle w:val="StringTok"/>
        </w:rPr>
        <w:t xml:space="preserve"> </w:t>
      </w:r>
      <w:r>
        <w:rPr>
          <w:rStyle w:val="NormalTok"/>
        </w:rPr>
        <w:t xml:space="preserve">start_end_years[</w:t>
      </w:r>
      <w:r>
        <w:rPr>
          <w:rStyle w:val="DecValTok"/>
        </w:rPr>
        <w:t xml:space="preserve">1</w:t>
      </w:r>
      <w:r>
        <w:rPr>
          <w:rStyle w:val="NormalTok"/>
        </w:rPr>
        <w:t xml:space="preserve">]$year +</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 =</w:t>
      </w:r>
      <w:r>
        <w:rPr>
          <w:rStyle w:val="StringTok"/>
        </w:rPr>
        <w:t xml:space="preserve"> </w:t>
      </w:r>
      <w:r>
        <w:rPr>
          <w:rStyle w:val="NormalTok"/>
        </w:rPr>
        <w:t xml:space="preserve">HarvestMonth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 =</w:t>
      </w:r>
      <w:r>
        <w:rPr>
          <w:rStyle w:val="StringTok"/>
        </w:rPr>
        <w:t xml:space="preserve"> </w:t>
      </w:r>
      <w:r>
        <w:rPr>
          <w:rStyle w:val="NormalTok"/>
        </w:rPr>
        <w:t xml:space="preserve">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(end_date,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(start_date,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 =</w:t>
      </w:r>
      <w:r>
        <w:rPr>
          <w:rStyle w:val="NormalTok"/>
        </w:rPr>
        <w:t xml:space="preserve"> </w:t>
      </w:r>
      <w:r>
        <w:rPr>
          <w:rStyle w:val="NormalTok"/>
        </w:rPr>
        <w:t xml:space="preserve">planting, </w:t>
      </w:r>
      <w:r>
        <w:rPr>
          <w:rStyle w:val="DataTypeTok"/>
        </w:rPr>
        <w:t xml:space="preserve">harvest =</w:t>
      </w:r>
      <w:r>
        <w:rPr>
          <w:rStyle w:val="NormalTok"/>
        </w:rPr>
        <w:t xml:space="preserve"> </w:t>
      </w:r>
      <w:r>
        <w:rPr>
          <w:rStyle w:val="NormalTok"/>
        </w:rPr>
        <w:t xml:space="preserve">harvest))</w:t>
      </w:r>
      <w:r>
        <w:br w:type="textWrapping"/>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 dates_in, DOY_in, days_shift, dir)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date best to set DOY as the last expected date of planting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index, dates_in = dates of observation POSIX, DOY_in =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or harvest date days_shift = # days to search around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dir='before' 'after' 'beforeafter'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(days_shift &lt;=</w:t>
      </w:r>
      <w:r>
        <w:rPr>
          <w:rStyle w:val="String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(DOY_in[</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"ERROR: convert date format to %Y%j"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class</w:t>
      </w:r>
      <w:r>
        <w:rPr>
          <w:rStyle w:val="NormalTok"/>
        </w:rPr>
        <w:t xml:space="preserve">(dates_in)[</w:t>
      </w:r>
      <w:r>
        <w:rPr>
          <w:rStyle w:val="DecValTok"/>
        </w:rPr>
        <w:t xml:space="preserve">1</w:t>
      </w:r>
      <w:r>
        <w:rPr>
          <w:rStyle w:val="NormalTok"/>
        </w:rPr>
        <w:t xml:space="preserve">] !=</w:t>
      </w:r>
      <w:r>
        <w:rPr>
          <w:rStyle w:val="StringTok"/>
        </w:rPr>
        <w:t xml:space="preserve"> "POSIXlt"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 =</w:t>
      </w:r>
      <w:r>
        <w:rPr>
          <w:rStyle w:val="StringTok"/>
        </w:rPr>
        <w:t xml:space="preserve"> </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 =</w:t>
      </w:r>
      <w:r>
        <w:rPr>
          <w:rStyle w:val="StringTok"/>
        </w:rPr>
        <w:t xml:space="preserve"> </w:t>
      </w:r>
      <w:r>
        <w:rPr>
          <w:rStyle w:val="NormalTok"/>
        </w:rPr>
        <w:t xml:space="preserve">DOY_in$mday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 =</w:t>
      </w:r>
      <w:r>
        <w:rPr>
          <w:rStyle w:val="NormalTok"/>
        </w:rPr>
        <w:t xml:space="preserve"> </w:t>
      </w:r>
      <w:r>
        <w:rPr>
          <w:rStyle w:val="NormalTok"/>
        </w:rPr>
        <w:t xml:space="preserve">DOY_before, </w:t>
      </w:r>
      <w:r>
        <w:rPr>
          <w:rStyle w:val="DataTypeTok"/>
        </w:rPr>
        <w:t xml:space="preserve">DOY_in =</w:t>
      </w:r>
      <w:r>
        <w:rPr>
          <w:rStyle w:val="NormalTok"/>
        </w:rPr>
        <w:t xml:space="preserve"> </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rPr>
          <w:rStyle w:val="NormalTok"/>
        </w:rPr>
        <w:t xml:space="preserve">|</w:t>
      </w:r>
      <w:r>
        <w:rPr>
          <w:rStyle w:val="StringTok"/>
        </w:rPr>
        <w:t xml:space="preserve"> </w:t>
      </w:r>
      <w:r>
        <w:rPr>
          <w:rStyle w:val="NormalTok"/>
        </w:rPr>
        <w:t xml:space="preserve">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1</w:t>
      </w:r>
      <w:r>
        <w:rPr>
          <w:rStyle w:val="NormalTok"/>
        </w:rPr>
        <w:t xml:space="preserve">], DOY_table[h,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2</w:t>
      </w:r>
      <w:r>
        <w:rPr>
          <w:rStyle w:val="NormalTok"/>
        </w:rPr>
        <w:t xml:space="preserve">], DOY_table[h, </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 *</w:t>
      </w:r>
      <w:r>
        <w:rPr>
          <w:rStyle w:val="StringTok"/>
        </w:rPr>
        <w:t xml:space="preserve"> </w:t>
      </w:r>
      <w:r>
        <w:rPr>
          <w:rStyle w:val="NormalTok"/>
        </w:rPr>
        <w:t xml:space="preserve">-</w:t>
      </w:r>
      <w:r>
        <w:rPr>
          <w:rStyle w:val="DecValTok"/>
        </w:rPr>
        <w:t xml:space="preserve">1</w:t>
      </w:r>
      <w:r>
        <w:rPr>
          <w:rStyle w:val="NormalTok"/>
        </w:rPr>
        <w:t xml:space="preserve">, </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75" w:name="references"/>
      <w:bookmarkEnd w:id="75"/>
      <w:r>
        <w:t xml:space="preserve">References</w:t>
      </w:r>
    </w:p>
    <w:p>
      <w:pPr>
        <w:pStyle w:val="FirstParagraph"/>
      </w:pPr>
      <w:r>
        <w:rPr>
          <w:i/>
        </w:rPr>
        <w:t xml:space="preserve">Figure 6: Fitted vs actual for estimation of equation (5)</w:t>
      </w:r>
      <w:r>
        <w:rPr>
          <w:i/>
        </w:rPr>
        <w:t xml:space="preserve"> </w:t>
      </w:r>
    </w:p>
    <w:p>
      <w:pPr>
        <w:pStyle w:val="BodyText"/>
      </w:pPr>
      <w:r>
        <w:t xml:space="preserve">(Sidhu &amp; Vatta, 2012)</w:t>
      </w:r>
    </w:p>
    <w:p>
      <w:pPr>
        <w:pStyle w:val="BodyText"/>
      </w:pPr>
      <w:r>
        <w:t xml:space="preserve">The growth in productivity and production was ushered by the trio of high</w:t>
      </w:r>
      <w:r>
        <w:t xml:space="preserve"> </w:t>
      </w:r>
      <w:r>
        <w:t xml:space="preserve">yielding seeds, irrigation, and fertilizers supported by farm mechanization and institutional and infrastructural development. Currently, 98 per cent of the cultivated area in Punjab is under assured irrigation.</w:t>
      </w:r>
    </w:p>
    <w:p>
      <w:pPr>
        <w:pStyle w:val="BodyText"/>
      </w:pPr>
      <w:r>
        <w:t xml:space="preserve">The yield levels are seldom affected by even a significant fall in rainfall due to larger dependence on ground water which mitigates the negative impacts of any such fall.</w:t>
      </w:r>
    </w:p>
    <w:p>
      <w:pPr>
        <w:pStyle w:val="BodyText"/>
      </w:pPr>
      <w:r>
        <w:t xml:space="preserve">The impact of rise in temperature has started appearing in wheat productivity, which fell from 2001 to 2005 continuously</w:t>
      </w:r>
    </w:p>
    <w:p>
      <w:pPr>
        <w:pStyle w:val="BodyText"/>
      </w:pPr>
      <w:r>
        <w:t xml:space="preserve">The declining water table in the Punjab has raised serious doubts about the sustainability of the rice-wheat crop rotation, which has been manifested in terms of stagnating productivity in the state.</w:t>
      </w:r>
    </w:p>
    <w:p>
      <w:pPr>
        <w:pStyle w:val="BodyText"/>
      </w:pPr>
      <w:r>
        <w:t xml:space="preserve">However, during the decade of 2000, average annual rainfall has declined less than 450 mm during 1998-2005. Not only has the precipitation fallen, it has also become irregular with uneven spread over space and time. The frequency of drought has gone up; we had drought years in 1987, 1997, 2002, 2007 and 2009, which clearly demonstrates that the frequency of droughts has gone up lately. It has however been observed that the droughts do not have any major direct impact on crop production and productivity in the state. It is usual while the production in the rest of the country declines during the drought years, the production in Punjab increases owing to assured access to the ground water.</w:t>
      </w:r>
    </w:p>
    <w:p>
      <w:pPr>
        <w:pStyle w:val="BodyText"/>
      </w:pPr>
      <w:r>
        <w:t xml:space="preserve">Record production of 8.8 million tones of paddy during 2002 and 9.1 million tones in the last year strengthens this argument. The respective production of wheat during these years was also 15.5 and 15.6 million tones. However, the droughts have significant social and economic adverse impacts on the Punjab economy. The drought conditions necessitate increased use of diesel to pump out the ground water which pushes up the cost of cultivation of paddy. Consequently, the expenditure on irrigation increases.</w:t>
      </w:r>
    </w:p>
    <w:p>
      <w:pPr>
        <w:pStyle w:val="BodyText"/>
      </w:pPr>
      <w:r>
        <w:t xml:space="preserve">Due to deficient rainfall during the months of July, August and September 2009, additional power estimated to be worth Rs 450 crore and additional diesel oil amounting to Rs 300 crore were used to lift groundwater for saving paddy crops. Deficient rainfall further engenders the sustainability of ground water resources which is already being over-exploited to maintain the current levels of rice production for the food security of the nation. In the drought of 2009, the water table went down more than one metre in central districts f the state (compared to around 70 cms in the previous year during the same months). The droughts, therefore, necessitate the increased investments in irrigation.</w:t>
      </w:r>
    </w:p>
    <w:p>
      <w:pPr>
        <w:pStyle w:val="BodyText"/>
      </w:pPr>
      <w:r>
        <w:t xml:space="preserve">Zone I (Sub-mountainous region), known as the Kandi region, has undulating topography comprising about 17 percent of the total area of the state. This zone has particularly abundant rainfall that averages more than 1,100 mm per annum. As the water table is deep and the soil is rocky, the sinking of tube wells and pumping out of water is very costly. Because of heterogeneity in agro-climatic conditions, the cropping pattern of the area is more diverse relative to the other zones and comprises crops like wheat, rice, basmati rice, maize, oilseeds, fruits, and vegetables.</w:t>
      </w:r>
    </w:p>
    <w:p>
      <w:pPr>
        <w:pStyle w:val="BodyText"/>
      </w:pPr>
      <w:r>
        <w:t xml:space="preserve">central region, is also known as the "sweet water" region and comprises about 47 percent of the area of the state. Average annual rainfall in this region is about 760 mm. It is highly productive and has a tight-knit system of irrigation, mainly through the use of tube-wells. The main cropping system in Zone II is the rice-wheat rotation. The water table in this region has been falling at an alarming average rate of 0.94 meters per year during 2004-07. The steep fall in groundwater is due to the massive increase in the number of tube wells from 192,000 in 1970-71 to 1,276,200 in 2008-09 that has inexorably been fuelled by power subsidies. The falling water table and declining soil fertility threaten the sustainability of the production environment of this region.</w:t>
      </w:r>
    </w:p>
    <w:p>
      <w:pPr>
        <w:pStyle w:val="BodyText"/>
      </w:pPr>
      <w:r>
        <w:t xml:space="preserve">Zone III, the south-western region and popularly known as the cotton belt, comprises almost 36 percent of the cultivated area of the state. This region is endowed with deep and brackish groundwater and sandy soil. It is much dryer than the other two zones. The average annual rainfall of this region is 360 mm. Over the last decade, there has been a fall in the area under cotton that is attributed to a decline in its productivity. At the same time, the increase in area under rice has increased salt accumulation on the soil surface due to the continuous use of underground water which is brackish and has led to water logging of the soil.</w:t>
      </w:r>
    </w:p>
    <w:p>
      <w:pPr>
        <w:pStyle w:val="BodyText"/>
      </w:pPr>
      <w:r>
        <w:t xml:space="preserve">ambika2016remotely</w:t>
      </w:r>
      <w:r>
        <w:t xml:space="preserve"> </w:t>
      </w:r>
      <w:r>
        <w:t xml:space="preserve">LAI rarely approaches such a value for crop and this would be no issue for irrigation classification therefore NDVI alone can be used to differentiate irrigated from non-irrigated areas as well as crop types.</w:t>
      </w:r>
    </w:p>
    <w:p>
      <w:pPr>
        <w:pStyle w:val="BodyText"/>
      </w:pPr>
      <w:r>
        <w:t xml:space="preserve">smoothing techniques typically result in only subtle increases in overall classification</w:t>
      </w:r>
      <w:r>
        <w:t xml:space="preserve"> </w:t>
      </w:r>
      <w:r>
        <w:t xml:space="preserve">accuracy and some of these techniques lead to large inconsistencies in previous classification efforts2,25</w:t>
      </w:r>
    </w:p>
    <w:p>
      <w:pPr>
        <w:pStyle w:val="BodyText"/>
      </w:pPr>
      <w:r>
        <w:t xml:space="preserve">while 95% of arable land in the state of Punjab is irrigated.</w:t>
      </w:r>
    </w:p>
    <w:p>
      <w:pPr>
        <w:pStyle w:val="BodyText"/>
      </w:pPr>
      <w:r>
        <w:t xml:space="preserve">Additionally, states like Tamil Nadu, Punjab, Rajasthan, Maharashtra, West Bengal and Haryana have already developed over 70% of its major and moderate irrigation potential.</w:t>
      </w:r>
    </w:p>
    <w:p>
      <w:pPr>
        <w:pStyle w:val="BodyText"/>
      </w:pPr>
      <w:r>
        <w:t xml:space="preserve">Irrigation is estimated to use about 70% of world's total available freshwater for food production using 18% of cultivated area globally1,2.</w:t>
      </w:r>
    </w:p>
    <w:p>
      <w:pPr>
        <w:pStyle w:val="BodyText"/>
      </w:pPr>
      <w:r>
        <w:t xml:space="preserve">precipitation3. An increase in winter temperature, erratic monsoon season rainfall, extensive use of ground water resources, and absence of effective adaptation strategies are likely to negatively affect crop productivity4,5. In the future, the Indian region may experience stress to meet its water demand due to extreme weather and climate events such as droughts and heat waves, specifically in arid and semi-arid regions, where groundwater extraction is prominent for irrigation3-5.</w:t>
      </w:r>
    </w:p>
    <w:p>
      <w:pPr>
        <w:pStyle w:val="BodyText"/>
      </w:pPr>
      <w:r>
        <w:t xml:space="preserve">Declines in irrigated area were fairly constant for some years with values ranging between ???1.46</w:t>
      </w:r>
      <w:r>
        <w:t xml:space="preserve"> </w:t>
      </w:r>
      <w:r>
        <w:t xml:space="preserve">and ???2.60 mha, however, other years 2003-2004, 2005-2006 and 2012-2013 showed a larger decrease in</w:t>
      </w:r>
      <w:r>
        <w:t xml:space="preserve"> </w:t>
      </w:r>
      <w:r>
        <w:t xml:space="preserve">irrigated area with values ranging from ???6.21 to ???13.38 mha. One reason for the latter case is that the</w:t>
      </w:r>
      <w:r>
        <w:t xml:space="preserve"> </w:t>
      </w:r>
      <w:r>
        <w:t xml:space="preserve">preceding year had a pronounced rainfall deficit as illustrated in Supplementary Fig. 3c.</w:t>
      </w:r>
    </w:p>
    <w:p>
      <w:pPr>
        <w:pStyle w:val="BodyText"/>
      </w:pPr>
      <w:r>
        <w:t xml:space="preserve">Terrestrial and ground water storages withdrawal were also less during 2012 drought year (may be</w:t>
      </w:r>
      <w:r>
        <w:t xml:space="preserve"> </w:t>
      </w:r>
      <w:r>
        <w:t xml:space="preserve">because of less sown area), which could be a possible reason to decrease irrigation for this time period.</w:t>
      </w:r>
    </w:p>
    <w:p>
      <w:pPr>
        <w:pStyle w:val="Bibliography"/>
      </w:pPr>
      <w:r>
        <w:t xml:space="preserve">Ambika, A. K., Wardlow, B., &amp; Mishra, V. (2016). Remotely sensed high resolution irrigated area mapping in india for 2000 to 2015.</w:t>
      </w:r>
      <w:r>
        <w:t xml:space="preserve"> </w:t>
      </w:r>
      <w:r>
        <w:rPr>
          <w:i/>
        </w:rPr>
        <w:t xml:space="preserve">Scientific Data</w:t>
      </w:r>
      <w:r>
        <w:t xml:space="preserve">,</w:t>
      </w:r>
      <w:r>
        <w:t xml:space="preserve"> </w:t>
      </w:r>
      <w:r>
        <w:rPr>
          <w:i/>
        </w:rPr>
        <w:t xml:space="preserve">3</w:t>
      </w:r>
      <w:r>
        <w:t xml:space="preserve">.</w:t>
      </w:r>
    </w:p>
    <w:p>
      <w:pPr>
        <w:pStyle w:val="Bibliography"/>
      </w:pPr>
      <w:r>
        <w:t xml:space="preserve">Anselin, L. (1999). Spatial Econometrics. Richardson TX: School of Social Sciences- University of Texas Dallas.</w:t>
      </w:r>
    </w:p>
    <w:p>
      <w:pPr>
        <w:pStyle w:val="Bibliography"/>
      </w:pPr>
      <w:r>
        <w:t xml:space="preserve">Anselin, L., Bera, A. K., Florax, R., &amp; Yoon, M. J. (1996). Simple diagnostic tests for spatial dependence.</w:t>
      </w:r>
      <w:r>
        <w:t xml:space="preserve"> </w:t>
      </w:r>
      <w:r>
        <w:rPr>
          <w:i/>
        </w:rPr>
        <w:t xml:space="preserve">Regional Science and Urban Economics</w:t>
      </w:r>
      <w:r>
        <w:t xml:space="preserve">,</w:t>
      </w:r>
      <w:r>
        <w:t xml:space="preserve"> </w:t>
      </w:r>
      <w:r>
        <w:rPr>
          <w:i/>
        </w:rPr>
        <w:t xml:space="preserve">26</w:t>
      </w:r>
      <w:r>
        <w:t xml:space="preserve">(1), 77–104.</w:t>
      </w:r>
    </w:p>
    <w:p>
      <w:pPr>
        <w:pStyle w:val="Bibliography"/>
      </w:pPr>
      <w:r>
        <w:t xml:space="preserve">Asrar, G., Fuchs, M., Kanemasu, E., &amp; Hatfield, J. (1984). Estimating absorbed photosynthetic radiation and leaf area index from spectral reflectance in wheat.</w:t>
      </w:r>
      <w:r>
        <w:t xml:space="preserve"> </w:t>
      </w:r>
      <w:r>
        <w:rPr>
          <w:i/>
        </w:rPr>
        <w:t xml:space="preserve">Agronomy Journal</w:t>
      </w:r>
      <w:r>
        <w:t xml:space="preserve">,</w:t>
      </w:r>
      <w:r>
        <w:t xml:space="preserve"> </w:t>
      </w:r>
      <w:r>
        <w:rPr>
          <w:i/>
        </w:rPr>
        <w:t xml:space="preserve">76</w:t>
      </w:r>
      <w:r>
        <w:t xml:space="preserve">(2), 300–306.</w:t>
      </w:r>
    </w:p>
    <w:p>
      <w:pPr>
        <w:pStyle w:val="Bibliography"/>
      </w:pPr>
      <w:r>
        <w:t xml:space="preserve">Bartholome, E. (1988). Radiometric measurements and crop yield forecasting some observations over millet and sorghum experimental plots in mali.</w:t>
      </w:r>
      <w:r>
        <w:t xml:space="preserve"> </w:t>
      </w:r>
      <w:r>
        <w:rPr>
          <w:i/>
        </w:rPr>
        <w:t xml:space="preserve">International Journal of Remote Sensing</w:t>
      </w:r>
      <w:r>
        <w:t xml:space="preserve">,</w:t>
      </w:r>
      <w:r>
        <w:t xml:space="preserve"> </w:t>
      </w:r>
      <w:r>
        <w:rPr>
          <w:i/>
        </w:rPr>
        <w:t xml:space="preserve">9</w:t>
      </w:r>
      <w:r>
        <w:t xml:space="preserve">(10-11), 1539–1552.</w:t>
      </w:r>
    </w:p>
    <w:p>
      <w:pPr>
        <w:pStyle w:val="Bibliography"/>
      </w:pPr>
      <w:r>
        <w:t xml:space="preserve">Becker-Reshef, I., Justice, C., Sullivan, M., Vermote, E., Tucker, C., Anyamba, A., … others. (2010a). Monitoring global croplands with coarse resolution earth observations: The global agriculture monitoring (glam) project.</w:t>
      </w:r>
      <w:r>
        <w:t xml:space="preserve"> </w:t>
      </w:r>
      <w:r>
        <w:rPr>
          <w:i/>
        </w:rPr>
        <w:t xml:space="preserve">Remote Sensing</w:t>
      </w:r>
      <w:r>
        <w:t xml:space="preserve">,</w:t>
      </w:r>
      <w:r>
        <w:t xml:space="preserve"> </w:t>
      </w:r>
      <w:r>
        <w:rPr>
          <w:i/>
        </w:rPr>
        <w:t xml:space="preserve">2</w:t>
      </w:r>
      <w:r>
        <w:t xml:space="preserve">(6), 1589–1609.</w:t>
      </w:r>
    </w:p>
    <w:p>
      <w:pPr>
        <w:pStyle w:val="Bibliography"/>
      </w:pPr>
      <w:r>
        <w:t xml:space="preserve">Becker-Reshef, I., Vermote, E., Lindeman, M., &amp; Justice, C. (2010b). A generalized regression-based model for forecasting winter wheat yields in kansas and ukraine using modis data.</w:t>
      </w:r>
      <w:r>
        <w:t xml:space="preserve"> </w:t>
      </w:r>
      <w:r>
        <w:rPr>
          <w:i/>
        </w:rPr>
        <w:t xml:space="preserve">Remote Sensing of Environment</w:t>
      </w:r>
      <w:r>
        <w:t xml:space="preserve">,</w:t>
      </w:r>
      <w:r>
        <w:t xml:space="preserve"> </w:t>
      </w:r>
      <w:r>
        <w:rPr>
          <w:i/>
        </w:rPr>
        <w:t xml:space="preserve">114</w:t>
      </w:r>
      <w:r>
        <w:t xml:space="preserve">(6), 1312–1323.</w:t>
      </w:r>
    </w:p>
    <w:p>
      <w:pPr>
        <w:pStyle w:val="Bibliography"/>
      </w:pPr>
      <w:r>
        <w:t xml:space="preserve">Benedetti, R., &amp; Rossini, P. (1993). On the use of ndvi profiles as a tool for agricultural statistics: The case study of wheat yield estimate and forecast in emilia romagna.</w:t>
      </w:r>
      <w:r>
        <w:t xml:space="preserve"> </w:t>
      </w:r>
      <w:r>
        <w:rPr>
          <w:i/>
        </w:rPr>
        <w:t xml:space="preserve">Remote Sensing of Environment</w:t>
      </w:r>
      <w:r>
        <w:t xml:space="preserve">,</w:t>
      </w:r>
      <w:r>
        <w:t xml:space="preserve"> </w:t>
      </w:r>
      <w:r>
        <w:rPr>
          <w:i/>
        </w:rPr>
        <w:t xml:space="preserve">45</w:t>
      </w:r>
      <w:r>
        <w:t xml:space="preserve">(3), 311–326.</w:t>
      </w:r>
    </w:p>
    <w:p>
      <w:pPr>
        <w:pStyle w:val="Bibliography"/>
      </w:pPr>
      <w:r>
        <w:t xml:space="preserve">Biradar, C. M., &amp; Xiao, X. (2011). Quantifying the area and spatial distribution of double-and triple-cropping croplands in india with multi-temporal modis imagery in 2005.</w:t>
      </w:r>
      <w:r>
        <w:t xml:space="preserve"> </w:t>
      </w:r>
      <w:r>
        <w:rPr>
          <w:i/>
        </w:rPr>
        <w:t xml:space="preserve">International Journal of Remote Sensing</w:t>
      </w:r>
      <w:r>
        <w:t xml:space="preserve">,</w:t>
      </w:r>
      <w:r>
        <w:t xml:space="preserve"> </w:t>
      </w:r>
      <w:r>
        <w:rPr>
          <w:i/>
        </w:rPr>
        <w:t xml:space="preserve">32</w:t>
      </w:r>
      <w:r>
        <w:t xml:space="preserve">(2), 367–386.</w:t>
      </w:r>
    </w:p>
    <w:p>
      <w:pPr>
        <w:pStyle w:val="Bibliography"/>
      </w:pPr>
      <w:r>
        <w:t xml:space="preserve">Bolton, D. K., &amp; Friedl, M. A. (2013). Forecasting crop yield using remotely sensed vegetation indices and crop phenology metrics.</w:t>
      </w:r>
      <w:r>
        <w:t xml:space="preserve"> </w:t>
      </w:r>
      <w:r>
        <w:rPr>
          <w:i/>
        </w:rPr>
        <w:t xml:space="preserve">Agricultural and Forest Meteorology</w:t>
      </w:r>
      <w:r>
        <w:t xml:space="preserve">,</w:t>
      </w:r>
      <w:r>
        <w:t xml:space="preserve"> </w:t>
      </w:r>
      <w:r>
        <w:rPr>
          <w:i/>
        </w:rPr>
        <w:t xml:space="preserve">173</w:t>
      </w:r>
      <w:r>
        <w:t xml:space="preserve">, 74–84.</w:t>
      </w:r>
    </w:p>
    <w:p>
      <w:pPr>
        <w:pStyle w:val="Bibliography"/>
      </w:pPr>
      <w:r>
        <w:t xml:space="preserve">Butler, E. E., &amp; Huybers, P. (2015). Variations in the sensitivity of us maize yield to extreme temperatures by region and growth phase.</w:t>
      </w:r>
      <w:r>
        <w:t xml:space="preserve"> </w:t>
      </w:r>
      <w:r>
        <w:rPr>
          <w:i/>
        </w:rPr>
        <w:t xml:space="preserve">Environmental Research Letters</w:t>
      </w:r>
      <w:r>
        <w:t xml:space="preserve">,</w:t>
      </w:r>
      <w:r>
        <w:t xml:space="preserve"> </w:t>
      </w:r>
      <w:r>
        <w:rPr>
          <w:i/>
        </w:rPr>
        <w:t xml:space="preserve">10</w:t>
      </w:r>
      <w:r>
        <w:t xml:space="preserve">(3), 034009.</w:t>
      </w:r>
    </w:p>
    <w:p>
      <w:pPr>
        <w:pStyle w:val="Bibliography"/>
      </w:pPr>
      <w:r>
        <w:t xml:space="preserve">Clevers, J. (1997). A simplified approach for yield prediction of sugar beet based on optical remote sensing data.</w:t>
      </w:r>
      <w:r>
        <w:t xml:space="preserve"> </w:t>
      </w:r>
      <w:r>
        <w:rPr>
          <w:i/>
        </w:rPr>
        <w:t xml:space="preserve">Remote Sensing of Environment</w:t>
      </w:r>
      <w:r>
        <w:t xml:space="preserve">,</w:t>
      </w:r>
      <w:r>
        <w:t xml:space="preserve"> </w:t>
      </w:r>
      <w:r>
        <w:rPr>
          <w:i/>
        </w:rPr>
        <w:t xml:space="preserve">61</w:t>
      </w:r>
      <w:r>
        <w:t xml:space="preserve">(2), 221–228.</w:t>
      </w:r>
    </w:p>
    <w:p>
      <w:pPr>
        <w:pStyle w:val="Bibliography"/>
      </w:pPr>
      <w:r>
        <w:t xml:space="preserve">Daughtry, C., Gallo, K., &amp; Bauer, M. E. (1983). Spectral estimates of solar radiation intercepted by corn canopies.</w:t>
      </w:r>
      <w:r>
        <w:t xml:space="preserve"> </w:t>
      </w:r>
      <w:r>
        <w:rPr>
          <w:i/>
        </w:rPr>
        <w:t xml:space="preserve">Agronomy Journal</w:t>
      </w:r>
      <w:r>
        <w:t xml:space="preserve">,</w:t>
      </w:r>
      <w:r>
        <w:t xml:space="preserve"> </w:t>
      </w:r>
      <w:r>
        <w:rPr>
          <w:i/>
        </w:rPr>
        <w:t xml:space="preserve">75</w:t>
      </w:r>
      <w:r>
        <w:t xml:space="preserve">(3), 527–531.</w:t>
      </w:r>
    </w:p>
    <w:p>
      <w:pPr>
        <w:pStyle w:val="Bibliography"/>
      </w:pPr>
      <w:r>
        <w:t xml:space="preserve">De Wit, A. de, &amp; Van Diepen, C. (2007). Crop model data assimilation with the ensemble kalman filter for improving regional crop yield forecasts.</w:t>
      </w:r>
      <w:r>
        <w:t xml:space="preserve"> </w:t>
      </w:r>
      <w:r>
        <w:rPr>
          <w:i/>
        </w:rPr>
        <w:t xml:space="preserve">Agricultural and Forest Meteorology</w:t>
      </w:r>
      <w:r>
        <w:t xml:space="preserve">,</w:t>
      </w:r>
      <w:r>
        <w:t xml:space="preserve"> </w:t>
      </w:r>
      <w:r>
        <w:rPr>
          <w:i/>
        </w:rPr>
        <w:t xml:space="preserve">146</w:t>
      </w:r>
      <w:r>
        <w:t xml:space="preserve">(1), 38–56.</w:t>
      </w:r>
    </w:p>
    <w:p>
      <w:pPr>
        <w:pStyle w:val="Bibliography"/>
      </w:pPr>
      <w:r>
        <w:t xml:space="preserve">Didan, K., &amp; Huete, A. (2006). MODIS Vegetation Index Product Series Collection 5 Change Summary.</w:t>
      </w:r>
    </w:p>
    <w:p>
      <w:pPr>
        <w:pStyle w:val="Bibliography"/>
      </w:pPr>
      <w:r>
        <w:t xml:space="preserve">District level agricultural yields. (n.d.).</w:t>
      </w:r>
      <w:r>
        <w:t xml:space="preserve"> </w:t>
      </w:r>
      <w:r>
        <w:rPr>
          <w:i/>
        </w:rPr>
        <w:t xml:space="preserve">District level agricultural yields</w:t>
      </w:r>
      <w:r>
        <w:t xml:space="preserve">. Department of Agriculture, Cooperation; Farmers Welfare: Ministry of Agriculture; Farmers Welfare, Govt. of India. Retrieved from</w:t>
      </w:r>
      <w:r>
        <w:t xml:space="preserve"> </w:t>
      </w:r>
      <w:hyperlink r:id="rId76">
        <w:r>
          <w:rPr>
            <w:rStyle w:val="Hyperlink"/>
          </w:rPr>
          <w:t xml:space="preserve">http://apy.dacnet.nic.in/</w:t>
        </w:r>
      </w:hyperlink>
    </w:p>
    <w:p>
      <w:pPr>
        <w:pStyle w:val="Bibliography"/>
      </w:pPr>
      <w:r>
        <w:t xml:space="preserve">Doraiswamy, P. C., Moulin, S., Cook, P. W., &amp; Stern, A. (2003). Crop yield assessment from remote sensing.</w:t>
      </w:r>
      <w:r>
        <w:t xml:space="preserve"> </w:t>
      </w:r>
      <w:r>
        <w:rPr>
          <w:i/>
        </w:rPr>
        <w:t xml:space="preserve">Photogrammetric Engineering &amp; Remote Sensing</w:t>
      </w:r>
      <w:r>
        <w:t xml:space="preserve">,</w:t>
      </w:r>
      <w:r>
        <w:t xml:space="preserve"> </w:t>
      </w:r>
      <w:r>
        <w:rPr>
          <w:i/>
        </w:rPr>
        <w:t xml:space="preserve">69</w:t>
      </w:r>
      <w:r>
        <w:t xml:space="preserve">(6), 665–674.</w:t>
      </w:r>
    </w:p>
    <w:p>
      <w:pPr>
        <w:pStyle w:val="Bibliography"/>
      </w:pPr>
      <w:r>
        <w:t xml:space="preserve">Doraiswamy, P. C., Stern, A. J., &amp; Akhmedov, B. (2007). Crop classification in the us corn belt using modis imagery. In</w:t>
      </w:r>
      <w:r>
        <w:t xml:space="preserve"> </w:t>
      </w:r>
      <w:r>
        <w:rPr>
          <w:i/>
        </w:rPr>
        <w:t xml:space="preserve">2007 ieee international geoscience and remote sensing symposium</w:t>
      </w:r>
      <w:r>
        <w:t xml:space="preserve"> </w:t>
      </w:r>
      <w:r>
        <w:t xml:space="preserve">(pp. 809–812). IEEE.</w:t>
      </w:r>
    </w:p>
    <w:p>
      <w:pPr>
        <w:pStyle w:val="Bibliography"/>
      </w:pPr>
      <w:r>
        <w:t xml:space="preserve">Elhorst, P. (2017). Spatial Panel Data Models. Retrieved from</w:t>
      </w:r>
      <w:r>
        <w:t xml:space="preserve"> </w:t>
      </w:r>
      <w:hyperlink r:id="rId77">
        <w:r>
          <w:rPr>
            <w:rStyle w:val="Hyperlink"/>
          </w:rPr>
          <w:t xml:space="preserve">http://regroningen.nl/elhorst/doc/Spatial Panel Data Models.pdf</w:t>
        </w:r>
      </w:hyperlink>
    </w:p>
    <w:p>
      <w:pPr>
        <w:pStyle w:val="Bibliography"/>
      </w:pPr>
      <w:r>
        <w:t xml:space="preserve">Elhorst, P. J. (2010). Spatial Panel Data Models. In M. M. Fischer &amp; A. Getis (Eds.),</w:t>
      </w:r>
      <w:r>
        <w:t xml:space="preserve"> </w:t>
      </w:r>
      <w:r>
        <w:rPr>
          <w:i/>
        </w:rPr>
        <w:t xml:space="preserve">Handbook of applied spatial analysis: Software tools, methods and applications</w:t>
      </w:r>
      <w:r>
        <w:t xml:space="preserve">. New York: Springer.</w:t>
      </w:r>
    </w:p>
    <w:p>
      <w:pPr>
        <w:pStyle w:val="Bibliography"/>
      </w:pPr>
      <w:r>
        <w:t xml:space="preserve">Fotheringham, S., Brunsdon, C., &amp; Charlton, M. (2002).</w:t>
      </w:r>
      <w:r>
        <w:t xml:space="preserve"> </w:t>
      </w:r>
      <w:r>
        <w:rPr>
          <w:i/>
        </w:rPr>
        <w:t xml:space="preserve">Geographically Weighted Regression‚ The analysis of spatially varying relationships</w:t>
      </w:r>
      <w:r>
        <w:t xml:space="preserve">. (Anonymous, Ed.). Hoboken: Wiley.</w:t>
      </w:r>
    </w:p>
    <w:p>
      <w:pPr>
        <w:pStyle w:val="Bibliography"/>
      </w:pPr>
      <w:r>
        <w:t xml:space="preserve">Friedl, M. A., McIver, D. K., Hodges, J. C., Zhang, X., Muchoney, D., Strahler, A. H., … others. (2002). Global land cover mapping from modis: Algorithms and early results.</w:t>
      </w:r>
      <w:r>
        <w:t xml:space="preserve"> </w:t>
      </w:r>
      <w:r>
        <w:rPr>
          <w:i/>
        </w:rPr>
        <w:t xml:space="preserve">Remote Sensing of Environment</w:t>
      </w:r>
      <w:r>
        <w:t xml:space="preserve">,</w:t>
      </w:r>
      <w:r>
        <w:t xml:space="preserve"> </w:t>
      </w:r>
      <w:r>
        <w:rPr>
          <w:i/>
        </w:rPr>
        <w:t xml:space="preserve">83</w:t>
      </w:r>
      <w:r>
        <w:t xml:space="preserve">(1), 287–302.</w:t>
      </w:r>
    </w:p>
    <w:p>
      <w:pPr>
        <w:pStyle w:val="Bibliography"/>
      </w:pPr>
      <w:r>
        <w:t xml:space="preserve">Friedl, M. A., Sulla-Menashe, D., Tan, B., Schneider, A., Ramankutty, N., Sibley, A., &amp; Huang, X. (2010a).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 Retrieved from</w:t>
      </w:r>
      <w:r>
        <w:t xml:space="preserve"> </w:t>
      </w:r>
      <w:hyperlink r:id="rId78">
        <w:r>
          <w:rPr>
            <w:rStyle w:val="Hyperlink"/>
          </w:rPr>
          <w:t xml:space="preserve">http://www.sciencedirect.com/science/article/B6V6V-4XFNCW6-1/2/926cb3ceff79aa59819a94aa7fa4d00e</w:t>
        </w:r>
      </w:hyperlink>
    </w:p>
    <w:p>
      <w:pPr>
        <w:pStyle w:val="Bibliography"/>
      </w:pPr>
      <w:r>
        <w:t xml:space="preserve">Friedl, M. A., Sulla-Menashe, D., Tan, B., Schneider, A., Ramankutty, N., Sibley, A., &amp; Huang, X. (2010b).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w:t>
      </w:r>
    </w:p>
    <w:p>
      <w:pPr>
        <w:pStyle w:val="Bibliography"/>
      </w:pPr>
      <w:r>
        <w:t xml:space="preserve">Funk, C., &amp; Budde, M. E. (2009). Phenologically-tuned modis ndvi-based production anomaly estimates for zimbabwe.</w:t>
      </w:r>
      <w:r>
        <w:t xml:space="preserve"> </w:t>
      </w:r>
      <w:r>
        <w:rPr>
          <w:i/>
        </w:rPr>
        <w:t xml:space="preserve">Remote Sensing of Environment</w:t>
      </w:r>
      <w:r>
        <w:t xml:space="preserve">,</w:t>
      </w:r>
      <w:r>
        <w:t xml:space="preserve"> </w:t>
      </w:r>
      <w:r>
        <w:rPr>
          <w:i/>
        </w:rPr>
        <w:t xml:space="preserve">113</w:t>
      </w:r>
      <w:r>
        <w:t xml:space="preserve">(1), 115–125.</w:t>
      </w:r>
    </w:p>
    <w:p>
      <w:pPr>
        <w:pStyle w:val="Bibliography"/>
      </w:pPr>
      <w:r>
        <w:t xml:space="preserve">Gao, F., Anderson, M. C., Zhang, X., Yang, Z., Alfieri, J. G., Kustas, W. P., … Prueger, J. H. (2017). Toward mapping crop progress at field scales through fusion of landsat and modis imagery.</w:t>
      </w:r>
      <w:r>
        <w:t xml:space="preserve"> </w:t>
      </w:r>
      <w:r>
        <w:rPr>
          <w:i/>
        </w:rPr>
        <w:t xml:space="preserve">Remote Sensing of Environment</w:t>
      </w:r>
      <w:r>
        <w:t xml:space="preserve">,</w:t>
      </w:r>
      <w:r>
        <w:t xml:space="preserve"> </w:t>
      </w:r>
      <w:r>
        <w:rPr>
          <w:i/>
        </w:rPr>
        <w:t xml:space="preserve">188</w:t>
      </w:r>
      <w:r>
        <w:t xml:space="preserve">, 9–25.</w:t>
      </w:r>
    </w:p>
    <w:p>
      <w:pPr>
        <w:pStyle w:val="Bibliography"/>
      </w:pPr>
      <w:r>
        <w:t xml:space="preserve">Geladi, P., &amp; Kowalski, B. R. (1986). Partial least-squares regression: A tutorial.</w:t>
      </w:r>
      <w:r>
        <w:t xml:space="preserve"> </w:t>
      </w:r>
      <w:r>
        <w:rPr>
          <w:i/>
        </w:rPr>
        <w:t xml:space="preserve">Analytica Chimica Acta</w:t>
      </w:r>
      <w:r>
        <w:t xml:space="preserve">,</w:t>
      </w:r>
      <w:r>
        <w:t xml:space="preserve"> </w:t>
      </w:r>
      <w:r>
        <w:rPr>
          <w:i/>
        </w:rPr>
        <w:t xml:space="preserve">185</w:t>
      </w:r>
      <w:r>
        <w:t xml:space="preserve">, 1–17.</w:t>
      </w:r>
      <w:r>
        <w:t xml:space="preserve"> </w:t>
      </w:r>
      <w:hyperlink r:id="rId79">
        <w:r>
          <w:rPr>
            <w:rStyle w:val="Hyperlink"/>
          </w:rPr>
          <w:t xml:space="preserve">https://doi.org/http://dx.doi.org/10.1016/0003-2670(86)80028-9</w:t>
        </w:r>
      </w:hyperlink>
    </w:p>
    <w:p>
      <w:pPr>
        <w:pStyle w:val="Bibliography"/>
      </w:pPr>
      <w:r>
        <w:t xml:space="preserve">Gray, J., Friedl, M., Frolking, S., Ramankutty, N., Nelson, A., &amp; Gumma, M. K. (2014). Mapping asian cropping intensity with modis.</w:t>
      </w:r>
      <w:r>
        <w:t xml:space="preserve"> </w:t>
      </w:r>
      <w:r>
        <w:rPr>
          <w:i/>
        </w:rPr>
        <w:t xml:space="preserve">IEEE Journal of Selected Topics in Applied Earth Observations and Remote Sensing</w:t>
      </w:r>
      <w:r>
        <w:t xml:space="preserve">,</w:t>
      </w:r>
      <w:r>
        <w:t xml:space="preserve"> </w:t>
      </w:r>
      <w:r>
        <w:rPr>
          <w:i/>
        </w:rPr>
        <w:t xml:space="preserve">7</w:t>
      </w:r>
      <w:r>
        <w:t xml:space="preserve">(8), 3373–3379.</w:t>
      </w:r>
    </w:p>
    <w:p>
      <w:pPr>
        <w:pStyle w:val="Bibliography"/>
      </w:pPr>
      <w:r>
        <w:t xml:space="preserve">Greene, W. (1997). H.(1997): Econometric analysis. New York: Prentice Hall.</w:t>
      </w:r>
    </w:p>
    <w:p>
      <w:pPr>
        <w:pStyle w:val="Bibliography"/>
      </w:pPr>
      <w:r>
        <w:t xml:space="preserve">Groten, S. (1993). NDVI—crop monitoring and early yield assessment of burkina faso.</w:t>
      </w:r>
      <w:r>
        <w:t xml:space="preserve"> </w:t>
      </w:r>
      <w:r>
        <w:rPr>
          <w:i/>
        </w:rPr>
        <w:t xml:space="preserve">TitleREMOTE SENSING</w:t>
      </w:r>
      <w:r>
        <w:t xml:space="preserve">,</w:t>
      </w:r>
      <w:r>
        <w:t xml:space="preserve"> </w:t>
      </w:r>
      <w:r>
        <w:rPr>
          <w:i/>
        </w:rPr>
        <w:t xml:space="preserve">14</w:t>
      </w:r>
      <w:r>
        <w:t xml:space="preserve">(8), 1495–1515.</w:t>
      </w:r>
    </w:p>
    <w:p>
      <w:pPr>
        <w:pStyle w:val="Bibliography"/>
      </w:pPr>
      <w:r>
        <w:t xml:space="preserve">Hastie, T. J., &amp; Tibshirani, R. J. (1990).</w:t>
      </w:r>
      <w:r>
        <w:t xml:space="preserve"> </w:t>
      </w:r>
      <w:r>
        <w:rPr>
          <w:i/>
        </w:rPr>
        <w:t xml:space="preserve">Generalized additive models</w:t>
      </w:r>
      <w:r>
        <w:t xml:space="preserve"> </w:t>
      </w:r>
      <w:r>
        <w:t xml:space="preserve">(Vol. 43). CRC Press.</w:t>
      </w:r>
    </w:p>
    <w:p>
      <w:pPr>
        <w:pStyle w:val="Bibliography"/>
      </w:pPr>
      <w:r>
        <w:t xml:space="preserve">Hatfield, J. (1983). Remote sensing estimators of potential and actual crop yield.</w:t>
      </w:r>
      <w:r>
        <w:t xml:space="preserve"> </w:t>
      </w:r>
      <w:r>
        <w:rPr>
          <w:i/>
        </w:rPr>
        <w:t xml:space="preserve">Remote Sensing of Environment</w:t>
      </w:r>
      <w:r>
        <w:t xml:space="preserve">,</w:t>
      </w:r>
      <w:r>
        <w:t xml:space="preserve"> </w:t>
      </w:r>
      <w:r>
        <w:rPr>
          <w:i/>
        </w:rPr>
        <w:t xml:space="preserve">13</w:t>
      </w:r>
      <w:r>
        <w:t xml:space="preserve">(4), 301–311.</w:t>
      </w:r>
    </w:p>
    <w:p>
      <w:pPr>
        <w:pStyle w:val="Bibliography"/>
      </w:pPr>
      <w:r>
        <w:t xml:space="preserve">Hyndman, R. J., &amp; Fan, Y. (1996). Sample quantiles in statistical packages.</w:t>
      </w:r>
      <w:r>
        <w:t xml:space="preserve"> </w:t>
      </w:r>
      <w:r>
        <w:rPr>
          <w:i/>
        </w:rPr>
        <w:t xml:space="preserve">The American Statistician</w:t>
      </w:r>
      <w:r>
        <w:t xml:space="preserve">,</w:t>
      </w:r>
      <w:r>
        <w:t xml:space="preserve"> </w:t>
      </w:r>
      <w:r>
        <w:rPr>
          <w:i/>
        </w:rPr>
        <w:t xml:space="preserve">50</w:t>
      </w:r>
      <w:r>
        <w:t xml:space="preserve">(4), 361–365.</w:t>
      </w:r>
    </w:p>
    <w:p>
      <w:pPr>
        <w:pStyle w:val="Bibliography"/>
      </w:pPr>
      <w:r>
        <w:t xml:space="preserve">Idso, S. B., Jackson, R. D., &amp; Reginato, R. J. (1977). Remote-sensing of crop yields.</w:t>
      </w:r>
      <w:r>
        <w:t xml:space="preserve"> </w:t>
      </w:r>
      <w:r>
        <w:rPr>
          <w:i/>
        </w:rPr>
        <w:t xml:space="preserve">Science</w:t>
      </w:r>
      <w:r>
        <w:t xml:space="preserve">,</w:t>
      </w:r>
      <w:r>
        <w:t xml:space="preserve"> </w:t>
      </w:r>
      <w:r>
        <w:rPr>
          <w:i/>
        </w:rPr>
        <w:t xml:space="preserve">196</w:t>
      </w:r>
      <w:r>
        <w:t xml:space="preserve">(4285), 19–25.</w:t>
      </w:r>
    </w:p>
    <w:p>
      <w:pPr>
        <w:pStyle w:val="Bibliography"/>
      </w:pPr>
      <w:r>
        <w:t xml:space="preserve">Kumar, U. (2017, June). Discussion with wheat expert. CIMMYT.</w:t>
      </w:r>
    </w:p>
    <w:p>
      <w:pPr>
        <w:pStyle w:val="Bibliography"/>
      </w:pPr>
      <w:r>
        <w:t xml:space="preserve">Li, L., Friedl, M. A., Xin, Q., Gray, J., Pan, Y., &amp; Frolking, S. (2014). Mapping crop cycles in china using modis-evi time series.</w:t>
      </w:r>
      <w:r>
        <w:t xml:space="preserve"> </w:t>
      </w:r>
      <w:r>
        <w:rPr>
          <w:i/>
        </w:rPr>
        <w:t xml:space="preserve">Remote Sensing</w:t>
      </w:r>
      <w:r>
        <w:t xml:space="preserve">,</w:t>
      </w:r>
      <w:r>
        <w:t xml:space="preserve"> </w:t>
      </w:r>
      <w:r>
        <w:rPr>
          <w:i/>
        </w:rPr>
        <w:t xml:space="preserve">6</w:t>
      </w:r>
      <w:r>
        <w:t xml:space="preserve">(3), 2473–2493.</w:t>
      </w:r>
    </w:p>
    <w:p>
      <w:pPr>
        <w:pStyle w:val="Bibliography"/>
      </w:pPr>
      <w:r>
        <w:t xml:space="preserve">Lobell, D. B., &amp; Asner, G. P. (2004). Cropland distributions from temporal unmixing of modis data.</w:t>
      </w:r>
      <w:r>
        <w:t xml:space="preserve"> </w:t>
      </w:r>
      <w:r>
        <w:rPr>
          <w:i/>
        </w:rPr>
        <w:t xml:space="preserve">Remote Sensing of Environment</w:t>
      </w:r>
      <w:r>
        <w:t xml:space="preserve">,</w:t>
      </w:r>
      <w:r>
        <w:t xml:space="preserve"> </w:t>
      </w:r>
      <w:r>
        <w:rPr>
          <w:i/>
        </w:rPr>
        <w:t xml:space="preserve">93</w:t>
      </w:r>
      <w:r>
        <w:t xml:space="preserve">(3), 412–422.</w:t>
      </w:r>
    </w:p>
    <w:p>
      <w:pPr>
        <w:pStyle w:val="Bibliography"/>
      </w:pPr>
      <w:r>
        <w:t xml:space="preserve">Lobell, D. B., Schlenker, W., &amp; Costa-Roberts, J. (2011). Climate trends and global crop production since 1980.</w:t>
      </w:r>
      <w:r>
        <w:t xml:space="preserve"> </w:t>
      </w:r>
      <w:r>
        <w:rPr>
          <w:i/>
        </w:rPr>
        <w:t xml:space="preserve">Science</w:t>
      </w:r>
      <w:r>
        <w:t xml:space="preserve">,</w:t>
      </w:r>
      <w:r>
        <w:t xml:space="preserve"> </w:t>
      </w:r>
      <w:r>
        <w:rPr>
          <w:i/>
        </w:rPr>
        <w:t xml:space="preserve">333</w:t>
      </w:r>
      <w:r>
        <w:t xml:space="preserve">(6042), 616–620.</w:t>
      </w:r>
      <w:r>
        <w:t xml:space="preserve"> </w:t>
      </w:r>
      <w:hyperlink r:id="rId80">
        <w:r>
          <w:rPr>
            <w:rStyle w:val="Hyperlink"/>
          </w:rPr>
          <w:t xml:space="preserve">https://doi.org/10.1126/science.1204531</w:t>
        </w:r>
      </w:hyperlink>
    </w:p>
    <w:p>
      <w:pPr>
        <w:pStyle w:val="Bibliography"/>
      </w:pPr>
      <w:r>
        <w:t xml:space="preserve">Lobell, D. B., Thau, D., Seifert, C., Engle, E., &amp; Little, B. (2015). A scalable satellite-based crop yield mapper.</w:t>
      </w:r>
      <w:r>
        <w:t xml:space="preserve"> </w:t>
      </w:r>
      <w:r>
        <w:rPr>
          <w:i/>
        </w:rPr>
        <w:t xml:space="preserve">Remote Sensing of Environment</w:t>
      </w:r>
      <w:r>
        <w:t xml:space="preserve">,</w:t>
      </w:r>
      <w:r>
        <w:t xml:space="preserve"> </w:t>
      </w:r>
      <w:r>
        <w:rPr>
          <w:i/>
        </w:rPr>
        <w:t xml:space="preserve">164</w:t>
      </w:r>
      <w:r>
        <w:t xml:space="preserve">, 324–333.</w:t>
      </w:r>
    </w:p>
    <w:p>
      <w:pPr>
        <w:pStyle w:val="Bibliography"/>
      </w:pPr>
      <w:r>
        <w:t xml:space="preserve">MacDonald, R. B., &amp; Hall, F. G. (1980). Global crop forecasting.</w:t>
      </w:r>
      <w:r>
        <w:t xml:space="preserve"> </w:t>
      </w:r>
      <w:r>
        <w:rPr>
          <w:i/>
        </w:rPr>
        <w:t xml:space="preserve">Science</w:t>
      </w:r>
      <w:r>
        <w:t xml:space="preserve">,</w:t>
      </w:r>
      <w:r>
        <w:t xml:space="preserve"> </w:t>
      </w:r>
      <w:r>
        <w:rPr>
          <w:i/>
        </w:rPr>
        <w:t xml:space="preserve">208</w:t>
      </w:r>
      <w:r>
        <w:t xml:space="preserve">(4445), 670–679.</w:t>
      </w:r>
    </w:p>
    <w:p>
      <w:pPr>
        <w:pStyle w:val="Bibliography"/>
      </w:pPr>
      <w:r>
        <w:t xml:space="preserve">Mann, M. L., &amp; Warner, J. (2015).</w:t>
      </w:r>
      <w:r>
        <w:t xml:space="preserve"> </w:t>
      </w:r>
      <w:r>
        <w:rPr>
          <w:i/>
        </w:rPr>
        <w:t xml:space="preserve">Ethiopian Wheat Yield and Yield Gap Estimation: A Small Area Integrated Data Approach</w:t>
      </w:r>
      <w:r>
        <w:t xml:space="preserve">. Addis Ababa, Ethiopia: International Food Policy Research Institute.</w:t>
      </w:r>
    </w:p>
    <w:p>
      <w:pPr>
        <w:pStyle w:val="Bibliography"/>
      </w:pPr>
      <w:r>
        <w:t xml:space="preserve">Mann, M. L., &amp; Warner, J. M. (2017). Ethiopian wheat yield and yield gap estimation: A spatially explicit small area integrated data approach.</w:t>
      </w:r>
      <w:r>
        <w:t xml:space="preserve"> </w:t>
      </w:r>
      <w:r>
        <w:rPr>
          <w:i/>
        </w:rPr>
        <w:t xml:space="preserve">Field Crops Research</w:t>
      </w:r>
      <w:r>
        <w:t xml:space="preserve">,</w:t>
      </w:r>
      <w:r>
        <w:t xml:space="preserve"> </w:t>
      </w:r>
      <w:r>
        <w:rPr>
          <w:i/>
        </w:rPr>
        <w:t xml:space="preserve">201</w:t>
      </w:r>
      <w:r>
        <w:t xml:space="preserve">, 60–74.</w:t>
      </w:r>
    </w:p>
    <w:p>
      <w:pPr>
        <w:pStyle w:val="Bibliography"/>
      </w:pPr>
      <w:r>
        <w:t xml:space="preserve">Mann, M. L., Batllori, E., Moritz, M. A., Waller, E. K., Berck, P., Flint, A. L., … Dolfi, E. (2016). Incorporating anthropogenic influences into fire probability models: Effects of human activity and climate change on fire activity in california.</w:t>
      </w:r>
      <w:r>
        <w:t xml:space="preserve"> </w:t>
      </w:r>
      <w:r>
        <w:rPr>
          <w:i/>
        </w:rPr>
        <w:t xml:space="preserve">PloS One</w:t>
      </w:r>
      <w:r>
        <w:t xml:space="preserve">,</w:t>
      </w:r>
      <w:r>
        <w:t xml:space="preserve"> </w:t>
      </w:r>
      <w:r>
        <w:rPr>
          <w:i/>
        </w:rPr>
        <w:t xml:space="preserve">11</w:t>
      </w:r>
      <w:r>
        <w:t xml:space="preserve">(4), e0153589.</w:t>
      </w:r>
    </w:p>
    <w:p>
      <w:pPr>
        <w:pStyle w:val="Bibliography"/>
      </w:pPr>
      <w:r>
        <w:t xml:space="preserve">Mann, M. L., Berck, P., Moritz, M. A., Battllori, E., Baldwin, J. G., Gately, C., &amp; Cameron, D. R. (2014). Modeling residential development in California from 2000-2050: Integrating wildfire risk, wildland and agricultural encroachment.</w:t>
      </w:r>
      <w:r>
        <w:t xml:space="preserve"> </w:t>
      </w:r>
      <w:r>
        <w:rPr>
          <w:i/>
        </w:rPr>
        <w:t xml:space="preserve">Land Use Policy</w:t>
      </w:r>
      <w:r>
        <w:t xml:space="preserve">,</w:t>
      </w:r>
      <w:r>
        <w:t xml:space="preserve"> </w:t>
      </w:r>
      <w:r>
        <w:rPr>
          <w:i/>
        </w:rPr>
        <w:t xml:space="preserve">41</w:t>
      </w:r>
      <w:r>
        <w:t xml:space="preserve">, 438–452. Retrieved from</w:t>
      </w:r>
      <w:r>
        <w:t xml:space="preserve"> </w:t>
      </w:r>
      <w:hyperlink r:id="rId81">
        <w:r>
          <w:rPr>
            <w:rStyle w:val="Hyperlink"/>
          </w:rPr>
          <w:t xml:space="preserve">https://www.researchgate.net/profile/Michael{\_}Mann6</w:t>
        </w:r>
      </w:hyperlink>
    </w:p>
    <w:p>
      <w:pPr>
        <w:pStyle w:val="Bibliography"/>
      </w:pPr>
      <w:r>
        <w:t xml:space="preserve">Mann, M. L., Kaufmann, R. K., Bauer, D., Gopal, S., Vera-Diaz, M. D. C., Nepstad, D., … Amacher, G. (2010). The economics of cropland conversion in Amazonia: The importance of agricultural rent.</w:t>
      </w:r>
      <w:r>
        <w:t xml:space="preserve"> </w:t>
      </w:r>
      <w:r>
        <w:rPr>
          <w:i/>
        </w:rPr>
        <w:t xml:space="preserve">Ecological Economics</w:t>
      </w:r>
      <w:r>
        <w:t xml:space="preserve">,</w:t>
      </w:r>
      <w:r>
        <w:t xml:space="preserve"> </w:t>
      </w:r>
      <w:r>
        <w:rPr>
          <w:i/>
        </w:rPr>
        <w:t xml:space="preserve">69</w:t>
      </w:r>
      <w:r>
        <w:t xml:space="preserve">, 1503–1509.</w:t>
      </w:r>
    </w:p>
    <w:p>
      <w:pPr>
        <w:pStyle w:val="Bibliography"/>
      </w:pPr>
      <w:r>
        <w:t xml:space="preserve">Mkhabela, M., Bullock, P., Raj, S., Wang, S., &amp; Yang, Y. (2011). Crop yield forecasting on the canadian prairies using modis ndvi data.</w:t>
      </w:r>
      <w:r>
        <w:t xml:space="preserve"> </w:t>
      </w:r>
      <w:r>
        <w:rPr>
          <w:i/>
        </w:rPr>
        <w:t xml:space="preserve">Agricultural and Forest Meteorology</w:t>
      </w:r>
      <w:r>
        <w:t xml:space="preserve">,</w:t>
      </w:r>
      <w:r>
        <w:t xml:space="preserve"> </w:t>
      </w:r>
      <w:r>
        <w:rPr>
          <w:i/>
        </w:rPr>
        <w:t xml:space="preserve">151</w:t>
      </w:r>
      <w:r>
        <w:t xml:space="preserve">(3), 385–393.</w:t>
      </w:r>
    </w:p>
    <w:p>
      <w:pPr>
        <w:pStyle w:val="Bibliography"/>
      </w:pPr>
      <w:r>
        <w:t xml:space="preserve">Mo, X., Liu, S., Lin, Z., Xu, Y., Xiang, Y., &amp; McVicar, T. (2005). Prediction of crop yield, water consumption and water use efficiency with a svat-crop growth model using remotely sensed data on the north china plain.</w:t>
      </w:r>
      <w:r>
        <w:t xml:space="preserve"> </w:t>
      </w:r>
      <w:r>
        <w:rPr>
          <w:i/>
        </w:rPr>
        <w:t xml:space="preserve">Ecological Modelling</w:t>
      </w:r>
      <w:r>
        <w:t xml:space="preserve">,</w:t>
      </w:r>
      <w:r>
        <w:t xml:space="preserve"> </w:t>
      </w:r>
      <w:r>
        <w:rPr>
          <w:i/>
        </w:rPr>
        <w:t xml:space="preserve">183</w:t>
      </w:r>
      <w:r>
        <w:t xml:space="preserve">(2), 301–322.</w:t>
      </w:r>
    </w:p>
    <w:p>
      <w:pPr>
        <w:pStyle w:val="Bibliography"/>
      </w:pPr>
      <w:r>
        <w:t xml:space="preserve">Moriondo, M., Maselli, F., &amp; Bindi, M. (2007). A simple model of regional wheat yield based on ndvi data.</w:t>
      </w:r>
      <w:r>
        <w:t xml:space="preserve"> </w:t>
      </w:r>
      <w:r>
        <w:rPr>
          <w:i/>
        </w:rPr>
        <w:t xml:space="preserve">European Journal of Agronomy</w:t>
      </w:r>
      <w:r>
        <w:t xml:space="preserve">,</w:t>
      </w:r>
      <w:r>
        <w:t xml:space="preserve"> </w:t>
      </w:r>
      <w:r>
        <w:rPr>
          <w:i/>
        </w:rPr>
        <w:t xml:space="preserve">26</w:t>
      </w:r>
      <w:r>
        <w:t xml:space="preserve">(3), 266–274.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O’Brien,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Pinter Jr, P. J., Ritchie, J. C., Hatfield, J. L., &amp; Hart, G. F. (2003). The agricultural research service’s remote sensing program.</w:t>
      </w:r>
      <w:r>
        <w:t xml:space="preserve"> </w:t>
      </w:r>
      <w:r>
        <w:rPr>
          <w:i/>
        </w:rPr>
        <w:t xml:space="preserve">Photogrammetric Engineering &amp; Remote Sensing</w:t>
      </w:r>
      <w:r>
        <w:t xml:space="preserve">,</w:t>
      </w:r>
      <w:r>
        <w:t xml:space="preserve"> </w:t>
      </w:r>
      <w:r>
        <w:rPr>
          <w:i/>
        </w:rPr>
        <w:t xml:space="preserve">69</w:t>
      </w:r>
      <w:r>
        <w:t xml:space="preserve">(6), 615–618.</w:t>
      </w:r>
    </w:p>
    <w:p>
      <w:pPr>
        <w:pStyle w:val="Bibliography"/>
      </w:pPr>
      <w:r>
        <w:t xml:space="preserve">Portmann, F. T., Siebert, S., &amp; Döll, P.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w:t>
      </w:r>
      <w:r>
        <w:t xml:space="preserve"> </w:t>
      </w:r>
      <w:r>
        <w:rPr>
          <w:i/>
        </w:rPr>
        <w:t xml:space="preserve">24</w:t>
      </w:r>
      <w:r>
        <w:t xml:space="preserve">(1).</w:t>
      </w:r>
    </w:p>
    <w:p>
      <w:pPr>
        <w:pStyle w:val="Bibliography"/>
      </w:pPr>
      <w:r>
        <w:t xml:space="preserve">Ramankutty, N., Evan, A. T., Monfreda, C., &amp; Foley, J. A. (2008). Farming the planet: 1. geographic distribution of global agricultural lands in the year 2000.</w:t>
      </w:r>
      <w:r>
        <w:t xml:space="preserve"> </w:t>
      </w:r>
      <w:r>
        <w:rPr>
          <w:i/>
        </w:rPr>
        <w:t xml:space="preserve">Global Biogeochemical Cycles</w:t>
      </w:r>
      <w:r>
        <w:t xml:space="preserve">,</w:t>
      </w:r>
      <w:r>
        <w:t xml:space="preserve"> </w:t>
      </w:r>
      <w:r>
        <w:rPr>
          <w:i/>
        </w:rPr>
        <w:t xml:space="preserve">22</w:t>
      </w:r>
      <w:r>
        <w:t xml:space="preserve">(1).</w:t>
      </w:r>
    </w:p>
    <w:p>
      <w:pPr>
        <w:pStyle w:val="Bibliography"/>
      </w:pPr>
      <w:r>
        <w:t xml:space="preserve">Rasmussen, M. S. (1992). Assessment of millet yields and production in northern burkina faso using integrated ndvi from the avhrr.</w:t>
      </w:r>
      <w:r>
        <w:t xml:space="preserve"> </w:t>
      </w:r>
      <w:r>
        <w:rPr>
          <w:i/>
        </w:rPr>
        <w:t xml:space="preserve">International Journal of Remote Sensing</w:t>
      </w:r>
      <w:r>
        <w:t xml:space="preserve">,</w:t>
      </w:r>
      <w:r>
        <w:t xml:space="preserve"> </w:t>
      </w:r>
      <w:r>
        <w:rPr>
          <w:i/>
        </w:rPr>
        <w:t xml:space="preserve">13</w:t>
      </w:r>
      <w:r>
        <w:t xml:space="preserve">(18), 3431–3442.</w:t>
      </w:r>
    </w:p>
    <w:p>
      <w:pPr>
        <w:pStyle w:val="Bibliography"/>
      </w:pPr>
      <w:r>
        <w:t xml:space="preserve">Ray, D. K., Gerber, J. S., MacDonald, G. K., &amp; West, P. C. (2015). Climate variation explains a third of global crop yield variability.</w:t>
      </w:r>
      <w:r>
        <w:t xml:space="preserve"> </w:t>
      </w:r>
      <w:r>
        <w:rPr>
          <w:i/>
        </w:rPr>
        <w:t xml:space="preserve">Nature Communications</w:t>
      </w:r>
      <w:r>
        <w:t xml:space="preserve">,</w:t>
      </w:r>
      <w:r>
        <w:t xml:space="preserve"> </w:t>
      </w:r>
      <w:r>
        <w:rPr>
          <w:i/>
        </w:rPr>
        <w:t xml:space="preserve">6</w:t>
      </w:r>
      <w:r>
        <w:t xml:space="preserve">, 5989. Retrieved from</w:t>
      </w:r>
      <w:r>
        <w:t xml:space="preserve"> </w:t>
      </w:r>
      <w:hyperlink r:id="rId82">
        <w:r>
          <w:rPr>
            <w:rStyle w:val="Hyperlink"/>
          </w:rPr>
          <w:t xml:space="preserve">http://dx.doi.org/10.1038/ncomms6989 http://10.1038/ncomms6989 http://www.nature.com/articles/ncomms6989{\#}supplementary-information</w:t>
        </w:r>
      </w:hyperlink>
    </w:p>
    <w:p>
      <w:pPr>
        <w:pStyle w:val="Bibliography"/>
      </w:pPr>
      <w:r>
        <w:t xml:space="preserve">Robles, M., Ceballos, F., &amp; Kramer, B. (2015). Focus Group Interviews: Haryana and Punjab India. India: IFPRI.</w:t>
      </w:r>
    </w:p>
    <w:p>
      <w:pPr>
        <w:pStyle w:val="Bibliography"/>
      </w:pPr>
      <w:r>
        <w:t xml:space="preserve">Sidhu, R., &amp; Vatta, K. (2012). Risk in punjab agriculture: Current status and emerging issues.</w:t>
      </w:r>
      <w:r>
        <w:t xml:space="preserve"> </w:t>
      </w:r>
      <w:r>
        <w:rPr>
          <w:i/>
        </w:rPr>
        <w:t xml:space="preserve">Unpublished Paper, PAU Ludhiana</w:t>
      </w:r>
      <w:r>
        <w:t xml:space="preserve">.</w:t>
      </w:r>
    </w:p>
    <w:p>
      <w:pPr>
        <w:pStyle w:val="Bibliography"/>
      </w:pPr>
      <w:r>
        <w:t xml:space="preserve">Stata. (2016). XTREG Manual. Retrieved from</w:t>
      </w:r>
      <w:r>
        <w:t xml:space="preserve"> </w:t>
      </w:r>
      <w:hyperlink r:id="rId83">
        <w:r>
          <w:rPr>
            <w:rStyle w:val="Hyperlink"/>
          </w:rPr>
          <w:t xml:space="preserve">http://www.stata.com/manuals13/xtxtreg.pdf</w:t>
        </w:r>
      </w:hyperlink>
    </w:p>
    <w:p>
      <w:pPr>
        <w:pStyle w:val="Bibliography"/>
      </w:pPr>
      <w:r>
        <w:t xml:space="preserve">State, P. (2016). Detecting Multicollinearity Using Variance Inflation Factors. Retrieved from</w:t>
      </w:r>
      <w:r>
        <w:t xml:space="preserve"> </w:t>
      </w:r>
      <w:hyperlink r:id="rId84">
        <w:r>
          <w:rPr>
            <w:rStyle w:val="Hyperlink"/>
          </w:rPr>
          <w:t xml:space="preserve">https://onlinecourses.science.psu.edu/stat501/node/347</w:t>
        </w:r>
      </w:hyperlink>
    </w:p>
    <w:p>
      <w:pPr>
        <w:pStyle w:val="Bibliography"/>
      </w:pPr>
      <w:r>
        <w:t xml:space="preserve">Thenkabail, P. S., Biradar, C. M., Noojipady, P., Dheeravath, V., Li, Y., Velpuri, M., … others. (2009). Global irrigated area map (giam), derived from remote sensing, for the end of the last millennium.</w:t>
      </w:r>
      <w:r>
        <w:t xml:space="preserve"> </w:t>
      </w:r>
      <w:r>
        <w:rPr>
          <w:i/>
        </w:rPr>
        <w:t xml:space="preserve">International Journal of Remote Sensing</w:t>
      </w:r>
      <w:r>
        <w:t xml:space="preserve">,</w:t>
      </w:r>
      <w:r>
        <w:t xml:space="preserve"> </w:t>
      </w:r>
      <w:r>
        <w:rPr>
          <w:i/>
        </w:rPr>
        <w:t xml:space="preserve">30</w:t>
      </w:r>
      <w:r>
        <w:t xml:space="preserve">(14), 3679–3733.</w:t>
      </w:r>
    </w:p>
    <w:p>
      <w:pPr>
        <w:pStyle w:val="Bibliography"/>
      </w:pPr>
      <w:r>
        <w:t xml:space="preserve">Thenkabail, P., GangadharaRao, P., Biggs, T., Krishna, M., &amp; Turral, H.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w:t>
      </w:r>
      <w:r>
        <w:t xml:space="preserve"> </w:t>
      </w:r>
      <w:r>
        <w:rPr>
          <w:i/>
        </w:rPr>
        <w:t xml:space="preserve">73</w:t>
      </w:r>
      <w:r>
        <w:t xml:space="preserve">(10), 1029–1040.</w:t>
      </w:r>
    </w:p>
    <w:p>
      <w:pPr>
        <w:pStyle w:val="Bibliography"/>
      </w:pPr>
      <w:r>
        <w:t xml:space="preserve">Tucker, C., &amp; Sellers, P. (1986). Satellite remote sensing of primary production.</w:t>
      </w:r>
      <w:r>
        <w:t xml:space="preserve"> </w:t>
      </w:r>
      <w:r>
        <w:rPr>
          <w:i/>
        </w:rPr>
        <w:t xml:space="preserve">International Journal of Remote Sensing</w:t>
      </w:r>
      <w:r>
        <w:t xml:space="preserve">,</w:t>
      </w:r>
      <w:r>
        <w:t xml:space="preserve"> </w:t>
      </w:r>
      <w:r>
        <w:rPr>
          <w:i/>
        </w:rPr>
        <w:t xml:space="preserve">7</w:t>
      </w:r>
      <w:r>
        <w:t xml:space="preserve">(11), 1395–1416.</w:t>
      </w:r>
    </w:p>
    <w:p>
      <w:pPr>
        <w:pStyle w:val="Bibliography"/>
      </w:pPr>
      <w:r>
        <w:t xml:space="preserve">Tucker, C., Holben, B., Elgin Jr, J., McMurtrey III, J., &amp; others. (1980). Relationship of spectral data to grain yield variation.</w:t>
      </w:r>
      <w:r>
        <w:t xml:space="preserve"> </w:t>
      </w:r>
      <w:r>
        <w:rPr>
          <w:i/>
        </w:rPr>
        <w:t xml:space="preserve">Photogrammetric Engineering and Remote Sensing</w:t>
      </w:r>
      <w:r>
        <w:t xml:space="preserve">,</w:t>
      </w:r>
      <w:r>
        <w:t xml:space="preserve"> </w:t>
      </w:r>
      <w:r>
        <w:rPr>
          <w:i/>
        </w:rPr>
        <w:t xml:space="preserve">46</w:t>
      </w:r>
      <w:r>
        <w:t xml:space="preserve">(5), 657–666.</w:t>
      </w:r>
    </w:p>
    <w:p>
      <w:pPr>
        <w:pStyle w:val="Bibliography"/>
      </w:pPr>
      <w:r>
        <w:t xml:space="preserve">Utt, N. (2017, March). Discussion with irrigation expert. University of Minnesota.</w:t>
      </w:r>
    </w:p>
    <w:p>
      <w:pPr>
        <w:pStyle w:val="Bibliography"/>
      </w:pPr>
      <w:r>
        <w:t xml:space="preserve">Wardlow, B. D., &amp; Egbert, S. L. (2008). Large-area crop mapping using time-series modis 250 m ndvi data: An assessment for the us central great plains.</w:t>
      </w:r>
      <w:r>
        <w:t xml:space="preserve"> </w:t>
      </w:r>
      <w:r>
        <w:rPr>
          <w:i/>
        </w:rPr>
        <w:t xml:space="preserve">Remote Sensing of Environment</w:t>
      </w:r>
      <w:r>
        <w:t xml:space="preserve">,</w:t>
      </w:r>
      <w:r>
        <w:t xml:space="preserve"> </w:t>
      </w:r>
      <w:r>
        <w:rPr>
          <w:i/>
        </w:rPr>
        <w:t xml:space="preserve">112</w:t>
      </w:r>
      <w:r>
        <w:t xml:space="preserve">(3), 1096–1116.</w:t>
      </w:r>
    </w:p>
    <w:p>
      <w:pPr>
        <w:pStyle w:val="Bibliography"/>
      </w:pPr>
      <w:r>
        <w:t xml:space="preserve">Xiao, X., Boles, S., Frolking, S., Li, C., Babu, J. Y., Salas, W., &amp; Moore, B. (2006). Mapping paddy rice agriculture in south and southeast asia using multi-temporal modis images.</w:t>
      </w:r>
      <w:r>
        <w:t xml:space="preserve"> </w:t>
      </w:r>
      <w:r>
        <w:rPr>
          <w:i/>
        </w:rPr>
        <w:t xml:space="preserve">Remote Sensing of Environment</w:t>
      </w:r>
      <w:r>
        <w:t xml:space="preserve">,</w:t>
      </w:r>
      <w:r>
        <w:t xml:space="preserve"> </w:t>
      </w:r>
      <w:r>
        <w:rPr>
          <w:i/>
        </w:rPr>
        <w:t xml:space="preserve">100</w:t>
      </w:r>
      <w:r>
        <w:t xml:space="preserve">(1), 95–113.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8">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 w:id="68">
    <w:p>
      <w:pPr>
        <w:pStyle w:val="FootnoteText"/>
      </w:pPr>
      <w:r>
        <w:rPr>
          <w:rStyle w:val="FootnoteReference"/>
        </w:rPr>
        <w:footnoteRef/>
      </w:r>
      <w:r>
        <w:t xml:space="preserve"> </w:t>
      </w:r>
      <w:r>
        <w:t xml:space="preserve">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1fc0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1b8c60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ace725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c8b63e3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ceee5fc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2017-07-19T15:25:13Z</dcterms:created>
  <dcterms:modified xsi:type="dcterms:W3CDTF">2017-07-19T15:25:13Z</dcterms:modified>
</cp:coreProperties>
</file>