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1"/>
      <w:r w:rsidRPr="00987EE5">
        <w:rPr>
          <w:b/>
        </w:rPr>
        <w:t>Abstract</w:t>
      </w:r>
      <w:r w:rsidRPr="00755125">
        <w:rPr>
          <w:b/>
        </w:rPr>
        <w:t>:</w:t>
      </w:r>
      <w:commentRangeEnd w:id="1"/>
      <w:r w:rsidR="00B81A8A">
        <w:rPr>
          <w:rStyle w:val="Refdecomentario"/>
        </w:rPr>
        <w:commentReference w:id="1"/>
      </w:r>
      <w:r>
        <w:t xml:space="preserve"> </w:t>
      </w:r>
    </w:p>
    <w:p w14:paraId="28101962" w14:textId="77777777" w:rsidR="00C23F7F" w:rsidRDefault="00C23F7F" w:rsidP="0036494C">
      <w:pPr>
        <w:spacing w:line="480" w:lineRule="auto"/>
        <w:rPr>
          <w:sz w:val="24"/>
          <w:szCs w:val="24"/>
        </w:rPr>
      </w:pPr>
    </w:p>
    <w:p w14:paraId="4DB4F5B5" w14:textId="7770501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w:t>
      </w:r>
      <w:r w:rsidR="00D20202">
        <w:rPr>
          <w:sz w:val="24"/>
          <w:szCs w:val="24"/>
        </w:rPr>
        <w:t xml:space="preserve"> These regions are facing serious threats due to a</w:t>
      </w:r>
      <w:r w:rsidR="007650D3">
        <w:rPr>
          <w:sz w:val="24"/>
          <w:szCs w:val="24"/>
        </w:rPr>
        <w:t xml:space="preserve">gricultural </w:t>
      </w:r>
      <w:r w:rsidR="00D12FED">
        <w:rPr>
          <w:sz w:val="24"/>
          <w:szCs w:val="24"/>
        </w:rPr>
        <w:t>intensification</w:t>
      </w:r>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lastRenderedPageBreak/>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89EBFC2" w14:textId="77777777" w:rsidR="00D20202" w:rsidRDefault="00D20202" w:rsidP="00C13940">
      <w:pPr>
        <w:pStyle w:val="Teaser"/>
      </w:pPr>
    </w:p>
    <w:p w14:paraId="4796FFFA" w14:textId="4C8515B6" w:rsidR="00C13940" w:rsidRDefault="00D73714" w:rsidP="00C13940">
      <w:pPr>
        <w:pStyle w:val="Teaser"/>
      </w:pPr>
      <w:commentRangeStart w:id="2"/>
      <w:r w:rsidRPr="00D47899">
        <w:rPr>
          <w:b/>
        </w:rPr>
        <w:t>One Sentence Summary</w:t>
      </w:r>
      <w:commentRangeEnd w:id="2"/>
      <w:r w:rsidR="0092026B">
        <w:rPr>
          <w:rStyle w:val="Refdecomentario"/>
        </w:rPr>
        <w:commentReference w:id="2"/>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734EC74B"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The restoration of degraded ecosystem</w:t>
      </w:r>
      <w:r w:rsidR="00BD0461">
        <w:rPr>
          <w:sz w:val="24"/>
          <w:szCs w:val="24"/>
        </w:rPr>
        <w:t xml:space="preserve"> provide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8160ED">
        <w:rPr>
          <w:sz w:val="24"/>
          <w:szCs w:val="24"/>
        </w:rPr>
        <w:t>that rely on</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w:t>
      </w:r>
      <w:r w:rsidR="00A8383E">
        <w:rPr>
          <w:sz w:val="24"/>
          <w:szCs w:val="24"/>
        </w:rPr>
        <w:t xml:space="preserve">identify </w:t>
      </w:r>
      <w:r w:rsidR="005C7168">
        <w:rPr>
          <w:sz w:val="24"/>
          <w:szCs w:val="24"/>
        </w:rPr>
        <w:t xml:space="preserve">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lastRenderedPageBreak/>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383BD325"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w:t>
      </w:r>
      <w:r w:rsidR="001470D5">
        <w:rPr>
          <w:sz w:val="24"/>
          <w:szCs w:val="24"/>
        </w:rPr>
        <w:lastRenderedPageBreak/>
        <w:t>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8EB5519" w:rsidR="00DC00D2" w:rsidRDefault="00DC00D2" w:rsidP="00621FB6">
      <w:pPr>
        <w:spacing w:line="480" w:lineRule="auto"/>
        <w:rPr>
          <w:sz w:val="24"/>
          <w:szCs w:val="24"/>
        </w:rPr>
      </w:pPr>
      <w:r>
        <w:rPr>
          <w:sz w:val="24"/>
          <w:szCs w:val="24"/>
        </w:rPr>
        <w:t xml:space="preserve">A high number of </w:t>
      </w:r>
      <w:r w:rsidR="00DE4D74">
        <w:rPr>
          <w:sz w:val="24"/>
          <w:szCs w:val="24"/>
        </w:rPr>
        <w:t>studies (n=30), classified as both active (n=16) and passive restoration (n=14),</w:t>
      </w:r>
      <w:r>
        <w:rPr>
          <w:sz w:val="24"/>
          <w:szCs w:val="24"/>
        </w:rPr>
        <w:t xml:space="preserve"> were not included in this meta-analysis </w:t>
      </w:r>
      <w:r w:rsidR="00B10A33">
        <w:rPr>
          <w:sz w:val="24"/>
          <w:szCs w:val="24"/>
        </w:rPr>
        <w:t xml:space="preserve">due to the absence of </w:t>
      </w:r>
      <w:r>
        <w:rPr>
          <w:sz w:val="24"/>
          <w:szCs w:val="24"/>
        </w:rPr>
        <w:t xml:space="preserve">control </w:t>
      </w:r>
      <w:r w:rsidR="00855BCA">
        <w:rPr>
          <w:sz w:val="24"/>
          <w:szCs w:val="24"/>
        </w:rPr>
        <w:t>groups</w:t>
      </w:r>
      <w:r>
        <w:rPr>
          <w:sz w:val="24"/>
          <w:szCs w:val="24"/>
        </w:rPr>
        <w:t>. This may highlight</w:t>
      </w:r>
      <w:r w:rsidR="00561A15">
        <w:rPr>
          <w:sz w:val="24"/>
          <w:szCs w:val="24"/>
        </w:rPr>
        <w:t xml:space="preserve"> </w:t>
      </w:r>
      <w:r>
        <w:rPr>
          <w:sz w:val="24"/>
          <w:szCs w:val="24"/>
        </w:rPr>
        <w:t xml:space="preserve">the </w:t>
      </w:r>
      <w:r w:rsidR="00B10A33">
        <w:rPr>
          <w:sz w:val="24"/>
          <w:szCs w:val="24"/>
        </w:rPr>
        <w:t>lack</w:t>
      </w:r>
      <w:r>
        <w:rPr>
          <w:sz w:val="24"/>
          <w:szCs w:val="24"/>
        </w:rPr>
        <w:t xml:space="preserve"> of undisturbed reference sites or the difficulty of identifying a clear model to which compare the system to be restored </w:t>
      </w:r>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r w:rsidR="00DE4D74">
        <w:rPr>
          <w:sz w:val="24"/>
          <w:szCs w:val="24"/>
        </w:rPr>
        <w:t xml:space="preserve"> and </w:t>
      </w:r>
      <w:r w:rsidR="00561A15">
        <w:rPr>
          <w:sz w:val="24"/>
          <w:szCs w:val="24"/>
        </w:rPr>
        <w:t xml:space="preserve">on the other hand, </w:t>
      </w:r>
      <w:r w:rsidR="00DE4D74">
        <w:rPr>
          <w:sz w:val="24"/>
          <w:szCs w:val="24"/>
        </w:rPr>
        <w:t xml:space="preserve">the </w:t>
      </w:r>
      <w:r w:rsidR="00B10A33">
        <w:rPr>
          <w:sz w:val="24"/>
          <w:szCs w:val="24"/>
        </w:rPr>
        <w:t xml:space="preserve">absence of </w:t>
      </w:r>
      <w:r w:rsidR="00DE4D74">
        <w:rPr>
          <w:sz w:val="24"/>
          <w:szCs w:val="24"/>
        </w:rPr>
        <w:t xml:space="preserve">specific restoration </w:t>
      </w:r>
      <w:r w:rsidR="00DE4D74">
        <w:rPr>
          <w:sz w:val="24"/>
          <w:szCs w:val="24"/>
        </w:rPr>
        <w:lastRenderedPageBreak/>
        <w:t>goal</w:t>
      </w:r>
      <w:r w:rsidR="00B10A33">
        <w:rPr>
          <w:sz w:val="24"/>
          <w:szCs w:val="24"/>
        </w:rPr>
        <w:t>s</w:t>
      </w:r>
      <w:r w:rsidR="00DE4D74">
        <w:rPr>
          <w:sz w:val="24"/>
          <w:szCs w:val="24"/>
        </w:rPr>
        <w:t xml:space="preserve"> to be achieved</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1</w:t>
      </w:r>
      <w:r w:rsidR="00A46CE9" w:rsidRPr="00A46CE9">
        <w:rPr>
          <w:noProof/>
          <w:sz w:val="24"/>
          <w:szCs w:val="24"/>
        </w:rPr>
        <w:t>)</w:t>
      </w:r>
      <w:r w:rsidR="00A46CE9">
        <w:rPr>
          <w:sz w:val="24"/>
          <w:szCs w:val="24"/>
        </w:rPr>
        <w:fldChar w:fldCharType="end"/>
      </w:r>
      <w:r>
        <w:rPr>
          <w:sz w:val="24"/>
          <w:szCs w:val="24"/>
        </w:rPr>
        <w:t>. This situation entails challenge</w:t>
      </w:r>
      <w:r w:rsidR="00E8101F">
        <w:rPr>
          <w:sz w:val="24"/>
          <w:szCs w:val="24"/>
        </w:rPr>
        <w:t>s</w:t>
      </w:r>
      <w:r>
        <w:rPr>
          <w:sz w:val="24"/>
          <w:szCs w:val="24"/>
        </w:rPr>
        <w:t xml:space="preserve"> to interpret the </w:t>
      </w:r>
      <w:r w:rsidR="00B10A33">
        <w:rPr>
          <w:sz w:val="24"/>
          <w:szCs w:val="24"/>
        </w:rPr>
        <w:t xml:space="preserve">benefits of </w:t>
      </w:r>
      <w:r>
        <w:rPr>
          <w:sz w:val="24"/>
          <w:szCs w:val="24"/>
        </w:rPr>
        <w:t xml:space="preserve">restoration </w:t>
      </w:r>
      <w:r w:rsidR="00B10A33">
        <w:rPr>
          <w:sz w:val="24"/>
          <w:szCs w:val="24"/>
        </w:rPr>
        <w:t xml:space="preserve">interventions </w:t>
      </w:r>
      <w:r w:rsidR="00A46CE9">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sidR="00A46CE9">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sidR="00A46CE9">
        <w:rPr>
          <w:sz w:val="24"/>
          <w:szCs w:val="24"/>
        </w:rPr>
        <w:fldChar w:fldCharType="end"/>
      </w:r>
      <w:r w:rsidR="00E8101F">
        <w:rPr>
          <w:sz w:val="24"/>
          <w:szCs w:val="24"/>
        </w:rPr>
        <w:t xml:space="preserve"> and to determine ecosystems health</w:t>
      </w:r>
      <w:r>
        <w:rPr>
          <w:sz w:val="24"/>
          <w:szCs w:val="24"/>
        </w:rPr>
        <w:t xml:space="preserve">.  </w:t>
      </w:r>
    </w:p>
    <w:p w14:paraId="3B094325" w14:textId="72B6C72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0D00BA16"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 xml:space="preserve">We are currently facing a </w:t>
      </w:r>
      <w:r w:rsidR="00561A15">
        <w:rPr>
          <w:sz w:val="24"/>
          <w:szCs w:val="24"/>
        </w:rPr>
        <w:t xml:space="preserve">global </w:t>
      </w:r>
      <w:r w:rsidR="00731138">
        <w:rPr>
          <w:sz w:val="24"/>
          <w:szCs w:val="24"/>
        </w:rPr>
        <w:t>situation in which biodiversity, natural resources, ecosystem services and function</w:t>
      </w:r>
      <w:r w:rsidR="00561A15">
        <w:rPr>
          <w:sz w:val="24"/>
          <w:szCs w:val="24"/>
        </w:rPr>
        <w:t>s</w:t>
      </w:r>
      <w:r w:rsidR="00731138">
        <w:rPr>
          <w:sz w:val="24"/>
          <w:szCs w:val="24"/>
        </w:rPr>
        <w:t xml:space="preserve"> are under serious threats</w:t>
      </w:r>
      <w:r w:rsidR="00144E4D">
        <w:rPr>
          <w:sz w:val="24"/>
          <w:szCs w:val="24"/>
        </w:rPr>
        <w:t>; h</w:t>
      </w:r>
      <w:r w:rsidR="00561A15">
        <w:rPr>
          <w:sz w:val="24"/>
          <w:szCs w:val="24"/>
        </w:rPr>
        <w:t xml:space="preserve">owever, </w:t>
      </w:r>
      <w:r w:rsidR="00144E4D">
        <w:rPr>
          <w:sz w:val="24"/>
          <w:szCs w:val="24"/>
        </w:rPr>
        <w:t xml:space="preserve">considering the condition of increasing changes, </w:t>
      </w:r>
      <w:r w:rsidR="00731138">
        <w:rPr>
          <w:sz w:val="24"/>
          <w:szCs w:val="24"/>
        </w:rPr>
        <w:t xml:space="preserve">we have a great opportunity to </w:t>
      </w:r>
      <w:r w:rsidR="00144E4D">
        <w:rPr>
          <w:sz w:val="24"/>
          <w:szCs w:val="24"/>
        </w:rPr>
        <w:t>restore</w:t>
      </w:r>
      <w:r w:rsidR="00731138">
        <w:rPr>
          <w:sz w:val="24"/>
          <w:szCs w:val="24"/>
        </w:rPr>
        <w:t xml:space="preserve"> </w:t>
      </w:r>
      <w:r w:rsidR="00205615">
        <w:rPr>
          <w:sz w:val="24"/>
          <w:szCs w:val="24"/>
        </w:rPr>
        <w:t xml:space="preserve">ecosystems, </w:t>
      </w:r>
      <w:r w:rsidR="005906CE">
        <w:rPr>
          <w:sz w:val="24"/>
          <w:szCs w:val="24"/>
        </w:rPr>
        <w:t xml:space="preserve">ecological processes and biodiversity </w:t>
      </w:r>
      <w:r w:rsidR="005906CE">
        <w:rPr>
          <w:sz w:val="24"/>
          <w:szCs w:val="24"/>
        </w:rPr>
        <w:fldChar w:fldCharType="begin" w:fldLock="1"/>
      </w:r>
      <w:r w:rsidR="00205615">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5906CE">
        <w:rPr>
          <w:sz w:val="24"/>
          <w:szCs w:val="24"/>
        </w:rPr>
        <w:fldChar w:fldCharType="separate"/>
      </w:r>
      <w:r w:rsidR="005906CE" w:rsidRPr="005906CE">
        <w:rPr>
          <w:noProof/>
          <w:sz w:val="24"/>
          <w:szCs w:val="24"/>
        </w:rPr>
        <w:t>(</w:t>
      </w:r>
      <w:r w:rsidR="005906CE" w:rsidRPr="005906CE">
        <w:rPr>
          <w:i/>
          <w:noProof/>
          <w:sz w:val="24"/>
          <w:szCs w:val="24"/>
        </w:rPr>
        <w:t>2</w:t>
      </w:r>
      <w:r w:rsidR="005906CE" w:rsidRPr="005906CE">
        <w:rPr>
          <w:noProof/>
          <w:sz w:val="24"/>
          <w:szCs w:val="24"/>
        </w:rPr>
        <w:t>)</w:t>
      </w:r>
      <w:r w:rsidR="005906CE">
        <w:rPr>
          <w:sz w:val="24"/>
          <w:szCs w:val="24"/>
        </w:rPr>
        <w:fldChar w:fldCharType="end"/>
      </w:r>
      <w:r w:rsidR="005906CE">
        <w:rPr>
          <w:sz w:val="24"/>
          <w:szCs w:val="24"/>
        </w:rPr>
        <w:t xml:space="preserve"> that will ultimately</w:t>
      </w:r>
      <w:r w:rsidR="001B12E8">
        <w:rPr>
          <w:sz w:val="24"/>
          <w:szCs w:val="24"/>
        </w:rPr>
        <w:t xml:space="preserve"> benefit </w:t>
      </w:r>
      <w:r w:rsidR="00E8101F">
        <w:rPr>
          <w:sz w:val="24"/>
          <w:szCs w:val="24"/>
        </w:rPr>
        <w:t>human well-being</w:t>
      </w:r>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FB9B244"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 xml:space="preserve">"passive restoration" </w:t>
      </w:r>
      <w:r w:rsidRPr="006E6A52">
        <w:rPr>
          <w:sz w:val="24"/>
          <w:szCs w:val="24"/>
        </w:rPr>
        <w:lastRenderedPageBreak/>
        <w:t>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730D7972"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w:t>
      </w:r>
      <w:r w:rsidR="00C25D24">
        <w:rPr>
          <w:sz w:val="24"/>
          <w:szCs w:val="24"/>
        </w:rPr>
        <w:lastRenderedPageBreak/>
        <w:t xml:space="preserve">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01B8F5D6"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5"/>
      <w:commentRangeStart w:id="6"/>
      <w:r>
        <w:rPr>
          <w:sz w:val="24"/>
          <w:szCs w:val="24"/>
          <w:u w:val="single"/>
        </w:rPr>
        <w:t>Statistical</w:t>
      </w:r>
      <w:r w:rsidR="00C32171" w:rsidRPr="0017063D">
        <w:rPr>
          <w:sz w:val="24"/>
          <w:szCs w:val="24"/>
          <w:u w:val="single"/>
        </w:rPr>
        <w:t xml:space="preserve"> analysis </w:t>
      </w:r>
      <w:commentRangeEnd w:id="5"/>
      <w:r w:rsidR="00EE1233">
        <w:rPr>
          <w:rStyle w:val="Refdecomentario"/>
          <w:rFonts w:eastAsia="Times New Roman"/>
        </w:rPr>
        <w:commentReference w:id="5"/>
      </w:r>
      <w:commentRangeEnd w:id="6"/>
      <w:r w:rsidR="00CC1C97">
        <w:rPr>
          <w:rStyle w:val="Refdecomentario"/>
          <w:rFonts w:eastAsia="Times New Roman"/>
        </w:rPr>
        <w:commentReference w:id="6"/>
      </w:r>
    </w:p>
    <w:p w14:paraId="6E426E63" w14:textId="338F83EA"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bookmarkStart w:id="7" w:name="_GoBack"/>
      <w:bookmarkEnd w:id="7"/>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679217BC"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088A038"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w:t>
      </w:r>
      <w:r w:rsidR="00744706">
        <w:rPr>
          <w:sz w:val="24"/>
          <w:szCs w:val="24"/>
        </w:rPr>
        <w:t xml:space="preserve"> (mean and 95% confidence interval)</w:t>
      </w:r>
      <w:r w:rsidR="00746DD6">
        <w:rPr>
          <w:sz w:val="24"/>
          <w:szCs w:val="24"/>
        </w:rPr>
        <w:t xml:space="preserve">,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w:t>
      </w:r>
      <w:r w:rsidR="003C5575">
        <w:rPr>
          <w:sz w:val="24"/>
          <w:szCs w:val="24"/>
        </w:rPr>
        <w:t>r</w:t>
      </w:r>
      <w:r w:rsidR="00540B0C">
        <w:rPr>
          <w:sz w:val="24"/>
          <w:szCs w:val="24"/>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4706">
        <w:rPr>
          <w:sz w:val="24"/>
          <w:szCs w:val="24"/>
        </w:rPr>
        <w:t xml:space="preserve">Active and passive restoration practices are represented by different colors, </w:t>
      </w:r>
      <w:r w:rsidR="000F6DB2">
        <w:rPr>
          <w:sz w:val="24"/>
          <w:szCs w:val="24"/>
        </w:rPr>
        <w:t xml:space="preserve">color </w:t>
      </w:r>
      <w:r w:rsidR="00744706">
        <w:rPr>
          <w:sz w:val="24"/>
          <w:szCs w:val="24"/>
        </w:rPr>
        <w:t>references are at the right of the plot.</w:t>
      </w:r>
    </w:p>
    <w:p w14:paraId="6FCB7A85" w14:textId="20EF47D7" w:rsidR="0096116C" w:rsidRDefault="0096116C" w:rsidP="00FD48F1">
      <w:pPr>
        <w:pStyle w:val="Legend"/>
        <w:rPr>
          <w:ins w:id="8"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9"/>
      <w:r w:rsidR="004A1B03">
        <w:rPr>
          <w:sz w:val="24"/>
          <w:szCs w:val="24"/>
        </w:rPr>
        <w:t xml:space="preserve">PRISMA </w:t>
      </w:r>
      <w:commentRangeEnd w:id="9"/>
      <w:r w:rsidR="004A1B03">
        <w:rPr>
          <w:rStyle w:val="Refdecomentario"/>
          <w:rFonts w:eastAsia="Times New Roman"/>
        </w:rPr>
        <w:commentReference w:id="9"/>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2A072916" w:rsidR="00D84C2F" w:rsidRDefault="00D84C2F" w:rsidP="00B81A8A">
      <w:pPr>
        <w:rPr>
          <w:sz w:val="24"/>
        </w:rPr>
      </w:pPr>
      <w:r>
        <w:rPr>
          <w:rStyle w:val="Refdecomentario"/>
        </w:rPr>
        <w:annotationRef/>
      </w:r>
      <w:r w:rsidRPr="00755125">
        <w:rPr>
          <w:sz w:val="24"/>
        </w:rPr>
        <w:t>No more than 96 characters</w:t>
      </w:r>
    </w:p>
    <w:p w14:paraId="6FBFE8A9" w14:textId="27D31D79" w:rsidR="00D84C2F" w:rsidRDefault="00D84C2F" w:rsidP="00B81A8A">
      <w:pPr>
        <w:rPr>
          <w:sz w:val="24"/>
        </w:rPr>
      </w:pPr>
    </w:p>
    <w:p w14:paraId="691E6B8B" w14:textId="6FA25DA0" w:rsidR="00D84C2F" w:rsidRDefault="00D84C2F" w:rsidP="00B81A8A">
      <w:pPr>
        <w:rPr>
          <w:sz w:val="24"/>
        </w:rPr>
      </w:pPr>
      <w:r>
        <w:rPr>
          <w:sz w:val="24"/>
        </w:rPr>
        <w:t xml:space="preserve">Another suggestion (it is </w:t>
      </w:r>
      <w:proofErr w:type="gramStart"/>
      <w:r>
        <w:rPr>
          <w:sz w:val="24"/>
        </w:rPr>
        <w:t>similar to</w:t>
      </w:r>
      <w:proofErr w:type="gramEnd"/>
      <w:r>
        <w:rPr>
          <w:sz w:val="24"/>
        </w:rPr>
        <w:t xml:space="preserve"> the “One sentence summary”):</w:t>
      </w:r>
    </w:p>
    <w:p w14:paraId="74558264" w14:textId="77777777" w:rsidR="00D84C2F" w:rsidRDefault="00D84C2F" w:rsidP="00B81A8A">
      <w:pPr>
        <w:rPr>
          <w:sz w:val="24"/>
        </w:rPr>
      </w:pPr>
    </w:p>
    <w:p w14:paraId="00252FEC" w14:textId="0A34923C" w:rsidR="00D84C2F" w:rsidRPr="00755125" w:rsidRDefault="00D84C2F"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D84C2F" w:rsidRDefault="00D84C2F">
      <w:pPr>
        <w:pStyle w:val="Textocomentario"/>
      </w:pPr>
    </w:p>
  </w:comment>
  <w:comment w:id="1" w:author="Maria Florencia Miguel" w:date="2019-03-21T10:20:00Z" w:initials="MFM">
    <w:p w14:paraId="21C0BCA0" w14:textId="792BC18A" w:rsidR="00D84C2F" w:rsidRDefault="00D84C2F">
      <w:pPr>
        <w:pStyle w:val="Textocomentario"/>
      </w:pPr>
      <w:r>
        <w:rPr>
          <w:rStyle w:val="Refdecomentario"/>
        </w:rPr>
        <w:annotationRef/>
      </w:r>
      <w:r w:rsidRPr="00755125">
        <w:rPr>
          <w:sz w:val="24"/>
        </w:rPr>
        <w:t>125 words or less</w:t>
      </w:r>
    </w:p>
  </w:comment>
  <w:comment w:id="2" w:author="Maria Florencia Miguel" w:date="2019-03-21T10:27:00Z" w:initials="MFM">
    <w:p w14:paraId="5050DA15" w14:textId="2ADBFDDB" w:rsidR="00D84C2F" w:rsidRDefault="00D84C2F">
      <w:pPr>
        <w:pStyle w:val="Textocomentario"/>
      </w:pPr>
      <w:r>
        <w:rPr>
          <w:rStyle w:val="Refdecomentario"/>
        </w:rPr>
        <w:annotationRef/>
      </w:r>
      <w:r>
        <w:t>keep to under 125 characters</w:t>
      </w:r>
    </w:p>
    <w:p w14:paraId="1130832A" w14:textId="3BAB465F" w:rsidR="00D84C2F" w:rsidRDefault="00D84C2F">
      <w:pPr>
        <w:pStyle w:val="Textocomentario"/>
      </w:pPr>
    </w:p>
    <w:p w14:paraId="34B78CAB" w14:textId="18193A3F" w:rsidR="00D84C2F" w:rsidRDefault="00D84C2F">
      <w:pPr>
        <w:pStyle w:val="Textocomentario"/>
      </w:pPr>
      <w:r>
        <w:t xml:space="preserve">Chris´s sentence (more than 125 characters): </w:t>
      </w:r>
    </w:p>
    <w:p w14:paraId="513B4A1C" w14:textId="09E9ADD3" w:rsidR="00D84C2F" w:rsidRPr="00D20202" w:rsidRDefault="00D84C2F"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D84C2F" w:rsidRDefault="00D84C2F">
      <w:pPr>
        <w:pStyle w:val="Textocomentario"/>
      </w:pPr>
    </w:p>
  </w:comment>
  <w:comment w:id="5" w:author="Scott Butterfield" w:date="2019-04-01T14:57:00Z" w:initials="SB">
    <w:p w14:paraId="26E21212" w14:textId="77777777" w:rsidR="00D84C2F" w:rsidRDefault="00D84C2F">
      <w:pPr>
        <w:pStyle w:val="Textocomentario"/>
      </w:pPr>
      <w:r>
        <w:rPr>
          <w:rStyle w:val="Refdecomentario"/>
        </w:rPr>
        <w:annotationRef/>
      </w:r>
      <w:r>
        <w:t xml:space="preserve">I don’t get why you need this. You spell all of this out in the main text. </w:t>
      </w:r>
    </w:p>
    <w:p w14:paraId="0B6828F4" w14:textId="77777777" w:rsidR="00D84C2F" w:rsidRDefault="00D84C2F">
      <w:pPr>
        <w:pStyle w:val="Textocomentario"/>
      </w:pPr>
    </w:p>
    <w:p w14:paraId="24EF3C46" w14:textId="5AF6E0DD" w:rsidR="00D84C2F" w:rsidRDefault="00D84C2F">
      <w:pPr>
        <w:pStyle w:val="Textocomentario"/>
      </w:pPr>
      <w:r>
        <w:t xml:space="preserve">If don’t want in the main text, put here. But no need to be redundant in both spots. </w:t>
      </w:r>
    </w:p>
  </w:comment>
  <w:comment w:id="6" w:author="Maria Florencia Miguel" w:date="2019-04-16T15:43:00Z" w:initials="MFM">
    <w:p w14:paraId="37C0CD35" w14:textId="5117CC97" w:rsidR="00D84C2F" w:rsidRDefault="00D84C2F">
      <w:pPr>
        <w:pStyle w:val="Textocomentario"/>
      </w:pPr>
      <w:r>
        <w:rPr>
          <w:rStyle w:val="Refdecomentario"/>
        </w:rPr>
        <w:annotationRef/>
      </w:r>
      <w:r>
        <w:t xml:space="preserve">Thanks Scott. I edited this section, leaving some info not included in the main text. </w:t>
      </w:r>
    </w:p>
  </w:comment>
  <w:comment w:id="9" w:author="Maria Florencia Miguel" w:date="2019-04-23T16:23:00Z" w:initials="MFM">
    <w:p w14:paraId="753A8979" w14:textId="77777777" w:rsidR="00D84C2F" w:rsidRDefault="00D84C2F" w:rsidP="004A1B03">
      <w:pPr>
        <w:pStyle w:val="Textocomentario"/>
      </w:pPr>
      <w:r>
        <w:rPr>
          <w:rStyle w:val="Refdecomentario"/>
        </w:rPr>
        <w:annotationRef/>
      </w:r>
      <w:r>
        <w:rPr>
          <w:rStyle w:val="Refdecomentario"/>
        </w:rPr>
        <w:annotationRef/>
      </w:r>
      <w:r>
        <w:t>In pdf, need to include here.</w:t>
      </w:r>
    </w:p>
    <w:p w14:paraId="1511D987" w14:textId="68D2D9C5" w:rsidR="00D84C2F" w:rsidRDefault="00D84C2F">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A0CE4" w14:textId="77777777" w:rsidR="00FD1C79" w:rsidRDefault="00FD1C79" w:rsidP="00D73714">
      <w:r>
        <w:separator/>
      </w:r>
    </w:p>
  </w:endnote>
  <w:endnote w:type="continuationSeparator" w:id="0">
    <w:p w14:paraId="0E3AD233" w14:textId="77777777" w:rsidR="00FD1C79" w:rsidRDefault="00FD1C79" w:rsidP="00D73714">
      <w:r>
        <w:continuationSeparator/>
      </w:r>
    </w:p>
  </w:endnote>
  <w:endnote w:type="continuationNotice" w:id="1">
    <w:p w14:paraId="4082B1F6" w14:textId="77777777" w:rsidR="00FD1C79" w:rsidRDefault="00FD1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D84C2F" w:rsidRDefault="00D84C2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D84C2F" w:rsidRDefault="00D84C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D84C2F" w:rsidRDefault="00D84C2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D84C2F" w:rsidRDefault="00D84C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B0EC0" w14:textId="77777777" w:rsidR="00FD1C79" w:rsidRDefault="00FD1C79" w:rsidP="00D73714">
      <w:r>
        <w:separator/>
      </w:r>
    </w:p>
  </w:footnote>
  <w:footnote w:type="continuationSeparator" w:id="0">
    <w:p w14:paraId="3DE44652" w14:textId="77777777" w:rsidR="00FD1C79" w:rsidRDefault="00FD1C79" w:rsidP="00D73714">
      <w:r>
        <w:continuationSeparator/>
      </w:r>
    </w:p>
  </w:footnote>
  <w:footnote w:type="continuationNotice" w:id="1">
    <w:p w14:paraId="0792A87A" w14:textId="77777777" w:rsidR="00FD1C79" w:rsidRDefault="00FD1C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D84C2F" w:rsidRDefault="00D84C2F"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D84C2F" w:rsidRPr="00204015" w:rsidRDefault="00D84C2F"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D84C2F" w:rsidRDefault="00D84C2F"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246E"/>
    <w:rsid w:val="000052DF"/>
    <w:rsid w:val="00005452"/>
    <w:rsid w:val="00010AF6"/>
    <w:rsid w:val="00012A37"/>
    <w:rsid w:val="000174EF"/>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70080"/>
    <w:rsid w:val="00075040"/>
    <w:rsid w:val="00075C1E"/>
    <w:rsid w:val="00077272"/>
    <w:rsid w:val="0008169A"/>
    <w:rsid w:val="00082591"/>
    <w:rsid w:val="00086BE1"/>
    <w:rsid w:val="000902FF"/>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4E4D"/>
    <w:rsid w:val="001470D5"/>
    <w:rsid w:val="0015549E"/>
    <w:rsid w:val="00155760"/>
    <w:rsid w:val="0015774F"/>
    <w:rsid w:val="00166D36"/>
    <w:rsid w:val="0017063D"/>
    <w:rsid w:val="00174181"/>
    <w:rsid w:val="00174CA1"/>
    <w:rsid w:val="001775FA"/>
    <w:rsid w:val="00183CE2"/>
    <w:rsid w:val="00183D32"/>
    <w:rsid w:val="001970E3"/>
    <w:rsid w:val="00197413"/>
    <w:rsid w:val="001A44DA"/>
    <w:rsid w:val="001A4AE3"/>
    <w:rsid w:val="001A6193"/>
    <w:rsid w:val="001B12E8"/>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05615"/>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5575"/>
    <w:rsid w:val="003C664B"/>
    <w:rsid w:val="003C7387"/>
    <w:rsid w:val="003E2BE6"/>
    <w:rsid w:val="003E7536"/>
    <w:rsid w:val="003F4EB2"/>
    <w:rsid w:val="003F5517"/>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2CCB"/>
    <w:rsid w:val="004747E0"/>
    <w:rsid w:val="00475B90"/>
    <w:rsid w:val="00482C95"/>
    <w:rsid w:val="0048304C"/>
    <w:rsid w:val="00484C38"/>
    <w:rsid w:val="004876B9"/>
    <w:rsid w:val="004913D4"/>
    <w:rsid w:val="004A05A6"/>
    <w:rsid w:val="004A14B1"/>
    <w:rsid w:val="004A1B03"/>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707E"/>
    <w:rsid w:val="005105CE"/>
    <w:rsid w:val="00511343"/>
    <w:rsid w:val="005113FF"/>
    <w:rsid w:val="0051145B"/>
    <w:rsid w:val="005140CE"/>
    <w:rsid w:val="0051569A"/>
    <w:rsid w:val="00516146"/>
    <w:rsid w:val="00530D8E"/>
    <w:rsid w:val="00537381"/>
    <w:rsid w:val="00540B0C"/>
    <w:rsid w:val="0054187E"/>
    <w:rsid w:val="00541F18"/>
    <w:rsid w:val="005463FB"/>
    <w:rsid w:val="00550C2E"/>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6D"/>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B50"/>
    <w:rsid w:val="007D55D2"/>
    <w:rsid w:val="007D733F"/>
    <w:rsid w:val="007E5673"/>
    <w:rsid w:val="007E7A28"/>
    <w:rsid w:val="007F12EC"/>
    <w:rsid w:val="007F20A8"/>
    <w:rsid w:val="007F4CF9"/>
    <w:rsid w:val="007F5F4C"/>
    <w:rsid w:val="008005F7"/>
    <w:rsid w:val="00806B07"/>
    <w:rsid w:val="00807307"/>
    <w:rsid w:val="008145A6"/>
    <w:rsid w:val="008160ED"/>
    <w:rsid w:val="00817570"/>
    <w:rsid w:val="00817B6A"/>
    <w:rsid w:val="00820573"/>
    <w:rsid w:val="00833CC9"/>
    <w:rsid w:val="008355F1"/>
    <w:rsid w:val="0084180A"/>
    <w:rsid w:val="00841F0F"/>
    <w:rsid w:val="00842BE8"/>
    <w:rsid w:val="00853129"/>
    <w:rsid w:val="00855BCA"/>
    <w:rsid w:val="00855C5E"/>
    <w:rsid w:val="0086195C"/>
    <w:rsid w:val="00863D60"/>
    <w:rsid w:val="0086656C"/>
    <w:rsid w:val="008809FF"/>
    <w:rsid w:val="0089006E"/>
    <w:rsid w:val="00890205"/>
    <w:rsid w:val="00891F6A"/>
    <w:rsid w:val="0089202F"/>
    <w:rsid w:val="00892E1C"/>
    <w:rsid w:val="008A7BD1"/>
    <w:rsid w:val="008B159F"/>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32C4"/>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0A33"/>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0461"/>
    <w:rsid w:val="00BD1667"/>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84C2F"/>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1F"/>
    <w:rsid w:val="00E81086"/>
    <w:rsid w:val="00E84C1B"/>
    <w:rsid w:val="00E916E9"/>
    <w:rsid w:val="00E968AA"/>
    <w:rsid w:val="00E97295"/>
    <w:rsid w:val="00EA0FE6"/>
    <w:rsid w:val="00EA1552"/>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1C79"/>
    <w:rsid w:val="00FD48F1"/>
    <w:rsid w:val="00FD546E"/>
    <w:rsid w:val="00FD5E0F"/>
    <w:rsid w:val="00FD5FD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0E199-A13D-4FCC-9E97-30CC4465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5064</TotalTime>
  <Pages>16</Pages>
  <Words>20769</Words>
  <Characters>114233</Characters>
  <Application>Microsoft Office Word</Application>
  <DocSecurity>0</DocSecurity>
  <Lines>951</Lines>
  <Paragraphs>269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134733</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223</cp:revision>
  <cp:lastPrinted>2018-01-11T18:39:00Z</cp:lastPrinted>
  <dcterms:created xsi:type="dcterms:W3CDTF">2019-04-02T23:08:00Z</dcterms:created>
  <dcterms:modified xsi:type="dcterms:W3CDTF">2019-04-26T19:23:00Z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