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rsidR="00907007" w:rsidRPr="00907007" w:rsidRDefault="00907007" w:rsidP="00907007">
      <w:pPr>
        <w:spacing w:after="0" w:line="240" w:lineRule="auto"/>
        <w:rPr>
          <w:rFonts w:ascii="Times New Roman" w:hAnsi="Times New Roman"/>
          <w:sz w:val="24"/>
          <w:szCs w:val="24"/>
          <w:lang w:val="en-US"/>
        </w:rPr>
      </w:pPr>
      <w:bookmarkStart w:id="0" w:name="_Hlk7779685"/>
      <w:r w:rsidRPr="00907007">
        <w:rPr>
          <w:rFonts w:ascii="Times New Roman" w:hAnsi="Times New Roman"/>
          <w:sz w:val="24"/>
          <w:szCs w:val="24"/>
          <w:lang w:val="en-US"/>
        </w:rPr>
        <w:t>Something for nothing: a synthesis of active versus passive restoration in drylands</w:t>
      </w:r>
    </w:p>
    <w:p w:rsidR="00907007" w:rsidRPr="00907007" w:rsidRDefault="00907007" w:rsidP="00907007">
      <w:pPr>
        <w:spacing w:after="0" w:line="240" w:lineRule="auto"/>
        <w:rPr>
          <w:rFonts w:ascii="Times New Roman" w:hAnsi="Times New Roman"/>
          <w:b/>
          <w:sz w:val="24"/>
          <w:szCs w:val="24"/>
          <w:lang w:val="en-US"/>
        </w:rPr>
      </w:pPr>
    </w:p>
    <w:bookmarkEnd w:id="0"/>
    <w:p w:rsidR="00907007" w:rsidRPr="00907007" w:rsidRDefault="00907007" w:rsidP="00907007">
      <w:pPr>
        <w:keepNext/>
        <w:spacing w:after="0" w:line="240" w:lineRule="auto"/>
        <w:jc w:val="center"/>
        <w:outlineLvl w:val="0"/>
        <w:rPr>
          <w:rFonts w:ascii="Times New Roman" w:eastAsia="Times New Roman" w:hAnsi="Times New Roman"/>
          <w:b/>
          <w:bCs/>
          <w:kern w:val="28"/>
          <w:sz w:val="28"/>
          <w:szCs w:val="28"/>
          <w:lang w:val="en-US"/>
        </w:rPr>
      </w:pPr>
    </w:p>
    <w:p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 xml:space="preserve">Department of Biology, </w:t>
      </w:r>
      <w:proofErr w:type="spellStart"/>
      <w:r w:rsidRPr="00907007">
        <w:rPr>
          <w:rFonts w:ascii="Times New Roman" w:hAnsi="Times New Roman"/>
          <w:sz w:val="24"/>
          <w:szCs w:val="24"/>
          <w:lang w:val="en-US"/>
        </w:rPr>
        <w:t>YorkU</w:t>
      </w:r>
      <w:proofErr w:type="spellEnd"/>
      <w:r w:rsidRPr="00907007">
        <w:rPr>
          <w:rFonts w:ascii="Times New Roman" w:hAnsi="Times New Roman"/>
          <w:sz w:val="24"/>
          <w:szCs w:val="24"/>
          <w:lang w:val="en-US"/>
        </w:rPr>
        <w:t>, and NCEAS, UCSB.</w:t>
      </w:r>
    </w:p>
    <w:p w:rsidR="00907007" w:rsidRPr="00907007" w:rsidRDefault="00907007" w:rsidP="00907007">
      <w:pPr>
        <w:spacing w:after="0" w:line="480" w:lineRule="auto"/>
        <w:rPr>
          <w:rFonts w:ascii="Times New Roman" w:hAnsi="Times New Roman"/>
          <w:sz w:val="24"/>
          <w:szCs w:val="24"/>
          <w:vertAlign w:val="superscript"/>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rsidR="00907007" w:rsidRPr="00907007" w:rsidRDefault="00907007" w:rsidP="00907007">
      <w:pPr>
        <w:spacing w:after="0" w:line="240" w:lineRule="auto"/>
        <w:ind w:firstLine="720"/>
        <w:rPr>
          <w:rFonts w:ascii="Times New Roman" w:eastAsia="Times New Roman" w:hAnsi="Times New Roman"/>
          <w:sz w:val="24"/>
          <w:szCs w:val="24"/>
          <w:lang w:val="en-US"/>
        </w:rPr>
      </w:pPr>
    </w:p>
    <w:p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lastRenderedPageBreak/>
        <w:t>Introduction</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encompass many habitats 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xml:space="preserve">. In order to seize the opportunity to restore dryland habitat, practitioners need clear guidance on the relative merit of restoration practices that have the greatest positive outcomes </w:t>
      </w:r>
      <w:r w:rsidRPr="00907007">
        <w:rPr>
          <w:rFonts w:ascii="Times New Roman" w:hAnsi="Times New Roman"/>
          <w:sz w:val="24"/>
          <w:szCs w:val="24"/>
          <w:lang w:val="en-US"/>
        </w:rPr>
        <w:lastRenderedPageBreak/>
        <w:t>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rsidR="00907007" w:rsidRPr="00907007" w:rsidRDefault="00907007" w:rsidP="00907007">
      <w:pPr>
        <w:spacing w:line="480" w:lineRule="auto"/>
        <w:rPr>
          <w:rFonts w:ascii="Times New Roman" w:hAnsi="Times New Roman"/>
          <w:b/>
          <w:sz w:val="24"/>
          <w:szCs w:val="24"/>
          <w:lang w:val="en-US"/>
        </w:rPr>
      </w:pPr>
    </w:p>
    <w:p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Among the diverse disturbances reported in drylands (</w:t>
      </w:r>
      <w:r w:rsidR="006934C5">
        <w:rPr>
          <w:rFonts w:ascii="Times New Roman" w:hAnsi="Times New Roman"/>
          <w:sz w:val="24"/>
          <w:szCs w:val="24"/>
          <w:lang w:val="en-US"/>
        </w:rPr>
        <w:t>Supplementary F</w:t>
      </w:r>
      <w:r w:rsidRPr="00907007">
        <w:rPr>
          <w:rFonts w:ascii="Times New Roman" w:hAnsi="Times New Roman"/>
          <w:sz w:val="24"/>
          <w:szCs w:val="24"/>
          <w:lang w:val="en-US"/>
        </w:rPr>
        <w:t>ig. 1), we focused on restoration within agricultural lands on both farmland and grazed natural lands. This meta-analysis included 40 peer-reviewed publications that compared restoration practices and control groups f</w:t>
      </w:r>
      <w:r w:rsidRPr="00907007">
        <w:rPr>
          <w:rFonts w:ascii="Times New Roman" w:eastAsia="Times New Roman" w:hAnsi="Times New Roman"/>
          <w:sz w:val="24"/>
          <w:szCs w:val="24"/>
          <w:lang w:val="en-US"/>
        </w:rPr>
        <w:t>rom 19 different countries in dryland ecosystems (Fig. 1)</w:t>
      </w:r>
      <w:r w:rsidRPr="00907007">
        <w:rPr>
          <w:rFonts w:ascii="Times New Roman" w:hAnsi="Times New Roman"/>
          <w:sz w:val="24"/>
          <w:szCs w:val="24"/>
          <w:lang w:val="en-US"/>
        </w:rPr>
        <w:t xml:space="preserve">. The data were extensive at more than 1400 independent observations measured across all studies. </w:t>
      </w:r>
      <w:r w:rsidR="00A01234">
        <w:rPr>
          <w:rFonts w:ascii="Times New Roman" w:hAnsi="Times New Roman"/>
          <w:sz w:val="24"/>
          <w:szCs w:val="24"/>
          <w:lang w:val="en-US"/>
        </w:rPr>
        <w:t xml:space="preserve">The </w:t>
      </w:r>
      <w:r w:rsidR="00AC4F18">
        <w:rPr>
          <w:rFonts w:ascii="Times New Roman" w:hAnsi="Times New Roman"/>
          <w:sz w:val="24"/>
          <w:szCs w:val="24"/>
          <w:lang w:val="en-US"/>
        </w:rPr>
        <w:t xml:space="preserve">mean </w:t>
      </w:r>
      <w:r w:rsidR="00A01234">
        <w:rPr>
          <w:rFonts w:ascii="Times New Roman" w:hAnsi="Times New Roman"/>
          <w:sz w:val="24"/>
          <w:szCs w:val="24"/>
          <w:lang w:val="en-US"/>
        </w:rPr>
        <w:t xml:space="preserve">spatial grain size for </w:t>
      </w:r>
      <w:r w:rsidR="00AC4F18">
        <w:rPr>
          <w:rFonts w:ascii="Times New Roman" w:hAnsi="Times New Roman"/>
          <w:sz w:val="24"/>
          <w:szCs w:val="24"/>
          <w:lang w:val="en-US"/>
        </w:rPr>
        <w:t xml:space="preserve">studies that </w:t>
      </w:r>
      <w:r w:rsidR="00A01234">
        <w:rPr>
          <w:rFonts w:ascii="Times New Roman" w:hAnsi="Times New Roman"/>
          <w:sz w:val="24"/>
          <w:szCs w:val="24"/>
          <w:lang w:val="en-US"/>
        </w:rPr>
        <w:t>implement</w:t>
      </w:r>
      <w:r w:rsidR="00AC4F18">
        <w:rPr>
          <w:rFonts w:ascii="Times New Roman" w:hAnsi="Times New Roman"/>
          <w:sz w:val="24"/>
          <w:szCs w:val="24"/>
          <w:lang w:val="en-US"/>
        </w:rPr>
        <w:t>ed</w:t>
      </w:r>
      <w:r w:rsidR="00A01234">
        <w:rPr>
          <w:rFonts w:ascii="Times New Roman" w:hAnsi="Times New Roman"/>
          <w:sz w:val="24"/>
          <w:szCs w:val="24"/>
          <w:lang w:val="en-US"/>
        </w:rPr>
        <w:t xml:space="preserve"> active </w:t>
      </w:r>
      <w:r w:rsidR="00AC4F18">
        <w:rPr>
          <w:rFonts w:ascii="Times New Roman" w:hAnsi="Times New Roman"/>
          <w:sz w:val="24"/>
          <w:szCs w:val="24"/>
          <w:lang w:val="en-US"/>
        </w:rPr>
        <w:t xml:space="preserve">and passive </w:t>
      </w:r>
      <w:r w:rsidR="00A01234">
        <w:rPr>
          <w:rFonts w:ascii="Times New Roman" w:hAnsi="Times New Roman"/>
          <w:sz w:val="24"/>
          <w:szCs w:val="24"/>
          <w:lang w:val="en-US"/>
        </w:rPr>
        <w:t>restoration</w:t>
      </w:r>
      <w:r w:rsidR="00AC4F18">
        <w:rPr>
          <w:rFonts w:ascii="Times New Roman" w:hAnsi="Times New Roman"/>
          <w:sz w:val="24"/>
          <w:szCs w:val="24"/>
          <w:lang w:val="en-US"/>
        </w:rPr>
        <w:t xml:space="preserve"> strategies </w:t>
      </w:r>
      <w:r w:rsidR="00A01234">
        <w:rPr>
          <w:rFonts w:ascii="Times New Roman" w:hAnsi="Times New Roman"/>
          <w:sz w:val="24"/>
          <w:szCs w:val="24"/>
          <w:lang w:val="en-US"/>
        </w:rPr>
        <w:t>w</w:t>
      </w:r>
      <w:r w:rsidR="00AC4F18">
        <w:rPr>
          <w:rFonts w:ascii="Times New Roman" w:hAnsi="Times New Roman"/>
          <w:sz w:val="24"/>
          <w:szCs w:val="24"/>
          <w:lang w:val="en-US"/>
        </w:rPr>
        <w:t>as 2,116 m</w:t>
      </w:r>
      <w:r w:rsidR="00AC4F18" w:rsidRPr="00AC4F18">
        <w:rPr>
          <w:rFonts w:ascii="Times New Roman" w:hAnsi="Times New Roman"/>
          <w:sz w:val="24"/>
          <w:szCs w:val="24"/>
          <w:vertAlign w:val="superscript"/>
          <w:lang w:val="en-US"/>
        </w:rPr>
        <w:t>2</w:t>
      </w:r>
      <w:r w:rsidR="00AC4F18">
        <w:rPr>
          <w:rFonts w:ascii="Times New Roman" w:hAnsi="Times New Roman"/>
          <w:sz w:val="24"/>
          <w:szCs w:val="24"/>
          <w:lang w:val="en-US"/>
        </w:rPr>
        <w:t xml:space="preserve"> and 1,950 </w:t>
      </w:r>
      <w:r w:rsidR="00AC4F18">
        <w:rPr>
          <w:rFonts w:ascii="Times New Roman" w:hAnsi="Times New Roman"/>
          <w:sz w:val="24"/>
          <w:szCs w:val="24"/>
          <w:lang w:val="en-US"/>
        </w:rPr>
        <w:t>m</w:t>
      </w:r>
      <w:r w:rsidR="00AC4F18" w:rsidRPr="00AC4F18">
        <w:rPr>
          <w:rFonts w:ascii="Times New Roman" w:hAnsi="Times New Roman"/>
          <w:sz w:val="24"/>
          <w:szCs w:val="24"/>
          <w:vertAlign w:val="superscript"/>
          <w:lang w:val="en-US"/>
        </w:rPr>
        <w:t>2</w:t>
      </w:r>
      <w:r w:rsidR="00AC4F18">
        <w:rPr>
          <w:rFonts w:ascii="Times New Roman" w:hAnsi="Times New Roman"/>
          <w:sz w:val="24"/>
          <w:szCs w:val="24"/>
          <w:lang w:val="en-US"/>
        </w:rPr>
        <w:t xml:space="preserve">, respectively. </w:t>
      </w:r>
    </w:p>
    <w:p w:rsidR="003B486E" w:rsidRPr="00907007" w:rsidRDefault="003B486E" w:rsidP="00907007">
      <w:pPr>
        <w:spacing w:after="0" w:line="480" w:lineRule="auto"/>
        <w:rPr>
          <w:rFonts w:ascii="Times New Roman" w:hAnsi="Times New Roman"/>
          <w:sz w:val="24"/>
          <w:szCs w:val="24"/>
          <w:lang w:val="en-US"/>
        </w:rPr>
      </w:pPr>
    </w:p>
    <w:p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categories of active restoration (see Methods) had net positive responses (Table 1A, Fig. 2); water supplementation was the most effective restoration practice followed by soil then vegetation remediations (Table 1A, Fig. 2). Passive recovery of vegetation and grazing exclusion (i.e. passive because grazing was removed and no other interventions were applied) also had positive effects on restoration outcomes (Table 1A, Fig. 2) such us vegetation and habitat (Table 1B). Nonetheless, passive recovery had lower and more variable effect sizes, and this strategy for soils such as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to some extent recover (Table 1B). </w:t>
      </w:r>
    </w:p>
    <w:p w:rsidR="003B486E" w:rsidRDefault="003B486E" w:rsidP="003B486E">
      <w:pPr>
        <w:spacing w:after="0" w:line="480" w:lineRule="auto"/>
        <w:rPr>
          <w:rFonts w:ascii="Times New Roman" w:hAnsi="Times New Roman"/>
          <w:sz w:val="24"/>
          <w:szCs w:val="24"/>
          <w:lang w:val="en-US"/>
        </w:rPr>
      </w:pPr>
    </w:p>
    <w:p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Aridity had a weak negative impact on direct interventions suggesting that environmental limitations are critical drivers of change in these systems while increasing duration of study had a significant but minimal positive return 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generally 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rsidR="003B486E" w:rsidRPr="00907007" w:rsidRDefault="003B486E"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This difference profoundly suggests that environmental limitation and anthropogenic pressures are critical criteria to consider in weighing restoration options for an ecosystem. Rainfall, soil fertility, and 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 croplands will need active restoration strategies to overcome the legacies of soil disturbances, nutrients, and pesticides</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Resources to restore ecosystems will always be in short supply relative to need, particularly in developing countries and </w:t>
      </w:r>
      <w:r w:rsidR="00907007" w:rsidRPr="00907007">
        <w:rPr>
          <w:rFonts w:ascii="Times New Roman" w:hAnsi="Times New Roman"/>
          <w:sz w:val="24"/>
          <w:szCs w:val="24"/>
          <w:lang w:val="en-US"/>
        </w:rPr>
        <w:lastRenderedPageBreak/>
        <w:t>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rsidR="00907007" w:rsidRDefault="00907007" w:rsidP="00907007">
      <w:pPr>
        <w:spacing w:after="0" w:line="480" w:lineRule="auto"/>
        <w:rPr>
          <w:rFonts w:ascii="Times New Roman" w:eastAsia="Times New Roman" w:hAnsi="Times New Roman"/>
          <w:b/>
          <w:sz w:val="24"/>
          <w:szCs w:val="24"/>
          <w:lang w:val="en-US"/>
        </w:rPr>
      </w:pPr>
    </w:p>
    <w:p w:rsidR="00FC15D7" w:rsidRPr="00907007" w:rsidRDefault="00FC15D7" w:rsidP="00907007">
      <w:pPr>
        <w:spacing w:after="0" w:line="480" w:lineRule="auto"/>
        <w:rPr>
          <w:rFonts w:ascii="Times New Roman" w:eastAsia="Times New Roman" w:hAnsi="Times New Roman"/>
          <w:b/>
          <w:sz w:val="24"/>
          <w:szCs w:val="24"/>
          <w:lang w:val="en-US"/>
        </w:rPr>
      </w:pPr>
    </w:p>
    <w:p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rsidR="00907007" w:rsidRPr="00907007" w:rsidRDefault="00907007"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lastRenderedPageBreak/>
        <w:t xml:space="preserve">The specific restoration practice described in each study was recorded and subsequently classified as active or passive restoration. Passive restoration refers to the natural regeneration of degraded ecosystems </w:t>
      </w:r>
      <w:bookmarkStart w:id="3"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3"/>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4" w:name="_Hlk8830552"/>
      <w:r w:rsidRPr="00907007">
        <w:rPr>
          <w:rFonts w:ascii="Times New Roman" w:hAnsi="Times New Roman"/>
          <w:sz w:val="24"/>
          <w:szCs w:val="24"/>
          <w:lang w:val="en-US"/>
        </w:rPr>
        <w:t>interventions on ecosystems to assist and accelerate their restoration</w:t>
      </w:r>
      <w:bookmarkEnd w:id="4"/>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We also extracted response data outcomes </w:t>
      </w:r>
      <w:r w:rsidR="00ED58A5">
        <w:rPr>
          <w:rFonts w:ascii="Times New Roman" w:hAnsi="Times New Roman"/>
          <w:sz w:val="24"/>
          <w:szCs w:val="24"/>
          <w:lang w:val="en-US"/>
        </w:rPr>
        <w:t>describ</w:t>
      </w:r>
      <w:r w:rsidR="00C46FFF">
        <w:rPr>
          <w:rFonts w:ascii="Times New Roman" w:hAnsi="Times New Roman"/>
          <w:sz w:val="24"/>
          <w:szCs w:val="24"/>
          <w:lang w:val="en-US"/>
        </w:rPr>
        <w:t>ing</w:t>
      </w:r>
      <w:r w:rsidR="00ED58A5">
        <w:rPr>
          <w:rFonts w:ascii="Times New Roman" w:hAnsi="Times New Roman"/>
          <w:sz w:val="24"/>
          <w:szCs w:val="24"/>
          <w:lang w:val="en-US"/>
        </w:rPr>
        <w:t xml:space="preserve"> target goals from</w:t>
      </w:r>
      <w:r w:rsidRPr="00907007">
        <w:rPr>
          <w:rFonts w:ascii="Times New Roman" w:hAnsi="Times New Roman"/>
          <w:sz w:val="24"/>
          <w:szCs w:val="24"/>
          <w:lang w:val="en-US"/>
        </w:rPr>
        <w:t xml:space="preserve">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We grouped active restoration practices into the following three categories based on their primary focus: soil, vegetation, and water supplementation</w:t>
      </w:r>
      <w:r w:rsidR="00ED58A5">
        <w:rPr>
          <w:rFonts w:ascii="Times New Roman" w:hAnsi="Times New Roman"/>
          <w:sz w:val="24"/>
          <w:szCs w:val="24"/>
          <w:lang w:val="en-US"/>
        </w:rPr>
        <w:t xml:space="preserve"> (Table 1A)</w:t>
      </w:r>
      <w:r w:rsidRPr="00907007">
        <w:rPr>
          <w:rFonts w:ascii="Times New Roman" w:hAnsi="Times New Roman"/>
          <w:sz w:val="24"/>
          <w:szCs w:val="24"/>
          <w:lang w:val="en-US"/>
        </w:rPr>
        <w:t xml:space="preserve">. </w:t>
      </w:r>
      <w:r w:rsidR="00C46FFF">
        <w:rPr>
          <w:rFonts w:ascii="Times New Roman" w:hAnsi="Times New Roman"/>
          <w:sz w:val="24"/>
          <w:szCs w:val="24"/>
          <w:lang w:val="en-US"/>
        </w:rPr>
        <w:t>Thus, f</w:t>
      </w:r>
      <w:r w:rsidR="00ED58A5">
        <w:rPr>
          <w:rFonts w:ascii="Times New Roman" w:hAnsi="Times New Roman"/>
          <w:sz w:val="24"/>
          <w:szCs w:val="24"/>
          <w:lang w:val="en-US"/>
        </w:rPr>
        <w:t>or example</w:t>
      </w:r>
      <w:r w:rsidR="00C46FFF">
        <w:rPr>
          <w:rFonts w:ascii="Times New Roman" w:hAnsi="Times New Roman"/>
          <w:sz w:val="24"/>
          <w:szCs w:val="24"/>
          <w:lang w:val="en-US"/>
        </w:rPr>
        <w:t xml:space="preserve"> those</w:t>
      </w:r>
      <w:r w:rsidR="00ED58A5">
        <w:rPr>
          <w:rFonts w:ascii="Times New Roman" w:hAnsi="Times New Roman"/>
          <w:sz w:val="24"/>
          <w:szCs w:val="24"/>
          <w:lang w:val="en-US"/>
        </w:rPr>
        <w:t xml:space="preserve"> restoration practices that impl</w:t>
      </w:r>
      <w:r w:rsidR="00900A50">
        <w:rPr>
          <w:rFonts w:ascii="Times New Roman" w:hAnsi="Times New Roman"/>
          <w:sz w:val="24"/>
          <w:szCs w:val="24"/>
          <w:lang w:val="en-US"/>
        </w:rPr>
        <w:t>ied</w:t>
      </w:r>
      <w:r w:rsidR="00ED58A5">
        <w:rPr>
          <w:rFonts w:ascii="Times New Roman" w:hAnsi="Times New Roman"/>
          <w:sz w:val="24"/>
          <w:szCs w:val="24"/>
          <w:lang w:val="en-US"/>
        </w:rPr>
        <w:t xml:space="preserve"> plant interventions such as planting </w:t>
      </w:r>
      <w:r w:rsidR="00F42FCE">
        <w:rPr>
          <w:rFonts w:ascii="Times New Roman" w:hAnsi="Times New Roman"/>
          <w:sz w:val="24"/>
          <w:szCs w:val="24"/>
          <w:lang w:val="en-US"/>
        </w:rPr>
        <w:t>or</w:t>
      </w:r>
      <w:r w:rsidR="00ED58A5">
        <w:rPr>
          <w:rFonts w:ascii="Times New Roman" w:hAnsi="Times New Roman"/>
          <w:sz w:val="24"/>
          <w:szCs w:val="24"/>
          <w:lang w:val="en-US"/>
        </w:rPr>
        <w:t xml:space="preserve"> seeding, were included within the vegetation classification </w:t>
      </w:r>
      <w:r w:rsidR="00ED58A5" w:rsidRPr="00907007">
        <w:rPr>
          <w:rFonts w:ascii="Times New Roman" w:hAnsi="Times New Roman"/>
          <w:sz w:val="24"/>
          <w:szCs w:val="24"/>
          <w:lang w:val="en-US"/>
        </w:rPr>
        <w:t>(</w:t>
      </w:r>
      <w:r w:rsidR="00ED58A5">
        <w:rPr>
          <w:rFonts w:ascii="Times New Roman" w:hAnsi="Times New Roman"/>
          <w:sz w:val="24"/>
          <w:szCs w:val="24"/>
          <w:lang w:val="en-US"/>
        </w:rPr>
        <w:t>Supplementary T</w:t>
      </w:r>
      <w:r w:rsidR="00ED58A5" w:rsidRPr="00907007">
        <w:rPr>
          <w:rFonts w:ascii="Times New Roman" w:hAnsi="Times New Roman"/>
          <w:sz w:val="24"/>
          <w:szCs w:val="24"/>
          <w:lang w:val="en-US"/>
        </w:rPr>
        <w:t>able 1)</w:t>
      </w:r>
      <w:r w:rsidR="00ED58A5">
        <w:rPr>
          <w:rFonts w:ascii="Times New Roman" w:hAnsi="Times New Roman"/>
          <w:sz w:val="24"/>
          <w:szCs w:val="24"/>
          <w:lang w:val="en-US"/>
        </w:rPr>
        <w:t xml:space="preserve">. </w:t>
      </w:r>
      <w:r w:rsidRPr="00907007">
        <w:rPr>
          <w:rFonts w:ascii="Times New Roman" w:hAnsi="Times New Roman"/>
          <w:sz w:val="24"/>
          <w:szCs w:val="24"/>
          <w:lang w:val="en-US"/>
        </w:rPr>
        <w:t>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(Table 1A)</w:t>
      </w:r>
      <w:r w:rsidRPr="00907007">
        <w:rPr>
          <w:rFonts w:ascii="Times New Roman" w:hAnsi="Times New Roman"/>
          <w:sz w:val="24"/>
          <w:szCs w:val="24"/>
          <w:lang w:val="en-US"/>
        </w:rPr>
        <w:t>. Soil, vegetation, animals, and habitat categories were examined directly as active restoration outcomes (Table 1B). The habitat classification was used for studies that reported measures of both soil and vegetation recovery</w:t>
      </w:r>
      <w:r w:rsidR="00341C02">
        <w:rPr>
          <w:rFonts w:ascii="Times New Roman" w:hAnsi="Times New Roman"/>
          <w:sz w:val="24"/>
          <w:szCs w:val="24"/>
          <w:lang w:val="en-US"/>
        </w:rPr>
        <w:t xml:space="preserve"> or </w:t>
      </w:r>
      <w:r w:rsidR="0008245D">
        <w:rPr>
          <w:rFonts w:ascii="Times New Roman" w:hAnsi="Times New Roman"/>
          <w:sz w:val="24"/>
          <w:szCs w:val="24"/>
          <w:lang w:val="en-US"/>
        </w:rPr>
        <w:t xml:space="preserve">of </w:t>
      </w:r>
      <w:r w:rsidR="00341C02">
        <w:rPr>
          <w:rFonts w:ascii="Times New Roman" w:hAnsi="Times New Roman"/>
          <w:sz w:val="24"/>
          <w:szCs w:val="24"/>
          <w:lang w:val="en-US"/>
        </w:rPr>
        <w:t>vegetation</w:t>
      </w:r>
      <w:r w:rsidR="0008245D">
        <w:rPr>
          <w:rFonts w:ascii="Times New Roman" w:hAnsi="Times New Roman"/>
          <w:sz w:val="24"/>
          <w:szCs w:val="24"/>
          <w:lang w:val="en-US"/>
        </w:rPr>
        <w:t xml:space="preserve"> community structure (Supplementary T</w:t>
      </w:r>
      <w:r w:rsidR="0008245D" w:rsidRPr="00907007">
        <w:rPr>
          <w:rFonts w:ascii="Times New Roman" w:hAnsi="Times New Roman"/>
          <w:sz w:val="24"/>
          <w:szCs w:val="24"/>
          <w:lang w:val="en-US"/>
        </w:rPr>
        <w:t>able 1</w:t>
      </w:r>
      <w:r w:rsidR="0008245D">
        <w:rPr>
          <w:rFonts w:ascii="Times New Roman" w:hAnsi="Times New Roman"/>
          <w:sz w:val="24"/>
          <w:szCs w:val="24"/>
          <w:lang w:val="en-US"/>
        </w:rPr>
        <w:t>)</w:t>
      </w:r>
      <w:r w:rsidRPr="00907007">
        <w:rPr>
          <w:rFonts w:ascii="Times New Roman" w:hAnsi="Times New Roman"/>
          <w:sz w:val="24"/>
          <w:szCs w:val="24"/>
          <w:lang w:val="en-US"/>
        </w:rPr>
        <w:t xml:space="preserve">. </w:t>
      </w:r>
      <w:r w:rsidR="004D454D">
        <w:rPr>
          <w:rFonts w:ascii="Times New Roman" w:hAnsi="Times New Roman"/>
          <w:sz w:val="24"/>
          <w:szCs w:val="24"/>
          <w:lang w:val="en-US"/>
        </w:rPr>
        <w:t xml:space="preserve">The </w:t>
      </w:r>
      <w:r w:rsidR="00471469">
        <w:rPr>
          <w:rFonts w:ascii="Times New Roman" w:hAnsi="Times New Roman"/>
          <w:sz w:val="24"/>
          <w:szCs w:val="24"/>
          <w:lang w:val="en-US"/>
        </w:rPr>
        <w:t xml:space="preserve">response variables related with plant measures, for example plant cover, diversity and abundance, </w:t>
      </w:r>
      <w:r w:rsidR="004D454D">
        <w:rPr>
          <w:rFonts w:ascii="Times New Roman" w:hAnsi="Times New Roman"/>
          <w:sz w:val="24"/>
          <w:szCs w:val="24"/>
          <w:lang w:val="en-US"/>
        </w:rPr>
        <w:t xml:space="preserve">were included </w:t>
      </w:r>
      <w:r w:rsidR="00471469">
        <w:rPr>
          <w:rFonts w:ascii="Times New Roman" w:hAnsi="Times New Roman"/>
          <w:sz w:val="24"/>
          <w:szCs w:val="24"/>
          <w:lang w:val="en-US"/>
        </w:rPr>
        <w:t>within the vegetation category</w:t>
      </w:r>
      <w:r w:rsidR="00C5669C">
        <w:rPr>
          <w:rFonts w:ascii="Times New Roman" w:hAnsi="Times New Roman"/>
          <w:sz w:val="24"/>
          <w:szCs w:val="24"/>
          <w:lang w:val="en-US"/>
        </w:rPr>
        <w:t xml:space="preserve"> of restoration outcomes</w:t>
      </w:r>
      <w:r w:rsidR="00471469">
        <w:rPr>
          <w:rFonts w:ascii="Times New Roman" w:hAnsi="Times New Roman"/>
          <w:sz w:val="24"/>
          <w:szCs w:val="24"/>
          <w:lang w:val="en-US"/>
        </w:rPr>
        <w:t xml:space="preserve">; while those response variables </w:t>
      </w:r>
      <w:r w:rsidR="004D454D">
        <w:rPr>
          <w:rFonts w:ascii="Times New Roman" w:hAnsi="Times New Roman"/>
          <w:sz w:val="24"/>
          <w:szCs w:val="24"/>
          <w:lang w:val="en-US"/>
        </w:rPr>
        <w:t>associated wi</w:t>
      </w:r>
      <w:r w:rsidR="00471469">
        <w:rPr>
          <w:rFonts w:ascii="Times New Roman" w:hAnsi="Times New Roman"/>
          <w:sz w:val="24"/>
          <w:szCs w:val="24"/>
          <w:lang w:val="en-US"/>
        </w:rPr>
        <w:t xml:space="preserve">th soil measures, such as </w:t>
      </w:r>
      <w:r w:rsidR="004D454D">
        <w:rPr>
          <w:rFonts w:ascii="Times New Roman" w:hAnsi="Times New Roman"/>
          <w:sz w:val="24"/>
          <w:szCs w:val="24"/>
          <w:lang w:val="en-US"/>
        </w:rPr>
        <w:t xml:space="preserve">nutrients </w:t>
      </w:r>
      <w:r w:rsidR="00471469">
        <w:rPr>
          <w:rFonts w:ascii="Times New Roman" w:hAnsi="Times New Roman"/>
          <w:sz w:val="24"/>
          <w:szCs w:val="24"/>
          <w:lang w:val="en-US"/>
        </w:rPr>
        <w:t xml:space="preserve">content, were included within the soil </w:t>
      </w:r>
      <w:r w:rsidR="00F42FCE">
        <w:rPr>
          <w:rFonts w:ascii="Times New Roman" w:hAnsi="Times New Roman"/>
          <w:sz w:val="24"/>
          <w:szCs w:val="24"/>
          <w:lang w:val="en-US"/>
        </w:rPr>
        <w:t xml:space="preserve">outcome </w:t>
      </w:r>
      <w:r w:rsidR="00471469">
        <w:rPr>
          <w:rFonts w:ascii="Times New Roman" w:hAnsi="Times New Roman"/>
          <w:sz w:val="24"/>
          <w:szCs w:val="24"/>
          <w:lang w:val="en-US"/>
        </w:rPr>
        <w:t xml:space="preserve">category; and, the response variables related with animal </w:t>
      </w:r>
      <w:r w:rsidR="00C5669C">
        <w:rPr>
          <w:rFonts w:ascii="Times New Roman" w:hAnsi="Times New Roman"/>
          <w:sz w:val="24"/>
          <w:szCs w:val="24"/>
          <w:lang w:val="en-US"/>
        </w:rPr>
        <w:t>communities</w:t>
      </w:r>
      <w:r w:rsidR="00471469">
        <w:rPr>
          <w:rFonts w:ascii="Times New Roman" w:hAnsi="Times New Roman"/>
          <w:sz w:val="24"/>
          <w:szCs w:val="24"/>
          <w:lang w:val="en-US"/>
        </w:rPr>
        <w:t xml:space="preserve"> measures, </w:t>
      </w:r>
      <w:r w:rsidR="0020240C">
        <w:rPr>
          <w:rFonts w:ascii="Times New Roman" w:hAnsi="Times New Roman"/>
          <w:sz w:val="24"/>
          <w:szCs w:val="24"/>
          <w:lang w:val="en-US"/>
        </w:rPr>
        <w:t xml:space="preserve">such </w:t>
      </w:r>
      <w:r w:rsidR="00471469">
        <w:rPr>
          <w:rFonts w:ascii="Times New Roman" w:hAnsi="Times New Roman"/>
          <w:sz w:val="24"/>
          <w:szCs w:val="24"/>
          <w:lang w:val="en-US"/>
        </w:rPr>
        <w:t xml:space="preserve">as </w:t>
      </w:r>
      <w:r w:rsidR="004D454D">
        <w:rPr>
          <w:rFonts w:ascii="Times New Roman" w:hAnsi="Times New Roman"/>
          <w:sz w:val="24"/>
          <w:szCs w:val="24"/>
          <w:lang w:val="en-US"/>
        </w:rPr>
        <w:t xml:space="preserve">invertebrates </w:t>
      </w:r>
      <w:r w:rsidR="00471469">
        <w:rPr>
          <w:rFonts w:ascii="Times New Roman" w:hAnsi="Times New Roman"/>
          <w:sz w:val="24"/>
          <w:szCs w:val="24"/>
          <w:lang w:val="en-US"/>
        </w:rPr>
        <w:t xml:space="preserve">diversity </w:t>
      </w:r>
      <w:r w:rsidR="0020240C">
        <w:rPr>
          <w:rFonts w:ascii="Times New Roman" w:hAnsi="Times New Roman"/>
          <w:sz w:val="24"/>
          <w:szCs w:val="24"/>
          <w:lang w:val="en-US"/>
        </w:rPr>
        <w:t>and</w:t>
      </w:r>
      <w:r w:rsidR="00471469">
        <w:rPr>
          <w:rFonts w:ascii="Times New Roman" w:hAnsi="Times New Roman"/>
          <w:sz w:val="24"/>
          <w:szCs w:val="24"/>
          <w:lang w:val="en-US"/>
        </w:rPr>
        <w:t xml:space="preserve"> richness, were grouped within the animal </w:t>
      </w:r>
      <w:r w:rsidR="00F42FCE">
        <w:rPr>
          <w:rFonts w:ascii="Times New Roman" w:hAnsi="Times New Roman"/>
          <w:sz w:val="24"/>
          <w:szCs w:val="24"/>
          <w:lang w:val="en-US"/>
        </w:rPr>
        <w:t xml:space="preserve">outcome </w:t>
      </w:r>
      <w:r w:rsidR="004D454D">
        <w:rPr>
          <w:rFonts w:ascii="Times New Roman" w:hAnsi="Times New Roman"/>
          <w:sz w:val="24"/>
          <w:szCs w:val="24"/>
          <w:lang w:val="en-US"/>
        </w:rPr>
        <w:t>classification</w:t>
      </w:r>
      <w:r w:rsidR="00471469">
        <w:rPr>
          <w:rFonts w:ascii="Times New Roman" w:hAnsi="Times New Roman"/>
          <w:sz w:val="24"/>
          <w:szCs w:val="24"/>
          <w:lang w:val="en-US"/>
        </w:rPr>
        <w:t xml:space="preserve"> (Supplementary T</w:t>
      </w:r>
      <w:r w:rsidR="00471469" w:rsidRPr="00907007">
        <w:rPr>
          <w:rFonts w:ascii="Times New Roman" w:hAnsi="Times New Roman"/>
          <w:sz w:val="24"/>
          <w:szCs w:val="24"/>
          <w:lang w:val="en-US"/>
        </w:rPr>
        <w:t>able 1</w:t>
      </w:r>
      <w:r w:rsidR="00471469">
        <w:rPr>
          <w:rFonts w:ascii="Times New Roman" w:hAnsi="Times New Roman"/>
          <w:sz w:val="24"/>
          <w:szCs w:val="24"/>
          <w:lang w:val="en-US"/>
        </w:rPr>
        <w:t xml:space="preserve">). </w:t>
      </w:r>
    </w:p>
    <w:p w:rsid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w:t>
      </w:r>
      <w:r w:rsidR="00C159CB">
        <w:rPr>
          <w:rFonts w:ascii="Times New Roman" w:hAnsi="Times New Roman"/>
          <w:sz w:val="24"/>
          <w:szCs w:val="24"/>
          <w:lang w:val="en-US"/>
        </w:rPr>
        <w:t xml:space="preserve"> and </w:t>
      </w:r>
      <w:r w:rsidRPr="00907007">
        <w:rPr>
          <w:rFonts w:ascii="Times New Roman" w:hAnsi="Times New Roman"/>
          <w:sz w:val="24"/>
          <w:szCs w:val="24"/>
          <w:lang w:val="en-US"/>
        </w:rPr>
        <w:t>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w:t>
      </w:r>
      <w:r w:rsidRPr="00907007">
        <w:rPr>
          <w:rFonts w:ascii="Times New Roman" w:hAnsi="Times New Roman"/>
          <w:sz w:val="24"/>
          <w:szCs w:val="24"/>
          <w:lang w:val="en-US"/>
        </w:rPr>
        <w:lastRenderedPageBreak/>
        <w:t xml:space="preserve">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bookmarkStart w:id="5" w:name="_Hlk11676978"/>
      <w:r w:rsidR="00C159CB">
        <w:rPr>
          <w:rFonts w:ascii="Times New Roman" w:hAnsi="Times New Roman"/>
          <w:sz w:val="24"/>
          <w:szCs w:val="24"/>
          <w:lang w:val="en-US"/>
        </w:rPr>
        <w:t xml:space="preserve">The spatial grain size </w:t>
      </w:r>
      <w:r w:rsidR="00AC4F18">
        <w:rPr>
          <w:rFonts w:ascii="Times New Roman" w:hAnsi="Times New Roman"/>
          <w:sz w:val="24"/>
          <w:szCs w:val="24"/>
          <w:lang w:val="en-US"/>
        </w:rPr>
        <w:t xml:space="preserve">(i.e. </w:t>
      </w:r>
      <w:r w:rsidR="0068668E">
        <w:rPr>
          <w:rFonts w:ascii="Times New Roman" w:hAnsi="Times New Roman"/>
          <w:sz w:val="24"/>
          <w:szCs w:val="24"/>
          <w:lang w:val="en-US"/>
        </w:rPr>
        <w:t xml:space="preserve">minimum </w:t>
      </w:r>
      <w:r w:rsidR="00AC4F18">
        <w:rPr>
          <w:rFonts w:ascii="Times New Roman" w:hAnsi="Times New Roman"/>
          <w:sz w:val="24"/>
          <w:szCs w:val="24"/>
          <w:lang w:val="en-US"/>
        </w:rPr>
        <w:t>size of units of observation)</w:t>
      </w:r>
      <w:r w:rsidR="00D827D5" w:rsidRPr="001C1B78">
        <w:rPr>
          <w:rFonts w:ascii="Times New Roman" w:hAnsi="Times New Roman"/>
          <w:noProof/>
          <w:sz w:val="24"/>
          <w:szCs w:val="24"/>
          <w:vertAlign w:val="superscript"/>
          <w:lang w:val="en-US"/>
        </w:rPr>
        <w:t>31</w:t>
      </w:r>
      <w:r w:rsidR="00AC4F18">
        <w:rPr>
          <w:rFonts w:ascii="Times New Roman" w:hAnsi="Times New Roman"/>
          <w:sz w:val="24"/>
          <w:szCs w:val="24"/>
          <w:lang w:val="en-US"/>
        </w:rPr>
        <w:t xml:space="preserve"> </w:t>
      </w:r>
      <w:r w:rsidR="00A01234">
        <w:rPr>
          <w:rFonts w:ascii="Times New Roman" w:hAnsi="Times New Roman"/>
          <w:sz w:val="24"/>
          <w:szCs w:val="24"/>
          <w:lang w:val="en-US"/>
        </w:rPr>
        <w:t>of each article was also reviewed</w:t>
      </w:r>
      <w:r w:rsidR="00C159CB">
        <w:rPr>
          <w:rFonts w:ascii="Times New Roman" w:hAnsi="Times New Roman"/>
          <w:sz w:val="24"/>
          <w:szCs w:val="24"/>
          <w:lang w:val="en-US"/>
        </w:rPr>
        <w:t xml:space="preserve">. </w:t>
      </w:r>
    </w:p>
    <w:bookmarkEnd w:id="5"/>
    <w:p w:rsidR="00C159CB" w:rsidRPr="00907007" w:rsidRDefault="00C159CB" w:rsidP="00907007">
      <w:pPr>
        <w:autoSpaceDE w:val="0"/>
        <w:autoSpaceDN w:val="0"/>
        <w:adjustRightInd w:val="0"/>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either active or passive, over the control group, we calculated the log response ratio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2</w:t>
      </w:r>
      <w:r w:rsidRPr="00907007">
        <w:rPr>
          <w:rFonts w:ascii="Times New Roman" w:hAnsi="Times New Roman"/>
          <w:sz w:val="24"/>
          <w:szCs w:val="24"/>
          <w:lang w:val="en-US"/>
        </w:rPr>
        <w:t>. This effect size quantifies the log-proportional change between the means of the two groups compared</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3</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In this case, </w:t>
      </w:r>
      <w:r w:rsidR="00665921">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and zero represents no effect</w:t>
      </w:r>
      <w:r w:rsidR="00590430" w:rsidRPr="00590430">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4</w:t>
      </w:r>
      <w:r w:rsidR="000A4554">
        <w:rPr>
          <w:rFonts w:ascii="Times New Roman" w:hAnsi="Times New Roman"/>
          <w:sz w:val="24"/>
          <w:szCs w:val="24"/>
          <w:lang w:val="en-US"/>
        </w:rPr>
        <w:t xml:space="preserve">. </w:t>
      </w:r>
    </w:p>
    <w:p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D827D5">
        <w:rPr>
          <w:rFonts w:ascii="Times New Roman" w:hAnsi="Times New Roman"/>
          <w:noProof/>
          <w:sz w:val="24"/>
          <w:szCs w:val="24"/>
          <w:vertAlign w:val="superscript"/>
          <w:lang w:val="en-US"/>
        </w:rPr>
        <w:t>35</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Pr="00907007">
        <w:rPr>
          <w:rFonts w:ascii="Times New Roman" w:hAnsi="Times New Roman"/>
          <w:sz w:val="24"/>
          <w:szCs w:val="24"/>
          <w:lang w:val="en-US"/>
        </w:rPr>
        <w:t xml:space="preserve"> and then applied post hoc meta-regressions to test the potential influence of </w:t>
      </w:r>
      <w:r w:rsidR="006204CE">
        <w:rPr>
          <w:rFonts w:ascii="Times New Roman" w:hAnsi="Times New Roman"/>
          <w:sz w:val="24"/>
          <w:szCs w:val="24"/>
          <w:lang w:val="en-US"/>
        </w:rPr>
        <w:t xml:space="preserve">two moderator variables, </w:t>
      </w:r>
      <w:r w:rsidRPr="00907007">
        <w:rPr>
          <w:rFonts w:ascii="Times New Roman" w:hAnsi="Times New Roman"/>
          <w:sz w:val="24"/>
          <w:szCs w:val="24"/>
          <w:lang w:val="en-US"/>
        </w:rPr>
        <w:t>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on the outcomes</w:t>
      </w:r>
      <w:r w:rsidR="00821697" w:rsidRPr="00821697">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6</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All analyses done in R version 3.5.5</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7</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8</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p>
    <w:p w:rsidR="00907007" w:rsidRDefault="00907007" w:rsidP="00907007">
      <w:pPr>
        <w:spacing w:after="0" w:line="480" w:lineRule="auto"/>
        <w:rPr>
          <w:rFonts w:ascii="Times New Roman" w:hAnsi="Times New Roman"/>
          <w:sz w:val="24"/>
          <w:szCs w:val="24"/>
          <w:lang w:val="en-US"/>
        </w:rPr>
      </w:pPr>
    </w:p>
    <w:p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lastRenderedPageBreak/>
        <w:t xml:space="preserve">M.F. 2019. A set of R code to test dryland restoration efficacy using meta-analysis. </w:t>
      </w:r>
      <w:proofErr w:type="spellStart"/>
      <w:r w:rsidRPr="0023025B">
        <w:t>Zenodo</w:t>
      </w:r>
      <w:proofErr w:type="spellEnd"/>
      <w:r w:rsidRPr="0023025B">
        <w:t>. DOI: 10.5281/zenodo.2653943)</w:t>
      </w:r>
      <w:r>
        <w:t>.</w:t>
      </w:r>
    </w:p>
    <w:p w:rsidR="00143220" w:rsidRPr="00907007" w:rsidRDefault="00143220" w:rsidP="00907007">
      <w:pPr>
        <w:spacing w:after="0" w:line="480" w:lineRule="auto"/>
        <w:rPr>
          <w:rFonts w:ascii="Times New Roman" w:hAnsi="Times New Roman"/>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143220" w:rsidRDefault="00143220"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4D454D" w:rsidRDefault="004D454D" w:rsidP="00907007">
      <w:pPr>
        <w:spacing w:after="0" w:line="480" w:lineRule="auto"/>
        <w:rPr>
          <w:rFonts w:ascii="Times New Roman" w:hAnsi="Times New Roman"/>
          <w:b/>
          <w:sz w:val="24"/>
          <w:szCs w:val="24"/>
          <w:lang w:val="en-US"/>
        </w:rPr>
      </w:pPr>
    </w:p>
    <w:p w:rsidR="009268CD" w:rsidRDefault="009268CD" w:rsidP="00907007">
      <w:pPr>
        <w:spacing w:after="0" w:line="480" w:lineRule="auto"/>
        <w:rPr>
          <w:rFonts w:ascii="Times New Roman" w:hAnsi="Times New Roman"/>
          <w:b/>
          <w:sz w:val="24"/>
          <w:szCs w:val="24"/>
          <w:lang w:val="en-US"/>
        </w:rPr>
      </w:pPr>
    </w:p>
    <w:p w:rsidR="009268CD" w:rsidRDefault="009268CD" w:rsidP="00907007">
      <w:pPr>
        <w:spacing w:after="0" w:line="480" w:lineRule="auto"/>
        <w:rPr>
          <w:rFonts w:ascii="Times New Roman" w:hAnsi="Times New Roman"/>
          <w:b/>
          <w:sz w:val="24"/>
          <w:szCs w:val="24"/>
          <w:lang w:val="en-US"/>
        </w:rPr>
      </w:pPr>
    </w:p>
    <w:p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lastRenderedPageBreak/>
        <w:t xml:space="preserve">References </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w:t>
      </w:r>
      <w:r w:rsidRPr="00D764C1">
        <w:rPr>
          <w:rFonts w:ascii="Times New Roman" w:hAnsi="Times New Roman"/>
          <w:noProof/>
          <w:sz w:val="24"/>
          <w:szCs w:val="24"/>
          <w:lang w:val="en-US"/>
        </w:rPr>
        <w:lastRenderedPageBreak/>
        <w:t>(2006). doi:10.3733/ucanr.8163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31.</w:t>
      </w:r>
      <w:r w:rsidRPr="00D827D5">
        <w:rPr>
          <w:rFonts w:ascii="Times New Roman" w:hAnsi="Times New Roman"/>
          <w:noProof/>
          <w:sz w:val="24"/>
          <w:szCs w:val="24"/>
          <w:lang w:val="en-US"/>
        </w:rPr>
        <w:tab/>
        <w:t xml:space="preserve">Eric J. Gustafson, G. R. P. Quantifying Landscape Spatial Pattern: What Is the State of the Art? </w:t>
      </w:r>
      <w:r w:rsidRPr="00D827D5">
        <w:rPr>
          <w:rFonts w:ascii="Times New Roman" w:hAnsi="Times New Roman"/>
          <w:i/>
          <w:iCs/>
          <w:noProof/>
          <w:sz w:val="24"/>
          <w:szCs w:val="24"/>
          <w:lang w:val="en-US"/>
        </w:rPr>
        <w:t>Ecosystems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1,</w:t>
      </w:r>
      <w:r w:rsidRPr="00D827D5">
        <w:rPr>
          <w:rFonts w:ascii="Times New Roman" w:hAnsi="Times New Roman"/>
          <w:noProof/>
          <w:sz w:val="24"/>
          <w:szCs w:val="24"/>
          <w:lang w:val="en-US"/>
        </w:rPr>
        <w:t xml:space="preserve"> 143–156 (1998).</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32.</w:t>
      </w:r>
      <w:r w:rsidRPr="00D827D5">
        <w:rPr>
          <w:rFonts w:ascii="Times New Roman" w:hAnsi="Times New Roman"/>
          <w:noProof/>
          <w:sz w:val="24"/>
          <w:szCs w:val="24"/>
          <w:lang w:val="en-US"/>
        </w:rPr>
        <w:tab/>
        <w:t xml:space="preserve">Hedges, L., V., Gurevitch, J. &amp; Curtis, P. The Meta-Analysis of Response Ratios in Experimental Ecology.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80,</w:t>
      </w:r>
      <w:r w:rsidRPr="00D827D5">
        <w:rPr>
          <w:rFonts w:ascii="Times New Roman" w:hAnsi="Times New Roman"/>
          <w:noProof/>
          <w:sz w:val="24"/>
          <w:szCs w:val="24"/>
          <w:lang w:val="en-US"/>
        </w:rPr>
        <w:t xml:space="preserve"> 1150–1156 (1999).</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33.</w:t>
      </w:r>
      <w:r w:rsidRPr="00D827D5">
        <w:rPr>
          <w:rFonts w:ascii="Times New Roman" w:hAnsi="Times New Roman"/>
          <w:noProof/>
          <w:sz w:val="24"/>
          <w:szCs w:val="24"/>
          <w:lang w:val="en-US"/>
        </w:rPr>
        <w:tab/>
        <w:t xml:space="preserve">Lajeunesse, M. J. Bias and correction for the log response ratio in ecological meta-analysis.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96,</w:t>
      </w:r>
      <w:r w:rsidRPr="00D827D5">
        <w:rPr>
          <w:rFonts w:ascii="Times New Roman" w:hAnsi="Times New Roman"/>
          <w:noProof/>
          <w:sz w:val="24"/>
          <w:szCs w:val="24"/>
          <w:lang w:val="en-US"/>
        </w:rPr>
        <w:t xml:space="preserve"> 2056–2063 (2015).</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34.</w:t>
      </w:r>
      <w:r w:rsidRPr="00D827D5">
        <w:rPr>
          <w:rFonts w:ascii="Times New Roman" w:hAnsi="Times New Roman"/>
          <w:noProof/>
          <w:sz w:val="24"/>
          <w:szCs w:val="24"/>
          <w:lang w:val="en-US"/>
        </w:rPr>
        <w:tab/>
        <w:t xml:space="preserve">Pustejovsky, J. E. Using response ratios for meta-analyzing single-case designs with behavioral outcomes. </w:t>
      </w:r>
      <w:r w:rsidRPr="00D827D5">
        <w:rPr>
          <w:rFonts w:ascii="Times New Roman" w:hAnsi="Times New Roman"/>
          <w:i/>
          <w:iCs/>
          <w:noProof/>
          <w:sz w:val="24"/>
          <w:szCs w:val="24"/>
          <w:lang w:val="en-US"/>
        </w:rPr>
        <w:t>J. Sch. Psychol.</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68,</w:t>
      </w:r>
      <w:r w:rsidRPr="00D827D5">
        <w:rPr>
          <w:rFonts w:ascii="Times New Roman" w:hAnsi="Times New Roman"/>
          <w:noProof/>
          <w:sz w:val="24"/>
          <w:szCs w:val="24"/>
          <w:lang w:val="en-US"/>
        </w:rPr>
        <w:t xml:space="preserve"> 99–112 (2018).</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35.</w:t>
      </w:r>
      <w:r w:rsidRPr="00D827D5">
        <w:rPr>
          <w:rFonts w:ascii="Times New Roman" w:hAnsi="Times New Roman"/>
          <w:noProof/>
          <w:sz w:val="24"/>
          <w:szCs w:val="24"/>
          <w:lang w:val="en-US"/>
        </w:rPr>
        <w:tab/>
        <w:t xml:space="preserve">Schwarzer, G., Carpenter, J. R. &amp; Rücker, G. </w:t>
      </w:r>
      <w:r w:rsidRPr="00D827D5">
        <w:rPr>
          <w:rFonts w:ascii="Times New Roman" w:hAnsi="Times New Roman"/>
          <w:i/>
          <w:iCs/>
          <w:noProof/>
          <w:sz w:val="24"/>
          <w:szCs w:val="24"/>
          <w:lang w:val="en-US"/>
        </w:rPr>
        <w:t>Meta- Analysis with R</w:t>
      </w:r>
      <w:r w:rsidRPr="00D827D5">
        <w:rPr>
          <w:rFonts w:ascii="Times New Roman" w:hAnsi="Times New Roman"/>
          <w:noProof/>
          <w:sz w:val="24"/>
          <w:szCs w:val="24"/>
          <w:lang w:val="en-US"/>
        </w:rPr>
        <w:t>. (Springer, 2015).</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36.</w:t>
      </w:r>
      <w:r w:rsidRPr="00D827D5">
        <w:rPr>
          <w:rFonts w:ascii="Times New Roman" w:hAnsi="Times New Roman"/>
          <w:noProof/>
          <w:sz w:val="24"/>
          <w:szCs w:val="24"/>
          <w:lang w:val="en-US"/>
        </w:rPr>
        <w:tab/>
        <w:t xml:space="preserve">Viechtbauer, W. Conducting meta-analyses in R with the metafor package. </w:t>
      </w:r>
      <w:r w:rsidRPr="00D827D5">
        <w:rPr>
          <w:rFonts w:ascii="Times New Roman" w:hAnsi="Times New Roman"/>
          <w:i/>
          <w:iCs/>
          <w:noProof/>
          <w:sz w:val="24"/>
          <w:szCs w:val="24"/>
          <w:lang w:val="en-US"/>
        </w:rPr>
        <w:t>J. Stat. Softw.</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36,</w:t>
      </w:r>
      <w:r w:rsidRPr="00D827D5">
        <w:rPr>
          <w:rFonts w:ascii="Times New Roman" w:hAnsi="Times New Roman"/>
          <w:noProof/>
          <w:sz w:val="24"/>
          <w:szCs w:val="24"/>
          <w:lang w:val="en-US"/>
        </w:rPr>
        <w:t xml:space="preserve"> 1–48 (2010).</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37.</w:t>
      </w:r>
      <w:r w:rsidRPr="00D827D5">
        <w:rPr>
          <w:rFonts w:ascii="Times New Roman" w:hAnsi="Times New Roman"/>
          <w:noProof/>
          <w:sz w:val="24"/>
          <w:szCs w:val="24"/>
          <w:lang w:val="en-US"/>
        </w:rPr>
        <w:tab/>
        <w:t xml:space="preserve">R Core Team. R: A language and environment for statistical computing. </w:t>
      </w:r>
      <w:r w:rsidRPr="00D827D5">
        <w:rPr>
          <w:rFonts w:ascii="Times New Roman" w:hAnsi="Times New Roman"/>
          <w:i/>
          <w:iCs/>
          <w:noProof/>
          <w:sz w:val="24"/>
          <w:szCs w:val="24"/>
          <w:lang w:val="en-US"/>
        </w:rPr>
        <w:t>R Found. Stat. Comput. Vienna, Austria. URL https//www.R-project.org/.</w:t>
      </w:r>
      <w:r w:rsidRPr="00D827D5">
        <w:rPr>
          <w:rFonts w:ascii="Times New Roman" w:hAnsi="Times New Roman"/>
          <w:noProof/>
          <w:sz w:val="24"/>
          <w:szCs w:val="24"/>
          <w:lang w:val="en-US"/>
        </w:rPr>
        <w:t xml:space="preserve"> (2018).</w:t>
      </w:r>
    </w:p>
    <w:p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D827D5">
        <w:rPr>
          <w:rFonts w:ascii="Times New Roman" w:hAnsi="Times New Roman"/>
          <w:noProof/>
          <w:sz w:val="24"/>
          <w:szCs w:val="24"/>
          <w:lang w:val="en-US"/>
        </w:rPr>
        <w:t>38.</w:t>
      </w:r>
      <w:r w:rsidRPr="00D827D5">
        <w:rPr>
          <w:rFonts w:ascii="Times New Roman" w:hAnsi="Times New Roman"/>
          <w:noProof/>
          <w:sz w:val="24"/>
          <w:szCs w:val="24"/>
          <w:lang w:val="en-US"/>
        </w:rPr>
        <w:tab/>
        <w:t xml:space="preserve">Schwarzer, G. meta: An R package for meta-analysis. </w:t>
      </w:r>
      <w:r w:rsidRPr="00D827D5">
        <w:rPr>
          <w:rFonts w:ascii="Times New Roman" w:hAnsi="Times New Roman"/>
          <w:i/>
          <w:iCs/>
          <w:noProof/>
          <w:sz w:val="24"/>
          <w:szCs w:val="24"/>
          <w:lang w:val="en-US"/>
        </w:rPr>
        <w:t>R news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7,</w:t>
      </w:r>
      <w:r w:rsidRPr="00D827D5">
        <w:rPr>
          <w:rFonts w:ascii="Times New Roman" w:hAnsi="Times New Roman"/>
          <w:noProof/>
          <w:sz w:val="24"/>
          <w:szCs w:val="24"/>
          <w:lang w:val="en-US"/>
        </w:rPr>
        <w:t xml:space="preserve"> 40–45 (2007).</w:t>
      </w:r>
    </w:p>
    <w:p w:rsidR="00821697" w:rsidRDefault="00821697" w:rsidP="00821697">
      <w:pPr>
        <w:spacing w:after="0" w:line="240" w:lineRule="auto"/>
        <w:rPr>
          <w:rFonts w:ascii="Times New Roman" w:eastAsia="Times New Roman" w:hAnsi="Times New Roman"/>
          <w:sz w:val="24"/>
          <w:szCs w:val="24"/>
          <w:lang w:val="en-US"/>
        </w:rPr>
      </w:pPr>
    </w:p>
    <w:p w:rsidR="00907007" w:rsidRDefault="009070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Default="00851A07" w:rsidP="00907007">
      <w:pPr>
        <w:spacing w:after="0" w:line="240" w:lineRule="auto"/>
        <w:rPr>
          <w:rFonts w:ascii="Times New Roman" w:eastAsia="Times New Roman" w:hAnsi="Times New Roman"/>
          <w:b/>
          <w:sz w:val="24"/>
          <w:szCs w:val="24"/>
          <w:lang w:val="en-US"/>
        </w:rPr>
      </w:pPr>
    </w:p>
    <w:p w:rsidR="00851A07" w:rsidRPr="009C31BE" w:rsidRDefault="00851A07" w:rsidP="00851A07">
      <w:pPr>
        <w:pStyle w:val="Acknowledgement"/>
        <w:spacing w:before="0" w:line="480" w:lineRule="auto"/>
        <w:ind w:left="0" w:firstLine="0"/>
        <w:rPr>
          <w:b/>
        </w:rPr>
      </w:pPr>
      <w:r w:rsidRPr="00FF5437">
        <w:rPr>
          <w:b/>
        </w:rPr>
        <w:lastRenderedPageBreak/>
        <w:t>Acknowledgments</w:t>
      </w:r>
    </w:p>
    <w:p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rsidR="00851A07" w:rsidRDefault="00851A07" w:rsidP="00245DB0">
      <w:pPr>
        <w:pStyle w:val="Acknowledgement"/>
        <w:spacing w:before="0" w:line="480" w:lineRule="auto"/>
        <w:rPr>
          <w:b/>
        </w:rPr>
      </w:pPr>
    </w:p>
    <w:p w:rsidR="00245DB0" w:rsidRDefault="00245DB0" w:rsidP="00245DB0">
      <w:pPr>
        <w:pStyle w:val="Acknowledgement"/>
        <w:spacing w:before="0" w:line="480" w:lineRule="auto"/>
        <w:rPr>
          <w:b/>
        </w:rPr>
      </w:pPr>
      <w:r>
        <w:rPr>
          <w:b/>
        </w:rPr>
        <w:t>Author contributions</w:t>
      </w:r>
    </w:p>
    <w:p w:rsidR="00245DB0" w:rsidRDefault="00245DB0" w:rsidP="00245DB0">
      <w:pPr>
        <w:pStyle w:val="Acknowledgement"/>
        <w:spacing w:before="0" w:line="480" w:lineRule="auto"/>
        <w:ind w:left="0" w:firstLine="0"/>
      </w:pPr>
      <w:r>
        <w:t>H.S.B. and C.J.L. formulated the ideas, M.F.M. and H.S.B. compiled data, C.J.L. and M.F.M. analyzed data, M.F.M., H.S.B. and C.J.L. wrote the manuscript, H.S.B. and C.J.L. acquired the financial support for the project.</w:t>
      </w:r>
    </w:p>
    <w:p w:rsidR="00245DB0" w:rsidRDefault="00245DB0" w:rsidP="00245DB0">
      <w:pPr>
        <w:pStyle w:val="Acknowledgement"/>
        <w:spacing w:before="0" w:line="480" w:lineRule="auto"/>
        <w:ind w:left="0" w:firstLine="0"/>
      </w:pPr>
    </w:p>
    <w:p w:rsidR="009268CD" w:rsidRDefault="009268CD" w:rsidP="00245DB0">
      <w:pPr>
        <w:pStyle w:val="Acknowledgement"/>
        <w:spacing w:before="0" w:line="480" w:lineRule="auto"/>
        <w:ind w:left="0" w:firstLine="0"/>
      </w:pPr>
    </w:p>
    <w:p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6"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6"/>
      <w:r w:rsidR="00A706F5" w:rsidRPr="00B55700">
        <w:rPr>
          <w:rFonts w:ascii="Times New Roman" w:hAnsi="Times New Roman"/>
          <w:sz w:val="24"/>
          <w:szCs w:val="24"/>
          <w:lang w:val="en-US"/>
        </w:rPr>
        <w:t>.</w:t>
      </w:r>
    </w:p>
    <w:p w:rsidR="00A706F5" w:rsidRPr="00A706F5" w:rsidRDefault="00A706F5" w:rsidP="00A706F5">
      <w:pPr>
        <w:spacing w:before="120" w:after="0" w:line="480" w:lineRule="auto"/>
        <w:rPr>
          <w:lang w:val="en-US"/>
        </w:rPr>
      </w:pPr>
    </w:p>
    <w:p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rsidR="00143220" w:rsidRDefault="00143220" w:rsidP="00245DB0">
      <w:pPr>
        <w:pStyle w:val="Acknowledgement"/>
        <w:spacing w:before="0" w:line="480" w:lineRule="auto"/>
        <w:ind w:left="0" w:firstLine="0"/>
      </w:pPr>
      <w:r>
        <w:t>The authors declare no competing interests.</w:t>
      </w:r>
    </w:p>
    <w:p w:rsidR="00245DB0" w:rsidRDefault="00245DB0" w:rsidP="00245DB0">
      <w:pPr>
        <w:pStyle w:val="Acknowledgement"/>
        <w:spacing w:before="0" w:line="480" w:lineRule="auto"/>
        <w:ind w:left="0" w:firstLine="0"/>
        <w:rPr>
          <w:b/>
        </w:rPr>
      </w:pPr>
    </w:p>
    <w:p w:rsidR="00AE131F" w:rsidRPr="00D764C1" w:rsidRDefault="00AE131F" w:rsidP="00851A07">
      <w:pPr>
        <w:rPr>
          <w:lang w:val="en-US"/>
        </w:rPr>
      </w:pPr>
    </w:p>
    <w:p w:rsidR="00143220" w:rsidRPr="00D764C1" w:rsidRDefault="00143220" w:rsidP="00851A07">
      <w:pPr>
        <w:rPr>
          <w:lang w:val="en-US"/>
        </w:rPr>
      </w:pPr>
    </w:p>
    <w:p w:rsidR="00143220" w:rsidRPr="00D764C1" w:rsidRDefault="00143220" w:rsidP="00851A07">
      <w:pPr>
        <w:rPr>
          <w:lang w:val="en-US"/>
        </w:rPr>
      </w:pPr>
    </w:p>
    <w:p w:rsidR="006A516C" w:rsidRDefault="004D454D" w:rsidP="006A516C">
      <w:pPr>
        <w:autoSpaceDE w:val="0"/>
        <w:autoSpaceDN w:val="0"/>
        <w:adjustRightInd w:val="0"/>
        <w:spacing w:line="480" w:lineRule="auto"/>
        <w:rPr>
          <w:rFonts w:ascii="Times New Roman" w:hAnsi="Times New Roman"/>
          <w:sz w:val="24"/>
          <w:szCs w:val="24"/>
          <w:lang w:val="en-US"/>
        </w:rPr>
      </w:pPr>
      <w:r>
        <w:rPr>
          <w:rFonts w:ascii="Times New Roman" w:hAnsi="Times New Roman"/>
          <w:b/>
          <w:sz w:val="24"/>
          <w:szCs w:val="24"/>
          <w:lang w:val="en-US"/>
        </w:rPr>
        <w:lastRenderedPageBreak/>
        <w:t>T</w:t>
      </w:r>
      <w:r w:rsidR="006A516C" w:rsidRPr="006A516C">
        <w:rPr>
          <w:rFonts w:ascii="Times New Roman" w:hAnsi="Times New Roman"/>
          <w:b/>
          <w:sz w:val="24"/>
          <w:szCs w:val="24"/>
          <w:lang w:val="en-US"/>
        </w:rPr>
        <w:t>able 1.</w:t>
      </w:r>
      <w:r w:rsidR="006A516C"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006A516C" w:rsidRPr="006A516C">
        <w:rPr>
          <w:rFonts w:ascii="Times New Roman" w:hAnsi="Times New Roman"/>
          <w:sz w:val="24"/>
          <w:szCs w:val="24"/>
          <w:lang w:val="en-US"/>
        </w:rPr>
        <w:t>Lortie</w:t>
      </w:r>
      <w:proofErr w:type="spellEnd"/>
      <w:r w:rsidR="006A516C" w:rsidRPr="006A516C">
        <w:rPr>
          <w:rFonts w:ascii="Times New Roman" w:hAnsi="Times New Roman"/>
          <w:sz w:val="24"/>
          <w:szCs w:val="24"/>
          <w:lang w:val="en-US"/>
        </w:rPr>
        <w:t xml:space="preserve"> C.J. and Miguel M.F. 2019. R code, DOI: 10.5281/zenodo.2653943). Effect of active and passive restoration strategies was tested by t-test with mu = 0,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bookmarkStart w:id="7" w:name="_GoBack"/>
      <w:bookmarkEnd w:id="7"/>
    </w:p>
    <w:p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rsidTr="00747AD6">
        <w:trPr>
          <w:jc w:val="center"/>
        </w:trPr>
        <w:tc>
          <w:tcPr>
            <w:tcW w:w="3227" w:type="dxa"/>
            <w:shd w:val="clear" w:color="auto" w:fill="D9D9D9"/>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rsidTr="00747AD6">
        <w:trPr>
          <w:trHeight w:val="537"/>
          <w:jc w:val="center"/>
        </w:trPr>
        <w:tc>
          <w:tcPr>
            <w:tcW w:w="7338" w:type="dxa"/>
            <w:gridSpan w:val="3"/>
            <w:shd w:val="clear" w:color="auto" w:fill="auto"/>
            <w:vAlign w:val="center"/>
          </w:tcPr>
          <w:p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rsidTr="00747AD6">
        <w:trPr>
          <w:jc w:val="center"/>
        </w:trPr>
        <w:tc>
          <w:tcPr>
            <w:tcW w:w="7338" w:type="dxa"/>
            <w:gridSpan w:val="3"/>
            <w:shd w:val="clear" w:color="auto" w:fill="auto"/>
          </w:tcPr>
          <w:p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rsidTr="00747AD6">
        <w:trPr>
          <w:jc w:val="center"/>
        </w:trPr>
        <w:tc>
          <w:tcPr>
            <w:tcW w:w="3227" w:type="dxa"/>
            <w:shd w:val="clear" w:color="auto" w:fill="auto"/>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rsidTr="00747AD6">
        <w:trPr>
          <w:jc w:val="center"/>
        </w:trPr>
        <w:tc>
          <w:tcPr>
            <w:tcW w:w="7338" w:type="dxa"/>
            <w:gridSpan w:val="3"/>
            <w:shd w:val="clear" w:color="auto" w:fill="F2F2F2"/>
          </w:tcPr>
          <w:p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rsidTr="00747AD6">
        <w:trPr>
          <w:jc w:val="center"/>
        </w:trPr>
        <w:tc>
          <w:tcPr>
            <w:tcW w:w="3227" w:type="dxa"/>
            <w:shd w:val="clear" w:color="auto" w:fill="F2F2F2"/>
          </w:tcPr>
          <w:p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rsidR="00143220" w:rsidRDefault="00143220" w:rsidP="00851A07">
      <w:pPr>
        <w:rPr>
          <w:lang w:val="en-US"/>
        </w:rPr>
      </w:pPr>
    </w:p>
    <w:p w:rsidR="006A516C" w:rsidRDefault="006A516C" w:rsidP="00851A07">
      <w:pPr>
        <w:rPr>
          <w:lang w:val="en-US"/>
        </w:rPr>
      </w:pPr>
    </w:p>
    <w:p w:rsidR="006A516C" w:rsidRDefault="006A516C" w:rsidP="00851A07">
      <w:pPr>
        <w:rPr>
          <w:lang w:val="en-US"/>
        </w:rPr>
      </w:pPr>
    </w:p>
    <w:p w:rsidR="006A516C" w:rsidRDefault="006A516C" w:rsidP="00851A07">
      <w:pPr>
        <w:rPr>
          <w:lang w:val="en-US"/>
        </w:rPr>
      </w:pPr>
    </w:p>
    <w:p w:rsidR="006A516C" w:rsidRPr="008E649B" w:rsidRDefault="006A516C" w:rsidP="006A516C">
      <w:pPr>
        <w:pStyle w:val="Legend"/>
        <w:spacing w:line="480" w:lineRule="auto"/>
        <w:rPr>
          <w:b/>
        </w:rPr>
      </w:pPr>
      <w:r>
        <w:rPr>
          <w:b/>
        </w:rPr>
        <w:lastRenderedPageBreak/>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(crop and grazing natural lands) as the main disturbance (n = 40). Red points represent the location of studies that used active restoration while blue points show those studies using passive recovery. </w:t>
      </w:r>
    </w:p>
    <w:p w:rsidR="006A516C" w:rsidRDefault="006A516C" w:rsidP="00851A07">
      <w:pPr>
        <w:rPr>
          <w:lang w:val="en-US"/>
        </w:rPr>
      </w:pPr>
    </w:p>
    <w:p w:rsidR="006A516C" w:rsidRDefault="006A516C" w:rsidP="00851A07">
      <w:pPr>
        <w:rPr>
          <w:lang w:val="en-US"/>
        </w:rPr>
      </w:pPr>
    </w:p>
    <w:p w:rsidR="006A516C" w:rsidRDefault="005B03B4" w:rsidP="00851A07">
      <w:pPr>
        <w:rPr>
          <w:lang w:val="en-US"/>
        </w:rPr>
      </w:pPr>
      <w:r w:rsidRPr="00747AD6">
        <w:rPr>
          <w:noProof/>
          <w:lang w:val="en-US"/>
        </w:rPr>
        <w:drawing>
          <wp:inline distT="0" distB="0" distL="0" distR="0">
            <wp:extent cx="6186805" cy="3900805"/>
            <wp:effectExtent l="0" t="0" r="0" b="0"/>
            <wp:docPr id="1" name="Imagen 4"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 map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6805" cy="3900805"/>
                    </a:xfrm>
                    <a:prstGeom prst="rect">
                      <a:avLst/>
                    </a:prstGeom>
                    <a:noFill/>
                    <a:ln>
                      <a:noFill/>
                    </a:ln>
                  </pic:spPr>
                </pic:pic>
              </a:graphicData>
            </a:graphic>
          </wp:inline>
        </w:drawing>
      </w:r>
    </w:p>
    <w:p w:rsidR="006A516C" w:rsidRPr="006A516C" w:rsidRDefault="006A516C" w:rsidP="006A516C">
      <w:pPr>
        <w:rPr>
          <w:lang w:val="en-US"/>
        </w:rPr>
      </w:pPr>
    </w:p>
    <w:p w:rsidR="006A516C" w:rsidRP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Default="006A516C" w:rsidP="006A516C">
      <w:pPr>
        <w:rPr>
          <w:lang w:val="en-US"/>
        </w:rPr>
      </w:pPr>
    </w:p>
    <w:p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lastRenderedPageBreak/>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rsidR="006A516C" w:rsidRDefault="006A516C" w:rsidP="006A516C">
      <w:pPr>
        <w:rPr>
          <w:lang w:val="en-US"/>
        </w:rPr>
      </w:pPr>
    </w:p>
    <w:p w:rsidR="006A516C" w:rsidRDefault="005C4B12" w:rsidP="006A516C">
      <w:pPr>
        <w:rPr>
          <w:lang w:val="en-US"/>
        </w:rPr>
      </w:pPr>
      <w:r>
        <w:rPr>
          <w:noProof/>
          <w:lang w:val="en-US"/>
        </w:rPr>
        <w:drawing>
          <wp:inline distT="0" distB="0" distL="0" distR="0">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FD5" w:rsidRDefault="00AB0FD5" w:rsidP="00907007">
      <w:pPr>
        <w:spacing w:after="0" w:line="240" w:lineRule="auto"/>
      </w:pPr>
      <w:r>
        <w:separator/>
      </w:r>
    </w:p>
  </w:endnote>
  <w:endnote w:type="continuationSeparator" w:id="0">
    <w:p w:rsidR="00AB0FD5" w:rsidRDefault="00AB0FD5"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2</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A5" w:rsidRPr="00907007" w:rsidRDefault="00ED58A5"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rsidR="00ED58A5" w:rsidRPr="00907007" w:rsidRDefault="00ED58A5">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FD5" w:rsidRDefault="00AB0FD5" w:rsidP="00907007">
      <w:pPr>
        <w:spacing w:after="0" w:line="240" w:lineRule="auto"/>
      </w:pPr>
      <w:r>
        <w:separator/>
      </w:r>
    </w:p>
  </w:footnote>
  <w:footnote w:type="continuationSeparator" w:id="0">
    <w:p w:rsidR="00AB0FD5" w:rsidRDefault="00AB0FD5"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357A2"/>
    <w:rsid w:val="0007034B"/>
    <w:rsid w:val="0008245D"/>
    <w:rsid w:val="000A4554"/>
    <w:rsid w:val="001413C9"/>
    <w:rsid w:val="00143220"/>
    <w:rsid w:val="001C04BE"/>
    <w:rsid w:val="001C1B78"/>
    <w:rsid w:val="001F0FEA"/>
    <w:rsid w:val="0020240C"/>
    <w:rsid w:val="00245DB0"/>
    <w:rsid w:val="002A6B00"/>
    <w:rsid w:val="00306720"/>
    <w:rsid w:val="00311F9D"/>
    <w:rsid w:val="00341C02"/>
    <w:rsid w:val="003B486E"/>
    <w:rsid w:val="003D22BC"/>
    <w:rsid w:val="00444DE4"/>
    <w:rsid w:val="00471469"/>
    <w:rsid w:val="00477334"/>
    <w:rsid w:val="004D454D"/>
    <w:rsid w:val="00500BB0"/>
    <w:rsid w:val="00551A84"/>
    <w:rsid w:val="0058510F"/>
    <w:rsid w:val="00590430"/>
    <w:rsid w:val="005B03B4"/>
    <w:rsid w:val="005C4B12"/>
    <w:rsid w:val="00620163"/>
    <w:rsid w:val="006204CE"/>
    <w:rsid w:val="00665921"/>
    <w:rsid w:val="006757DD"/>
    <w:rsid w:val="00686124"/>
    <w:rsid w:val="0068668E"/>
    <w:rsid w:val="006934C5"/>
    <w:rsid w:val="006A516C"/>
    <w:rsid w:val="006B6AD9"/>
    <w:rsid w:val="00747AD6"/>
    <w:rsid w:val="00760EAB"/>
    <w:rsid w:val="00783AF4"/>
    <w:rsid w:val="00786FDB"/>
    <w:rsid w:val="007E3D96"/>
    <w:rsid w:val="007F5828"/>
    <w:rsid w:val="00802983"/>
    <w:rsid w:val="00821697"/>
    <w:rsid w:val="00826D86"/>
    <w:rsid w:val="00830319"/>
    <w:rsid w:val="00851A07"/>
    <w:rsid w:val="00867A8B"/>
    <w:rsid w:val="00900A50"/>
    <w:rsid w:val="00907007"/>
    <w:rsid w:val="009268CD"/>
    <w:rsid w:val="00967B68"/>
    <w:rsid w:val="00971596"/>
    <w:rsid w:val="00A01234"/>
    <w:rsid w:val="00A706F5"/>
    <w:rsid w:val="00A94555"/>
    <w:rsid w:val="00AB0FD5"/>
    <w:rsid w:val="00AC4F18"/>
    <w:rsid w:val="00AE131F"/>
    <w:rsid w:val="00C159CB"/>
    <w:rsid w:val="00C46FFF"/>
    <w:rsid w:val="00C5669C"/>
    <w:rsid w:val="00C7669C"/>
    <w:rsid w:val="00CA2022"/>
    <w:rsid w:val="00CC5F1E"/>
    <w:rsid w:val="00CC6798"/>
    <w:rsid w:val="00D047EE"/>
    <w:rsid w:val="00D378C0"/>
    <w:rsid w:val="00D764C1"/>
    <w:rsid w:val="00D827D5"/>
    <w:rsid w:val="00D87B28"/>
    <w:rsid w:val="00E70149"/>
    <w:rsid w:val="00E91AE5"/>
    <w:rsid w:val="00ED58A5"/>
    <w:rsid w:val="00F317AE"/>
    <w:rsid w:val="00F42FCE"/>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6E06"/>
  <w15:chartTrackingRefBased/>
  <w15:docId w15:val="{8852107A-F1EF-4318-9DCB-FD2B1C73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7CCEC-996C-49C1-8495-AAE4E38F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14</Pages>
  <Words>3468</Words>
  <Characters>19074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27</cp:revision>
  <dcterms:created xsi:type="dcterms:W3CDTF">2019-05-28T16:13:00Z</dcterms:created>
  <dcterms:modified xsi:type="dcterms:W3CDTF">2019-06-17T18:20:00Z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