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华文中宋" w:hAnsi="华文中宋" w:eastAsia="华文中宋"/>
          <w:b/>
          <w:color w:val="FF0000"/>
          <w:sz w:val="48"/>
          <w:szCs w:val="48"/>
        </w:rPr>
      </w:pPr>
      <w:r>
        <w:rPr>
          <w:rFonts w:hint="eastAsia" w:ascii="华文中宋" w:hAnsi="华文中宋" w:eastAsia="华文中宋"/>
          <w:b/>
          <w:color w:val="FF0000"/>
          <w:sz w:val="48"/>
          <w:szCs w:val="48"/>
        </w:rPr>
        <w:t>上海华谊（集团）公司</w:t>
      </w:r>
    </w:p>
    <w:p>
      <w:pPr>
        <w:spacing w:line="600" w:lineRule="exact"/>
        <w:jc w:val="center"/>
        <w:rPr>
          <w:rFonts w:ascii="华文中宋" w:hAnsi="华文中宋" w:eastAsia="华文中宋"/>
          <w:b/>
          <w:color w:val="FF0000"/>
          <w:sz w:val="48"/>
          <w:szCs w:val="48"/>
        </w:rPr>
      </w:pPr>
      <w:r>
        <w:rPr>
          <w:rFonts w:hint="eastAsia" w:ascii="华文中宋" w:hAnsi="华文中宋" w:eastAsia="华文中宋"/>
          <w:b/>
          <w:color w:val="FF0000"/>
          <w:sz w:val="48"/>
          <w:szCs w:val="48"/>
        </w:rPr>
        <w:t>上海华谊集团股份有限公司</w:t>
      </w:r>
    </w:p>
    <w:p>
      <w:pPr>
        <w:jc w:val="center"/>
        <w:rPr>
          <w:b/>
          <w:sz w:val="32"/>
          <w:szCs w:val="32"/>
        </w:rPr>
      </w:pPr>
    </w:p>
    <w:p>
      <w:pPr>
        <w:jc w:val="center"/>
        <w:rPr>
          <w:rFonts w:ascii="楷体" w:hAnsi="楷体" w:eastAsia="楷体"/>
          <w:b/>
          <w:sz w:val="36"/>
          <w:szCs w:val="36"/>
        </w:rPr>
      </w:pPr>
      <w:r>
        <w:rPr>
          <w:rFonts w:hint="eastAsia" w:ascii="楷体" w:hAnsi="楷体" w:eastAsia="楷体"/>
          <w:b/>
          <w:sz w:val="36"/>
          <w:szCs w:val="36"/>
        </w:rPr>
        <w:t>关于举办集团过程安全管理系列培训的通知</w:t>
      </w:r>
    </w:p>
    <w:p>
      <w:pPr>
        <w:jc w:val="center"/>
        <w:rPr>
          <w:b/>
          <w:sz w:val="32"/>
          <w:szCs w:val="32"/>
        </w:rPr>
      </w:pPr>
    </w:p>
    <w:p>
      <w:pPr>
        <w:tabs>
          <w:tab w:val="left" w:pos="8100"/>
        </w:tabs>
        <w:spacing w:line="360" w:lineRule="auto"/>
        <w:jc w:val="left"/>
        <w:rPr>
          <w:b/>
          <w:sz w:val="28"/>
          <w:szCs w:val="28"/>
        </w:rPr>
      </w:pPr>
      <w:r>
        <w:rPr>
          <w:rFonts w:hint="eastAsia"/>
          <w:b/>
          <w:sz w:val="28"/>
          <w:szCs w:val="28"/>
        </w:rPr>
        <w:t>集团各子公司：</w:t>
      </w:r>
    </w:p>
    <w:p>
      <w:pPr>
        <w:pStyle w:val="6"/>
        <w:shd w:val="clear" w:color="auto" w:fill="FFFFFF"/>
        <w:spacing w:before="0" w:beforeAutospacing="0" w:after="0" w:afterAutospacing="0" w:line="360" w:lineRule="auto"/>
        <w:ind w:firstLine="570"/>
        <w:jc w:val="both"/>
        <w:rPr>
          <w:sz w:val="28"/>
          <w:szCs w:val="28"/>
        </w:rPr>
      </w:pPr>
      <w:r>
        <w:rPr>
          <w:rFonts w:hint="eastAsia" w:cs="Times New Roman" w:asciiTheme="minorEastAsia" w:hAnsiTheme="minorEastAsia" w:eastAsiaTheme="minorEastAsia"/>
          <w:kern w:val="2"/>
          <w:sz w:val="28"/>
          <w:szCs w:val="28"/>
        </w:rPr>
        <w:t>根据《危险化学品安全专项整治三年行动实施方案》和华谊集团《安全生产专项整治提升三年行动计划方案》的要求，建立和培养集团过程安全管理团队（</w:t>
      </w:r>
      <w:r>
        <w:rPr>
          <w:rFonts w:cs="Times New Roman" w:asciiTheme="minorEastAsia" w:hAnsiTheme="minorEastAsia" w:eastAsiaTheme="minorEastAsia"/>
          <w:kern w:val="2"/>
          <w:sz w:val="28"/>
          <w:szCs w:val="28"/>
        </w:rPr>
        <w:t>HAZOP</w:t>
      </w:r>
      <w:r>
        <w:rPr>
          <w:rFonts w:hint="eastAsia" w:cs="Times New Roman" w:asciiTheme="minorEastAsia" w:hAnsiTheme="minorEastAsia" w:eastAsiaTheme="minorEastAsia"/>
          <w:kern w:val="2"/>
          <w:sz w:val="28"/>
          <w:szCs w:val="28"/>
        </w:rPr>
        <w:t>分析专家团队），为各子公司定时开展生产装置</w:t>
      </w:r>
      <w:r>
        <w:rPr>
          <w:rFonts w:cs="Times New Roman" w:asciiTheme="minorEastAsia" w:hAnsiTheme="minorEastAsia" w:eastAsiaTheme="minorEastAsia"/>
          <w:kern w:val="2"/>
          <w:sz w:val="28"/>
          <w:szCs w:val="28"/>
        </w:rPr>
        <w:t>HAZOP</w:t>
      </w:r>
      <w:r>
        <w:rPr>
          <w:rFonts w:hint="eastAsia" w:cs="Times New Roman" w:asciiTheme="minorEastAsia" w:hAnsiTheme="minorEastAsia" w:eastAsiaTheme="minorEastAsia"/>
          <w:kern w:val="2"/>
          <w:sz w:val="28"/>
          <w:szCs w:val="28"/>
        </w:rPr>
        <w:t>分析及构建企业双重预防机制提供专业支持和服务。通过各子公司推荐及集团优选，首批30人的</w:t>
      </w:r>
      <w:r>
        <w:rPr>
          <w:rFonts w:hint="eastAsia"/>
          <w:sz w:val="28"/>
          <w:szCs w:val="28"/>
        </w:rPr>
        <w:t>集团过程安全团队组建完毕，涵盖子公司各专业的技术人才。</w:t>
      </w:r>
    </w:p>
    <w:p>
      <w:pPr>
        <w:pStyle w:val="6"/>
        <w:shd w:val="clear" w:color="auto" w:fill="FFFFFF"/>
        <w:spacing w:before="0" w:beforeAutospacing="0" w:after="0" w:afterAutospacing="0" w:line="360" w:lineRule="auto"/>
        <w:ind w:firstLine="570"/>
        <w:jc w:val="both"/>
        <w:rPr>
          <w:b/>
          <w:sz w:val="28"/>
          <w:szCs w:val="28"/>
        </w:rPr>
      </w:pPr>
      <w:r>
        <w:rPr>
          <w:rFonts w:hint="eastAsia" w:asciiTheme="minorHAnsi" w:hAnsiTheme="minorHAnsi" w:eastAsiaTheme="minorEastAsia"/>
          <w:sz w:val="28"/>
          <w:szCs w:val="22"/>
        </w:rPr>
        <w:t>为切实提高过程安全管理团队成员专业能力，集团拟开展过程安全管理系列培训，包含过程安全各要素的要点解读及实践指导以及过程安全的各工具的运用介绍等。</w:t>
      </w:r>
    </w:p>
    <w:p>
      <w:pPr>
        <w:tabs>
          <w:tab w:val="left" w:pos="8100"/>
        </w:tabs>
        <w:spacing w:line="360" w:lineRule="auto"/>
        <w:ind w:firstLine="540"/>
        <w:jc w:val="left"/>
        <w:rPr>
          <w:rFonts w:ascii="Times New Roman" w:hAnsi="Times New Roman" w:eastAsia="宋体" w:cs="Times New Roman"/>
          <w:sz w:val="28"/>
          <w:szCs w:val="28"/>
        </w:rPr>
      </w:pPr>
      <w:r>
        <w:rPr>
          <w:rFonts w:hint="eastAsia" w:ascii="Times New Roman" w:hAnsi="Times New Roman" w:eastAsia="宋体" w:cs="Times New Roman"/>
          <w:sz w:val="28"/>
          <w:szCs w:val="28"/>
        </w:rPr>
        <w:t>兹定于2021年4</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20日~23</w:t>
      </w:r>
      <w:r>
        <w:rPr>
          <w:rFonts w:ascii="Times New Roman" w:hAnsi="Times New Roman" w:eastAsia="宋体" w:cs="Times New Roman"/>
          <w:sz w:val="28"/>
          <w:szCs w:val="28"/>
        </w:rPr>
        <w:t>日</w:t>
      </w:r>
      <w:r>
        <w:rPr>
          <w:rFonts w:hint="eastAsia" w:ascii="Times New Roman" w:hAnsi="Times New Roman" w:eastAsia="宋体" w:cs="Times New Roman"/>
          <w:sz w:val="28"/>
          <w:szCs w:val="28"/>
        </w:rPr>
        <w:t>，过程安全管理系列培训第二期正式开班，主要内容包含：双重预防机制、开车前安全审查、事故事件管理</w:t>
      </w:r>
    </w:p>
    <w:p>
      <w:pPr>
        <w:tabs>
          <w:tab w:val="left" w:pos="8100"/>
        </w:tabs>
        <w:spacing w:line="360" w:lineRule="auto"/>
        <w:ind w:firstLine="540"/>
        <w:jc w:val="left"/>
        <w:rPr>
          <w:rFonts w:ascii="Times New Roman" w:hAnsi="Times New Roman" w:eastAsia="宋体" w:cs="Times New Roman"/>
          <w:sz w:val="28"/>
          <w:szCs w:val="28"/>
        </w:rPr>
      </w:pPr>
      <w:r>
        <w:rPr>
          <w:rFonts w:hint="eastAsia" w:ascii="Times New Roman" w:hAnsi="Times New Roman" w:eastAsia="宋体" w:cs="Times New Roman"/>
          <w:sz w:val="28"/>
          <w:szCs w:val="28"/>
        </w:rPr>
        <w:t>过程安全管理系列培训通知具体如下：</w:t>
      </w:r>
    </w:p>
    <w:p>
      <w:pPr>
        <w:spacing w:line="360" w:lineRule="auto"/>
        <w:ind w:firstLine="551" w:firstLineChars="196"/>
        <w:rPr>
          <w:b/>
          <w:sz w:val="28"/>
          <w:szCs w:val="28"/>
        </w:rPr>
      </w:pPr>
      <w:r>
        <w:rPr>
          <w:rFonts w:hint="eastAsia"/>
          <w:b/>
          <w:sz w:val="28"/>
          <w:szCs w:val="28"/>
        </w:rPr>
        <w:t>一、培训对象</w:t>
      </w:r>
    </w:p>
    <w:p>
      <w:pPr>
        <w:spacing w:line="360" w:lineRule="auto"/>
        <w:ind w:firstLine="548" w:firstLineChars="196"/>
        <w:rPr>
          <w:b/>
          <w:sz w:val="28"/>
          <w:szCs w:val="28"/>
        </w:rPr>
      </w:pPr>
      <w:r>
        <w:rPr>
          <w:rFonts w:hint="eastAsia"/>
          <w:sz w:val="28"/>
          <w:szCs w:val="28"/>
        </w:rPr>
        <w:t>集团过程安全团队成员，具体名单见附件1。</w:t>
      </w:r>
    </w:p>
    <w:p>
      <w:pPr>
        <w:spacing w:line="360" w:lineRule="auto"/>
        <w:ind w:firstLine="551" w:firstLineChars="196"/>
        <w:rPr>
          <w:b/>
          <w:sz w:val="28"/>
          <w:szCs w:val="28"/>
        </w:rPr>
      </w:pPr>
      <w:r>
        <w:rPr>
          <w:rFonts w:hint="eastAsia"/>
          <w:b/>
          <w:sz w:val="28"/>
          <w:szCs w:val="28"/>
        </w:rPr>
        <w:t>二、培训日期</w:t>
      </w:r>
    </w:p>
    <w:p>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安排在4月20-23日（周二</w:t>
      </w:r>
      <w:r>
        <w:rPr>
          <w:rFonts w:hint="eastAsia" w:ascii="华文新魏" w:hAnsi="Times New Roman" w:eastAsia="华文新魏" w:cs="Times New Roman"/>
          <w:sz w:val="28"/>
          <w:szCs w:val="28"/>
        </w:rPr>
        <w:t>‾</w:t>
      </w:r>
      <w:r>
        <w:rPr>
          <w:rFonts w:hint="eastAsia" w:ascii="Times New Roman" w:hAnsi="Times New Roman" w:cs="Times New Roman"/>
          <w:sz w:val="28"/>
          <w:szCs w:val="28"/>
        </w:rPr>
        <w:t>周五），共四天。</w:t>
      </w:r>
    </w:p>
    <w:p>
      <w:pPr>
        <w:spacing w:line="360" w:lineRule="auto"/>
        <w:ind w:firstLine="551" w:firstLineChars="196"/>
        <w:rPr>
          <w:b/>
          <w:sz w:val="28"/>
          <w:szCs w:val="28"/>
        </w:rPr>
      </w:pPr>
      <w:r>
        <w:rPr>
          <w:rFonts w:hint="eastAsia"/>
          <w:b/>
          <w:sz w:val="28"/>
          <w:szCs w:val="28"/>
        </w:rPr>
        <w:t>三、培训地点</w:t>
      </w:r>
    </w:p>
    <w:p>
      <w:pPr>
        <w:spacing w:line="360" w:lineRule="auto"/>
        <w:ind w:firstLine="548" w:firstLineChars="196"/>
        <w:rPr>
          <w:b/>
          <w:sz w:val="28"/>
          <w:szCs w:val="28"/>
        </w:rPr>
      </w:pPr>
      <w:r>
        <w:rPr>
          <w:rFonts w:hint="eastAsia" w:ascii="Times New Roman" w:hAnsi="Times New Roman" w:cs="Times New Roman"/>
          <w:sz w:val="28"/>
          <w:szCs w:val="28"/>
        </w:rPr>
        <w:t>漕溪路165号（华谊集团党校）18楼报告厅</w:t>
      </w:r>
    </w:p>
    <w:p>
      <w:pPr>
        <w:spacing w:line="360" w:lineRule="auto"/>
        <w:ind w:firstLine="562" w:firstLineChars="200"/>
        <w:rPr>
          <w:b/>
          <w:sz w:val="28"/>
          <w:szCs w:val="28"/>
        </w:rPr>
      </w:pPr>
      <w:r>
        <w:rPr>
          <w:rFonts w:hint="eastAsia"/>
          <w:b/>
          <w:sz w:val="28"/>
          <w:szCs w:val="28"/>
        </w:rPr>
        <w:t>四、其他</w:t>
      </w:r>
    </w:p>
    <w:p>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1、培训时间：每天上午8:45分开始签到，9:00分正式上课，下午16:00分下课。</w:t>
      </w:r>
    </w:p>
    <w:p>
      <w:pPr>
        <w:spacing w:line="360" w:lineRule="auto"/>
        <w:ind w:firstLine="548" w:firstLineChars="196"/>
        <w:rPr>
          <w:rFonts w:ascii="Times New Roman" w:cs="Times New Roman"/>
          <w:sz w:val="28"/>
          <w:szCs w:val="28"/>
        </w:rPr>
      </w:pPr>
      <w:r>
        <w:rPr>
          <w:rFonts w:hint="eastAsia" w:ascii="Times New Roman" w:cs="Times New Roman"/>
          <w:sz w:val="28"/>
          <w:szCs w:val="28"/>
        </w:rPr>
        <w:t>2、联系人：集团安环中心 王依璐 18918701129；</w:t>
      </w:r>
    </w:p>
    <w:p>
      <w:pPr>
        <w:spacing w:line="360" w:lineRule="auto"/>
        <w:ind w:firstLine="2228" w:firstLineChars="796"/>
        <w:rPr>
          <w:b/>
          <w:sz w:val="28"/>
          <w:szCs w:val="28"/>
        </w:rPr>
      </w:pPr>
      <w:r>
        <w:rPr>
          <w:rFonts w:hint="eastAsia" w:ascii="Times New Roman" w:cs="Times New Roman"/>
          <w:sz w:val="28"/>
          <w:szCs w:val="28"/>
        </w:rPr>
        <w:t>华谊党校    胡  洪 18918709715。</w:t>
      </w:r>
    </w:p>
    <w:p>
      <w:pPr>
        <w:spacing w:line="360" w:lineRule="auto"/>
        <w:jc w:val="left"/>
        <w:rPr>
          <w:sz w:val="28"/>
          <w:szCs w:val="28"/>
        </w:rPr>
      </w:pPr>
      <w:r>
        <w:rPr>
          <w:sz w:val="28"/>
          <w:szCs w:val="28"/>
        </w:rPr>
        <w:t>附件</w:t>
      </w:r>
      <w:r>
        <w:rPr>
          <w:rFonts w:hint="eastAsia"/>
          <w:sz w:val="28"/>
          <w:szCs w:val="28"/>
        </w:rPr>
        <w:t>：1、学员名单     2、课程安排     3、讲师介绍</w:t>
      </w:r>
    </w:p>
    <w:p>
      <w:pPr>
        <w:spacing w:line="360" w:lineRule="auto"/>
        <w:ind w:firstLine="560" w:firstLineChars="200"/>
        <w:jc w:val="right"/>
        <w:rPr>
          <w:sz w:val="28"/>
        </w:rPr>
      </w:pPr>
    </w:p>
    <w:p>
      <w:pPr>
        <w:spacing w:line="540" w:lineRule="exact"/>
        <w:ind w:firstLine="560" w:firstLineChars="200"/>
        <w:jc w:val="right"/>
        <w:rPr>
          <w:sz w:val="28"/>
        </w:rPr>
      </w:pPr>
    </w:p>
    <w:p>
      <w:pPr>
        <w:spacing w:line="540" w:lineRule="exact"/>
        <w:ind w:firstLine="560" w:firstLineChars="200"/>
        <w:jc w:val="right"/>
        <w:rPr>
          <w:sz w:val="28"/>
        </w:rPr>
      </w:pPr>
    </w:p>
    <w:p>
      <w:pPr>
        <w:spacing w:line="360" w:lineRule="auto"/>
        <w:ind w:firstLine="4900" w:firstLineChars="1750"/>
        <w:jc w:val="right"/>
        <w:rPr>
          <w:sz w:val="28"/>
          <w:szCs w:val="28"/>
        </w:rPr>
      </w:pPr>
      <w:r>
        <w:rPr>
          <w:rFonts w:hint="eastAsia"/>
          <w:sz w:val="28"/>
          <w:szCs w:val="28"/>
        </w:rPr>
        <w:t>上海华谊（集团）公司                              上海华谊（集团）公司党校</w:t>
      </w:r>
    </w:p>
    <w:p>
      <w:pPr>
        <w:spacing w:line="360" w:lineRule="auto"/>
        <w:ind w:firstLine="4900" w:firstLineChars="1750"/>
        <w:jc w:val="right"/>
        <w:rPr>
          <w:sz w:val="28"/>
          <w:szCs w:val="28"/>
        </w:rPr>
      </w:pPr>
      <w:r>
        <w:rPr>
          <w:rFonts w:ascii="Times New Roman" w:hAnsi="Times New Roman" w:cs="Times New Roman"/>
          <w:sz w:val="28"/>
          <w:szCs w:val="28"/>
        </w:rPr>
        <w:t>20</w:t>
      </w:r>
      <w:r>
        <w:rPr>
          <w:rFonts w:hint="eastAsia" w:ascii="Times New Roman" w:hAnsi="Times New Roman" w:cs="Times New Roman"/>
          <w:sz w:val="28"/>
          <w:szCs w:val="28"/>
        </w:rPr>
        <w:t>20</w:t>
      </w:r>
      <w:r>
        <w:rPr>
          <w:rFonts w:ascii="Times New Roman" w:hAnsi="Times New Roman" w:cs="Times New Roman"/>
          <w:sz w:val="28"/>
          <w:szCs w:val="28"/>
        </w:rPr>
        <w:t>年</w:t>
      </w:r>
      <w:r>
        <w:rPr>
          <w:rFonts w:hint="eastAsia" w:ascii="Times New Roman" w:hAnsi="Times New Roman" w:cs="Times New Roman"/>
          <w:sz w:val="28"/>
          <w:szCs w:val="28"/>
        </w:rPr>
        <w:t>4</w:t>
      </w:r>
      <w:r>
        <w:rPr>
          <w:rFonts w:ascii="Times New Roman" w:hAnsi="Times New Roman" w:cs="Times New Roman"/>
          <w:sz w:val="28"/>
          <w:szCs w:val="28"/>
        </w:rPr>
        <w:t>月6日</w:t>
      </w:r>
    </w:p>
    <w:p>
      <w:pPr>
        <w:widowControl/>
        <w:jc w:val="left"/>
        <w:rPr>
          <w:rFonts w:ascii="Times New Roman" w:hAnsi="Times New Roman" w:eastAsia="宋体" w:cs="Times New Roman"/>
          <w:b/>
          <w:color w:val="000000"/>
          <w:kern w:val="0"/>
          <w:sz w:val="22"/>
          <w:lang w:val="en-GB"/>
        </w:rPr>
      </w:pPr>
      <w:r>
        <w:rPr>
          <w:rFonts w:ascii="Times New Roman" w:hAnsi="Times New Roman" w:eastAsia="宋体" w:cs="Times New Roman"/>
          <w:b/>
          <w:color w:val="000000"/>
          <w:kern w:val="0"/>
          <w:sz w:val="22"/>
          <w:lang w:val="en-GB"/>
        </w:rPr>
        <w:br w:type="page"/>
      </w:r>
      <w:r>
        <w:rPr>
          <w:rFonts w:hint="eastAsia" w:ascii="Times New Roman" w:hAnsi="Times New Roman" w:eastAsia="宋体" w:cs="Times New Roman"/>
          <w:b/>
          <w:color w:val="000000"/>
          <w:kern w:val="0"/>
          <w:sz w:val="22"/>
          <w:lang w:val="en-GB"/>
        </w:rPr>
        <w:t>附件1</w:t>
      </w:r>
    </w:p>
    <w:p>
      <w:pPr>
        <w:widowControl/>
        <w:autoSpaceDE w:val="0"/>
        <w:autoSpaceDN w:val="0"/>
        <w:adjustRightInd w:val="0"/>
        <w:spacing w:line="360" w:lineRule="auto"/>
        <w:jc w:val="center"/>
        <w:rPr>
          <w:rFonts w:ascii="Times New Roman" w:hAnsi="Times New Roman" w:eastAsia="宋体" w:cs="Times New Roman"/>
          <w:b/>
          <w:color w:val="000000"/>
          <w:kern w:val="0"/>
          <w:sz w:val="32"/>
          <w:szCs w:val="32"/>
          <w:lang w:val="en-GB"/>
        </w:rPr>
      </w:pPr>
      <w:r>
        <w:rPr>
          <w:rFonts w:hint="eastAsia" w:ascii="Times New Roman" w:hAnsi="Times New Roman" w:eastAsia="宋体" w:cs="Times New Roman"/>
          <w:b/>
          <w:color w:val="000000"/>
          <w:kern w:val="0"/>
          <w:sz w:val="32"/>
          <w:szCs w:val="32"/>
          <w:lang w:val="en-GB"/>
        </w:rPr>
        <w:t>集团过程安全管理系列培训人员名单</w:t>
      </w:r>
    </w:p>
    <w:tbl>
      <w:tblPr>
        <w:tblStyle w:val="7"/>
        <w:tblW w:w="10480" w:type="dxa"/>
        <w:jc w:val="center"/>
        <w:tblLayout w:type="autofit"/>
        <w:tblCellMar>
          <w:top w:w="0" w:type="dxa"/>
          <w:left w:w="108" w:type="dxa"/>
          <w:bottom w:w="0" w:type="dxa"/>
          <w:right w:w="108" w:type="dxa"/>
        </w:tblCellMar>
      </w:tblPr>
      <w:tblGrid>
        <w:gridCol w:w="880"/>
        <w:gridCol w:w="1900"/>
        <w:gridCol w:w="1423"/>
        <w:gridCol w:w="997"/>
        <w:gridCol w:w="1900"/>
        <w:gridCol w:w="1660"/>
        <w:gridCol w:w="1720"/>
      </w:tblGrid>
      <w:tr>
        <w:tblPrEx>
          <w:tblCellMar>
            <w:top w:w="0" w:type="dxa"/>
            <w:left w:w="108" w:type="dxa"/>
            <w:bottom w:w="0" w:type="dxa"/>
            <w:right w:w="108" w:type="dxa"/>
          </w:tblCellMar>
        </w:tblPrEx>
        <w:trPr>
          <w:trHeight w:val="600" w:hRule="atLeast"/>
          <w:jc w:val="center"/>
        </w:trPr>
        <w:tc>
          <w:tcPr>
            <w:tcW w:w="8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序号</w:t>
            </w:r>
          </w:p>
        </w:tc>
        <w:tc>
          <w:tcPr>
            <w:tcW w:w="19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二级公司</w:t>
            </w:r>
          </w:p>
        </w:tc>
        <w:tc>
          <w:tcPr>
            <w:tcW w:w="142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单位名称</w:t>
            </w:r>
          </w:p>
        </w:tc>
        <w:tc>
          <w:tcPr>
            <w:tcW w:w="99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姓名</w:t>
            </w:r>
          </w:p>
        </w:tc>
        <w:tc>
          <w:tcPr>
            <w:tcW w:w="19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学校/专业</w:t>
            </w:r>
          </w:p>
        </w:tc>
        <w:tc>
          <w:tcPr>
            <w:tcW w:w="16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岗位与职务</w:t>
            </w:r>
          </w:p>
        </w:tc>
        <w:tc>
          <w:tcPr>
            <w:tcW w:w="172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手</w:t>
            </w:r>
            <w:r>
              <w:rPr>
                <w:rFonts w:ascii="Times New Roman" w:hAnsi="Times New Roman" w:eastAsia="宋体" w:cs="Times New Roman"/>
                <w:b/>
                <w:bCs/>
                <w:color w:val="000000"/>
                <w:kern w:val="0"/>
                <w:sz w:val="24"/>
                <w:szCs w:val="24"/>
              </w:rPr>
              <w:t xml:space="preserve"> </w:t>
            </w:r>
            <w:r>
              <w:rPr>
                <w:rFonts w:hint="eastAsia" w:ascii="宋体" w:hAnsi="宋体" w:eastAsia="宋体" w:cs="宋体"/>
                <w:b/>
                <w:bCs/>
                <w:color w:val="000000"/>
                <w:kern w:val="0"/>
                <w:sz w:val="24"/>
                <w:szCs w:val="24"/>
              </w:rPr>
              <w:t>机</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上海华谊能源化工有限公司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生产管理部</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张  臻</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上海应用技术学院/化学工程与工艺专业</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精益生产专员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13764123873</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上海华谊能源化工有限公司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安全环保部</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蒋振军</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上海化学工业学校/电气</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安全环保         主管工程师</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13501789278</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3</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上海华谊能源化工有限公司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安徽华谊化工有限公司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程镇华</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安徽工业大学/化学工程与工艺</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工艺工程师</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18155369802</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4</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上海华谊能源化工有限公司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安徽华谊化工有限公司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赵  杰</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芜湖职业技术学院/精细化工</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HSE工程师</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18155369810</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5</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上海华谊能源化工有限公司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安徽华谊化工有限公司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李  磊</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安徽工业大学/ 测控技术</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仪表设备管理</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18155369871</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6</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上海氯碱化工股份有限公司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氯碱公司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计文忠</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华东理工大学/化学工程与工艺</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生产管理部/主管助理</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13651949513</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7</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上海氯碱化工股份有限公司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氯碱公司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周泽敏</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南京工业大学/安全工程</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安全环保部/安全主管</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13681929332</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8</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上海氯碱化工股份有限公司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氯碱公司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俞昉</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上海化工高等专科学校/有机化工</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生产管理部/工艺副总工程师</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18930488976</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9</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上海氯碱化工股份有限公司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氯碱公司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管东强</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四川大学/精细化工</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烧碱装置/工艺主任工程师</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18964304959</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10</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上海氯碱化工股份有限公司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氯碱公司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邱小文</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青岛科技大学/过程装备与控制工程</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EDC装置/副装置长</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15900960975</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bookmarkStart w:id="1" w:name="_GoBack" w:colFirst="3" w:colLast="3"/>
            <w:r>
              <w:rPr>
                <w:rFonts w:hint="eastAsia" w:ascii="宋体" w:hAnsi="宋体" w:eastAsia="宋体" w:cs="宋体"/>
                <w:kern w:val="0"/>
                <w:sz w:val="20"/>
                <w:szCs w:val="20"/>
              </w:rPr>
              <w:t>11</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highlight w:val="yellow"/>
              </w:rPr>
            </w:pPr>
            <w:r>
              <w:rPr>
                <w:rFonts w:hint="eastAsia" w:ascii="宋体" w:hAnsi="宋体" w:eastAsia="宋体" w:cs="宋体"/>
                <w:color w:val="000000"/>
                <w:kern w:val="0"/>
                <w:sz w:val="20"/>
                <w:szCs w:val="20"/>
                <w:highlight w:val="yellow"/>
              </w:rPr>
              <w:t>李骏</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上海大学/化学工程与工艺</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高级工艺技术员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13681841116</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12</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highlight w:val="yellow"/>
              </w:rPr>
            </w:pPr>
            <w:r>
              <w:rPr>
                <w:rFonts w:hint="eastAsia" w:ascii="宋体" w:hAnsi="宋体" w:eastAsia="宋体" w:cs="宋体"/>
                <w:color w:val="000000"/>
                <w:kern w:val="0"/>
                <w:sz w:val="20"/>
                <w:szCs w:val="20"/>
                <w:highlight w:val="yellow"/>
              </w:rPr>
              <w:t>陆嘉豪</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南京农业大学/应用化学</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工艺技术员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15821628113</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13</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highlight w:val="yellow"/>
              </w:rPr>
            </w:pPr>
            <w:r>
              <w:rPr>
                <w:rFonts w:hint="eastAsia" w:ascii="宋体" w:hAnsi="宋体" w:eastAsia="宋体" w:cs="宋体"/>
                <w:color w:val="000000"/>
                <w:kern w:val="0"/>
                <w:sz w:val="20"/>
                <w:szCs w:val="20"/>
                <w:highlight w:val="yellow"/>
              </w:rPr>
              <w:t>赵晨兴</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华东理工大学过程装备与控制工程</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生产管理部经理助理（设备）</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13601989712</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14</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highlight w:val="yellow"/>
              </w:rPr>
            </w:pPr>
            <w:r>
              <w:rPr>
                <w:rFonts w:hint="eastAsia" w:ascii="宋体" w:hAnsi="宋体" w:eastAsia="宋体" w:cs="宋体"/>
                <w:color w:val="000000"/>
                <w:kern w:val="0"/>
                <w:sz w:val="20"/>
                <w:szCs w:val="20"/>
                <w:highlight w:val="yellow"/>
              </w:rPr>
              <w:t>李文会</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山东大学自动化</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仪表技术员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13585662465</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15</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上海华谊新材料有限公司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highlight w:val="yellow"/>
              </w:rPr>
            </w:pPr>
            <w:r>
              <w:rPr>
                <w:rFonts w:hint="eastAsia" w:ascii="宋体" w:hAnsi="宋体" w:eastAsia="宋体" w:cs="宋体"/>
                <w:color w:val="000000"/>
                <w:kern w:val="0"/>
                <w:sz w:val="20"/>
                <w:szCs w:val="20"/>
                <w:highlight w:val="yellow"/>
              </w:rPr>
              <w:t>柴钢</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华东理工大学</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化学工程与工艺</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安全管理员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13764545271</w:t>
            </w:r>
          </w:p>
        </w:tc>
      </w:tr>
      <w:bookmarkEnd w:id="1"/>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16</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上海三爱富</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常熟中昊</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 xml:space="preserve">周冠华 </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常熟理工学院/材料科学与工程</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工艺主管</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18051531085</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17</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上海三爱富</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常熟三爱富</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郑渝佳</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常熟理工学院</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技术部主管</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19951397029</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18</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上海三爱富</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常熟振氟</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窦晓飞</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苏州大学文正学院/机械电子工程</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技术部职员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13812808509</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19</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上海三爱富</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常熟新材料</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吴桐</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常熟理工学院/高分子材料</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工艺员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18051441970</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20</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上海三爱富</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常熟三爱富</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邵怡</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常熟理工/安全工程在读</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F113安全员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17768096702</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21</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精化公司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试四</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梁俊龙</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华东理工大学/应用化学(精细化工)</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生技部主管</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18512160519</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22</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精化公司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试四</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王欢</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中国石油大学（华东）/过程装备与控制工程</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设备主管</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18217609978</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23</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精化公司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华谊涂料</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姚  伟</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上海信息技术学校/电子信息技术</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仪表专员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13774321968</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24</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精化公司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华谊涂料</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张殿平</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四川省江油中学</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现场安全员</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13621684883</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25</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上海天原（集团）有限公司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上海树脂厂有限公司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王振</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中国矿业大学/安全工程专业</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安环生产部HSE主管</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18516571526</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26</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上海天原（集团）有限公司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上海树脂厂有限公司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高晟弢</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武汉理工大学/化学工程与工艺</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质量技术部工艺主管</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13611697021</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27</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上海天原（集团）有限公司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上海华谊天原化工物流有限公司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曹雨生</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上海化专/化工工艺</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工艺工程师/设备工艺部副经理</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13641794295</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28</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上海天原（集团）有限公司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上海华谊天原化工物流有限公司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傅迅</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吴泾化工厂技校/仪表</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仪表工程师/设备工艺部设备管理</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13917261525</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29</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上海天原（集团）有限公司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上海华谊天原化工物流有限公司</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李晓蕾</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安徽师范大学/物流管理、法学</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安环部HSE管理</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18356596283</w:t>
            </w:r>
          </w:p>
        </w:tc>
      </w:tr>
      <w:tr>
        <w:tblPrEx>
          <w:tblCellMar>
            <w:top w:w="0" w:type="dxa"/>
            <w:left w:w="108" w:type="dxa"/>
            <w:bottom w:w="0" w:type="dxa"/>
            <w:right w:w="108" w:type="dxa"/>
          </w:tblCellMar>
        </w:tblPrEx>
        <w:trPr>
          <w:trHeight w:val="600" w:hRule="atLeast"/>
          <w:jc w:val="center"/>
        </w:trPr>
        <w:tc>
          <w:tcPr>
            <w:tcW w:w="880"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30</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投资公司</w:t>
            </w:r>
          </w:p>
        </w:tc>
        <w:tc>
          <w:tcPr>
            <w:tcW w:w="1423"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华谊树脂</w:t>
            </w:r>
          </w:p>
        </w:tc>
        <w:tc>
          <w:tcPr>
            <w:tcW w:w="997"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彭凯成</w:t>
            </w:r>
          </w:p>
        </w:tc>
        <w:tc>
          <w:tcPr>
            <w:tcW w:w="190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华东理工大学/化学工程与工艺</w:t>
            </w:r>
          </w:p>
        </w:tc>
        <w:tc>
          <w:tcPr>
            <w:tcW w:w="166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安环质量部主管</w:t>
            </w:r>
          </w:p>
        </w:tc>
        <w:tc>
          <w:tcPr>
            <w:tcW w:w="172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15021279724</w:t>
            </w:r>
          </w:p>
        </w:tc>
      </w:tr>
      <w:tr>
        <w:tblPrEx>
          <w:tblCellMar>
            <w:top w:w="0" w:type="dxa"/>
            <w:left w:w="108" w:type="dxa"/>
            <w:bottom w:w="0" w:type="dxa"/>
            <w:right w:w="108" w:type="dxa"/>
          </w:tblCellMar>
        </w:tblPrEx>
        <w:trPr>
          <w:trHeight w:val="600" w:hRule="atLeast"/>
          <w:jc w:val="center"/>
        </w:trPr>
        <w:tc>
          <w:tcPr>
            <w:tcW w:w="880"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31</w:t>
            </w:r>
          </w:p>
        </w:tc>
        <w:tc>
          <w:tcPr>
            <w:tcW w:w="1900"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双钱轮胎集团有限公司</w:t>
            </w:r>
          </w:p>
        </w:tc>
        <w:tc>
          <w:tcPr>
            <w:tcW w:w="1423"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安全运营部</w:t>
            </w:r>
          </w:p>
        </w:tc>
        <w:tc>
          <w:tcPr>
            <w:tcW w:w="997"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俞春华</w:t>
            </w:r>
          </w:p>
        </w:tc>
        <w:tc>
          <w:tcPr>
            <w:tcW w:w="1900"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西安交通大学/工商管理</w:t>
            </w:r>
          </w:p>
        </w:tc>
        <w:tc>
          <w:tcPr>
            <w:tcW w:w="1660" w:type="dxa"/>
            <w:tcBorders>
              <w:top w:val="single" w:color="auto" w:sz="4" w:space="0"/>
              <w:left w:val="nil"/>
              <w:bottom w:val="single" w:color="auto" w:sz="4" w:space="0"/>
              <w:right w:val="single" w:color="auto" w:sz="4" w:space="0"/>
            </w:tcBorders>
            <w:shd w:val="clear" w:color="000000" w:fill="FFFFFF"/>
            <w:vAlign w:val="center"/>
          </w:tcPr>
          <w:p>
            <w:pPr>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副总监</w:t>
            </w:r>
          </w:p>
        </w:tc>
        <w:tc>
          <w:tcPr>
            <w:tcW w:w="1720" w:type="dxa"/>
            <w:tcBorders>
              <w:top w:val="single" w:color="auto" w:sz="4" w:space="0"/>
              <w:left w:val="nil"/>
              <w:bottom w:val="single" w:color="auto" w:sz="4" w:space="0"/>
              <w:right w:val="single" w:color="auto" w:sz="4" w:space="0"/>
            </w:tcBorders>
            <w:shd w:val="clear" w:color="000000" w:fill="FFFFFF"/>
            <w:vAlign w:val="center"/>
          </w:tcPr>
          <w:p>
            <w:pPr>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15950828803</w:t>
            </w:r>
          </w:p>
        </w:tc>
      </w:tr>
      <w:tr>
        <w:tblPrEx>
          <w:tblCellMar>
            <w:top w:w="0" w:type="dxa"/>
            <w:left w:w="108" w:type="dxa"/>
            <w:bottom w:w="0" w:type="dxa"/>
            <w:right w:w="108" w:type="dxa"/>
          </w:tblCellMar>
        </w:tblPrEx>
        <w:trPr>
          <w:trHeight w:val="600" w:hRule="atLeast"/>
          <w:jc w:val="center"/>
        </w:trPr>
        <w:tc>
          <w:tcPr>
            <w:tcW w:w="880"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32</w:t>
            </w:r>
          </w:p>
        </w:tc>
        <w:tc>
          <w:tcPr>
            <w:tcW w:w="1900"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双钱轮胎集团有限公司</w:t>
            </w:r>
          </w:p>
        </w:tc>
        <w:tc>
          <w:tcPr>
            <w:tcW w:w="1423"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安全运营部</w:t>
            </w:r>
          </w:p>
        </w:tc>
        <w:tc>
          <w:tcPr>
            <w:tcW w:w="997"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章顺久</w:t>
            </w:r>
          </w:p>
        </w:tc>
        <w:tc>
          <w:tcPr>
            <w:tcW w:w="1900"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上海应用技术大学/橡塑机械</w:t>
            </w:r>
          </w:p>
        </w:tc>
        <w:tc>
          <w:tcPr>
            <w:tcW w:w="1660" w:type="dxa"/>
            <w:tcBorders>
              <w:top w:val="single" w:color="auto" w:sz="4" w:space="0"/>
              <w:left w:val="nil"/>
              <w:bottom w:val="single" w:color="auto" w:sz="4" w:space="0"/>
              <w:right w:val="single" w:color="auto" w:sz="4" w:space="0"/>
            </w:tcBorders>
            <w:shd w:val="clear" w:color="000000" w:fill="FFFFFF"/>
            <w:vAlign w:val="center"/>
          </w:tcPr>
          <w:p>
            <w:pPr>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副部长（主持）</w:t>
            </w:r>
          </w:p>
        </w:tc>
        <w:tc>
          <w:tcPr>
            <w:tcW w:w="1720" w:type="dxa"/>
            <w:tcBorders>
              <w:top w:val="single" w:color="auto" w:sz="4" w:space="0"/>
              <w:left w:val="nil"/>
              <w:bottom w:val="single" w:color="auto" w:sz="4" w:space="0"/>
              <w:right w:val="single" w:color="auto" w:sz="4" w:space="0"/>
            </w:tcBorders>
            <w:shd w:val="clear" w:color="000000" w:fill="FFFFFF"/>
            <w:vAlign w:val="center"/>
          </w:tcPr>
          <w:p>
            <w:pPr>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18862762008</w:t>
            </w:r>
          </w:p>
        </w:tc>
      </w:tr>
    </w:tbl>
    <w:p>
      <w:pPr>
        <w:widowControl/>
        <w:jc w:val="left"/>
        <w:rPr>
          <w:rFonts w:cs="Times New Roman" w:asciiTheme="minorEastAsia" w:hAnsiTheme="minorEastAsia"/>
          <w:b/>
          <w:kern w:val="0"/>
          <w:sz w:val="20"/>
          <w:szCs w:val="20"/>
        </w:rPr>
      </w:pPr>
      <w:r>
        <w:rPr>
          <w:rFonts w:cs="Times New Roman" w:asciiTheme="minorEastAsia" w:hAnsiTheme="minorEastAsia"/>
          <w:b/>
          <w:kern w:val="0"/>
          <w:sz w:val="20"/>
          <w:szCs w:val="20"/>
        </w:rPr>
        <w:br w:type="page"/>
      </w:r>
    </w:p>
    <w:p>
      <w:pPr>
        <w:widowControl/>
        <w:autoSpaceDE w:val="0"/>
        <w:autoSpaceDN w:val="0"/>
        <w:adjustRightInd w:val="0"/>
        <w:spacing w:line="360" w:lineRule="auto"/>
        <w:jc w:val="left"/>
        <w:rPr>
          <w:rFonts w:ascii="Times New Roman" w:hAnsi="Times New Roman" w:eastAsia="宋体" w:cs="Times New Roman"/>
          <w:b/>
          <w:color w:val="000000"/>
          <w:kern w:val="0"/>
          <w:sz w:val="22"/>
          <w:lang w:val="en-GB"/>
        </w:rPr>
      </w:pPr>
      <w:r>
        <w:rPr>
          <w:rFonts w:hint="eastAsia" w:ascii="Times New Roman" w:hAnsi="Times New Roman" w:eastAsia="宋体" w:cs="Times New Roman"/>
          <w:b/>
          <w:color w:val="000000"/>
          <w:kern w:val="0"/>
          <w:sz w:val="22"/>
          <w:lang w:val="en-GB"/>
        </w:rPr>
        <w:t>附件2</w:t>
      </w:r>
    </w:p>
    <w:p>
      <w:pPr>
        <w:autoSpaceDE w:val="0"/>
        <w:autoSpaceDN w:val="0"/>
        <w:adjustRightInd w:val="0"/>
        <w:jc w:val="center"/>
        <w:rPr>
          <w:rFonts w:ascii="宋体" w:hAnsi="Calibri" w:cs="宋体"/>
          <w:b/>
          <w:color w:val="000000"/>
          <w:sz w:val="23"/>
          <w:szCs w:val="23"/>
        </w:rPr>
      </w:pPr>
      <w:r>
        <w:rPr>
          <w:rFonts w:hint="eastAsia" w:ascii="宋体" w:hAnsi="Calibri" w:cs="宋体"/>
          <w:b/>
          <w:color w:val="000000"/>
          <w:sz w:val="23"/>
          <w:szCs w:val="23"/>
        </w:rPr>
        <w:t>培训课程内容大纲</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42"/>
        <w:gridCol w:w="2977"/>
        <w:gridCol w:w="43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2" w:type="dxa"/>
          </w:tcPr>
          <w:p>
            <w:pPr>
              <w:snapToGrid w:val="0"/>
              <w:spacing w:before="120" w:beforeLines="50"/>
              <w:jc w:val="center"/>
              <w:rPr>
                <w:rFonts w:asciiTheme="majorEastAsia" w:hAnsiTheme="majorEastAsia" w:eastAsiaTheme="majorEastAsia"/>
              </w:rPr>
            </w:pPr>
            <w:r>
              <w:rPr>
                <w:rFonts w:hint="eastAsia" w:asciiTheme="majorEastAsia" w:hAnsiTheme="majorEastAsia" w:eastAsiaTheme="majorEastAsia"/>
              </w:rPr>
              <w:t>时间</w:t>
            </w:r>
          </w:p>
        </w:tc>
        <w:tc>
          <w:tcPr>
            <w:tcW w:w="2977" w:type="dxa"/>
          </w:tcPr>
          <w:p>
            <w:pPr>
              <w:snapToGrid w:val="0"/>
              <w:spacing w:before="120" w:beforeLines="50"/>
              <w:jc w:val="center"/>
              <w:rPr>
                <w:rFonts w:asciiTheme="majorEastAsia" w:hAnsiTheme="majorEastAsia" w:eastAsiaTheme="majorEastAsia"/>
              </w:rPr>
            </w:pPr>
            <w:r>
              <w:rPr>
                <w:rFonts w:hint="eastAsia" w:asciiTheme="majorEastAsia" w:hAnsiTheme="majorEastAsia" w:eastAsiaTheme="majorEastAsia"/>
              </w:rPr>
              <w:t>主题</w:t>
            </w:r>
          </w:p>
        </w:tc>
        <w:tc>
          <w:tcPr>
            <w:tcW w:w="4303" w:type="dxa"/>
          </w:tcPr>
          <w:p>
            <w:pPr>
              <w:snapToGrid w:val="0"/>
              <w:spacing w:before="120" w:beforeLines="50"/>
              <w:jc w:val="center"/>
              <w:rPr>
                <w:rFonts w:asciiTheme="majorEastAsia" w:hAnsiTheme="majorEastAsia" w:eastAsiaTheme="majorEastAsia"/>
              </w:rPr>
            </w:pPr>
            <w:r>
              <w:rPr>
                <w:rFonts w:hint="eastAsia" w:asciiTheme="majorEastAsia" w:hAnsiTheme="majorEastAsia" w:eastAsiaTheme="majorEastAsia"/>
              </w:rPr>
              <w:t>主要内容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2" w:type="dxa"/>
          </w:tcPr>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4月20日</w:t>
            </w:r>
          </w:p>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9：00-16：00</w:t>
            </w:r>
          </w:p>
        </w:tc>
        <w:tc>
          <w:tcPr>
            <w:tcW w:w="2977" w:type="dxa"/>
          </w:tcPr>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双重预防机制建设</w:t>
            </w:r>
          </w:p>
        </w:tc>
        <w:tc>
          <w:tcPr>
            <w:tcW w:w="4303" w:type="dxa"/>
          </w:tcPr>
          <w:p>
            <w:pPr>
              <w:pStyle w:val="18"/>
              <w:numPr>
                <w:ilvl w:val="0"/>
                <w:numId w:val="1"/>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事故形成路径与预防策略</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安全管理的基础与核心：风险管控</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实效安全管理体系等五大模块</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事故三角模型在风险识别中的运用</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公司管理层在安全管理中所担当的责任</w:t>
            </w:r>
          </w:p>
          <w:p>
            <w:pPr>
              <w:pStyle w:val="18"/>
              <w:numPr>
                <w:ilvl w:val="0"/>
                <w:numId w:val="1"/>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危险因素认知与识别技巧</w:t>
            </w:r>
          </w:p>
          <w:p>
            <w:pPr>
              <w:pStyle w:val="18"/>
              <w:numPr>
                <w:ilvl w:val="0"/>
                <w:numId w:val="3"/>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风险识别与隐患排查的关系</w:t>
            </w:r>
          </w:p>
          <w:p>
            <w:pPr>
              <w:pStyle w:val="18"/>
              <w:numPr>
                <w:ilvl w:val="0"/>
                <w:numId w:val="3"/>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隐患排查属于"事中管理"！</w:t>
            </w:r>
          </w:p>
          <w:p>
            <w:pPr>
              <w:pStyle w:val="18"/>
              <w:numPr>
                <w:ilvl w:val="0"/>
                <w:numId w:val="3"/>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危险因素（危险源）识别技巧</w:t>
            </w:r>
          </w:p>
          <w:p>
            <w:pPr>
              <w:pStyle w:val="18"/>
              <w:numPr>
                <w:ilvl w:val="0"/>
                <w:numId w:val="3"/>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危险因素与危险源的定义</w:t>
            </w:r>
          </w:p>
          <w:p>
            <w:pPr>
              <w:pStyle w:val="18"/>
              <w:numPr>
                <w:ilvl w:val="0"/>
                <w:numId w:val="3"/>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危险因素（源）的五种表现形式</w:t>
            </w:r>
          </w:p>
          <w:p>
            <w:pPr>
              <w:pStyle w:val="18"/>
              <w:numPr>
                <w:ilvl w:val="0"/>
                <w:numId w:val="3"/>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避免危险因素（源）识别缺失的基本技巧</w:t>
            </w:r>
          </w:p>
          <w:p>
            <w:pPr>
              <w:pStyle w:val="18"/>
              <w:numPr>
                <w:ilvl w:val="0"/>
                <w:numId w:val="3"/>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演练：基于危险作业模块的风险识别</w:t>
            </w:r>
          </w:p>
          <w:p>
            <w:pPr>
              <w:pStyle w:val="18"/>
              <w:numPr>
                <w:ilvl w:val="0"/>
                <w:numId w:val="3"/>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危险因素（源）识别中常见的四大误区</w:t>
            </w:r>
          </w:p>
          <w:p>
            <w:pPr>
              <w:pStyle w:val="18"/>
              <w:numPr>
                <w:ilvl w:val="0"/>
                <w:numId w:val="3"/>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危险因素（源）的正向、逆向识别方法</w:t>
            </w:r>
          </w:p>
          <w:p>
            <w:pPr>
              <w:pStyle w:val="18"/>
              <w:numPr>
                <w:ilvl w:val="0"/>
                <w:numId w:val="1"/>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风险评估与分级管控技巧</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风险评估的必要性</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常见风险评估方法</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"固有风险"与"现状风险"的认知</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风险分级的意义</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风险评估与管控分级</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用"固有风险"确定管控分级，用"现状风险"确定管控措施的强度</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对策制定的四个阶段</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风险管控措施的有效性与依据</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制定对策中合理运用法律法规及标准规范</w:t>
            </w:r>
          </w:p>
          <w:p>
            <w:pPr>
              <w:pStyle w:val="18"/>
              <w:numPr>
                <w:ilvl w:val="0"/>
                <w:numId w:val="4"/>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对策措施描述的五大基本原则</w:t>
            </w:r>
          </w:p>
          <w:p>
            <w:pPr>
              <w:spacing w:before="120" w:beforeLines="50" w:after="120" w:afterLines="50" w:line="276" w:lineRule="auto"/>
              <w:rPr>
                <w:rFonts w:asciiTheme="minorEastAsia" w:hAnsiTheme="minorEastAsia"/>
                <w:b/>
                <w:color w:val="000000" w:themeColor="text1"/>
                <w:szCs w:val="20"/>
                <w14:textFill>
                  <w14:solidFill>
                    <w14:schemeClr w14:val="tx1"/>
                  </w14:solidFill>
                </w14:textFill>
              </w:rPr>
            </w:pPr>
            <w:r>
              <w:rPr>
                <w:rFonts w:hint="eastAsia" w:asciiTheme="minorEastAsia" w:hAnsiTheme="minorEastAsia"/>
                <w:b/>
                <w:color w:val="000000" w:themeColor="text1"/>
                <w:szCs w:val="20"/>
                <w14:textFill>
                  <w14:solidFill>
                    <w14:schemeClr w14:val="tx1"/>
                  </w14:solidFill>
                </w14:textFill>
              </w:rPr>
              <w:t>实践与演练</w:t>
            </w:r>
          </w:p>
          <w:p>
            <w:pPr>
              <w:pStyle w:val="18"/>
              <w:numPr>
                <w:ilvl w:val="0"/>
                <w:numId w:val="5"/>
              </w:numPr>
              <w:spacing w:line="360" w:lineRule="auto"/>
              <w:ind w:left="871" w:leftChars="213" w:hanging="424" w:hangingChars="202"/>
              <w:rPr>
                <w:rFonts w:ascii="宋体" w:hAnsi="宋体" w:eastAsia="宋体"/>
                <w:szCs w:val="20"/>
              </w:rPr>
            </w:pPr>
            <w:r>
              <w:rPr>
                <w:rFonts w:hint="eastAsia" w:ascii="宋体" w:hAnsi="宋体" w:eastAsia="宋体"/>
                <w:szCs w:val="20"/>
              </w:rPr>
              <w:t>风险分级管控基准确定</w:t>
            </w:r>
          </w:p>
          <w:p>
            <w:pPr>
              <w:pStyle w:val="18"/>
              <w:numPr>
                <w:ilvl w:val="0"/>
                <w:numId w:val="5"/>
              </w:numPr>
              <w:spacing w:line="360" w:lineRule="auto"/>
              <w:ind w:left="871" w:leftChars="213" w:hanging="424" w:hangingChars="202"/>
              <w:rPr>
                <w:rFonts w:ascii="宋体" w:hAnsi="宋体" w:eastAsia="宋体"/>
                <w:szCs w:val="20"/>
              </w:rPr>
            </w:pPr>
            <w:r>
              <w:rPr>
                <w:rFonts w:hint="eastAsia" w:ascii="宋体" w:hAnsi="宋体" w:eastAsia="宋体"/>
                <w:szCs w:val="20"/>
              </w:rPr>
              <w:t>选择两个作业岗位及承租场所</w:t>
            </w:r>
          </w:p>
          <w:p>
            <w:pPr>
              <w:pStyle w:val="18"/>
              <w:numPr>
                <w:ilvl w:val="0"/>
                <w:numId w:val="5"/>
              </w:numPr>
              <w:spacing w:line="360" w:lineRule="auto"/>
              <w:ind w:left="871" w:leftChars="213" w:hanging="424" w:hangingChars="202"/>
              <w:rPr>
                <w:rFonts w:ascii="宋体" w:hAnsi="宋体" w:eastAsia="宋体"/>
                <w:szCs w:val="20"/>
              </w:rPr>
            </w:pPr>
            <w:r>
              <w:rPr>
                <w:rFonts w:hint="eastAsia" w:ascii="宋体" w:hAnsi="宋体" w:eastAsia="宋体"/>
                <w:szCs w:val="20"/>
              </w:rPr>
              <w:t>划分风险单元（风险点）</w:t>
            </w:r>
          </w:p>
          <w:p>
            <w:pPr>
              <w:pStyle w:val="18"/>
              <w:numPr>
                <w:ilvl w:val="0"/>
                <w:numId w:val="5"/>
              </w:numPr>
              <w:spacing w:line="360" w:lineRule="auto"/>
              <w:ind w:left="871" w:leftChars="213" w:hanging="424" w:hangingChars="202"/>
              <w:rPr>
                <w:rFonts w:ascii="宋体" w:hAnsi="宋体" w:eastAsia="宋体"/>
                <w:szCs w:val="20"/>
              </w:rPr>
            </w:pPr>
            <w:r>
              <w:rPr>
                <w:rFonts w:hint="eastAsia" w:ascii="宋体" w:hAnsi="宋体" w:eastAsia="宋体"/>
                <w:szCs w:val="20"/>
              </w:rPr>
              <w:t>根据风险单元开展风险评估与控制措施制定</w:t>
            </w:r>
          </w:p>
          <w:p>
            <w:pPr>
              <w:snapToGrid w:val="0"/>
              <w:spacing w:before="120" w:beforeLines="50"/>
              <w:jc w:val="left"/>
              <w:rPr>
                <w:rFonts w:asciiTheme="majorEastAsia" w:hAnsiTheme="majorEastAsia" w:eastAsiaTheme="maj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2" w:type="dxa"/>
          </w:tcPr>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4月21日</w:t>
            </w:r>
          </w:p>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9：00-16：00</w:t>
            </w:r>
          </w:p>
        </w:tc>
        <w:tc>
          <w:tcPr>
            <w:tcW w:w="2977" w:type="dxa"/>
          </w:tcPr>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双重预防机制建设</w:t>
            </w:r>
          </w:p>
        </w:tc>
        <w:tc>
          <w:tcPr>
            <w:tcW w:w="4303" w:type="dxa"/>
          </w:tcPr>
          <w:p>
            <w:pPr>
              <w:pStyle w:val="18"/>
              <w:numPr>
                <w:ilvl w:val="0"/>
                <w:numId w:val="1"/>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风险系统管理的技巧</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基于风险识别制定作业指导书的必要性</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作业指导书编制过程中的"四要"、"四不要"</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作业指导书编制中的误区与应对</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工厂安全目视化的必要性</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基于合规要求打造可视化现场</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让管理者高效督导现场的目视化打造</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安全标识制作排序要求</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一目了然的风险地图制作技巧</w:t>
            </w:r>
          </w:p>
          <w:p>
            <w:pPr>
              <w:pStyle w:val="18"/>
              <w:numPr>
                <w:ilvl w:val="0"/>
                <w:numId w:val="1"/>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基于风险分级管控实施隐患排查治理工作</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隐患的定义</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安全五大基本检查</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管理者检查的定向稽核清单</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安全检查表编制依据</w:t>
            </w:r>
          </w:p>
          <w:p>
            <w:pPr>
              <w:pStyle w:val="18"/>
              <w:numPr>
                <w:ilvl w:val="0"/>
                <w:numId w:val="2"/>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安全检查实施流程</w:t>
            </w:r>
          </w:p>
          <w:p>
            <w:pPr>
              <w:spacing w:before="120" w:beforeLines="50" w:after="120" w:afterLines="50" w:line="276" w:lineRule="auto"/>
              <w:rPr>
                <w:rFonts w:asciiTheme="minorEastAsia" w:hAnsiTheme="minorEastAsia"/>
                <w:b/>
                <w:color w:val="000000" w:themeColor="text1"/>
                <w:szCs w:val="20"/>
                <w14:textFill>
                  <w14:solidFill>
                    <w14:schemeClr w14:val="tx1"/>
                  </w14:solidFill>
                </w14:textFill>
              </w:rPr>
            </w:pPr>
            <w:r>
              <w:rPr>
                <w:rFonts w:hint="eastAsia" w:asciiTheme="minorEastAsia" w:hAnsiTheme="minorEastAsia"/>
                <w:b/>
                <w:color w:val="000000" w:themeColor="text1"/>
                <w:szCs w:val="20"/>
                <w14:textFill>
                  <w14:solidFill>
                    <w14:schemeClr w14:val="tx1"/>
                  </w14:solidFill>
                </w14:textFill>
              </w:rPr>
              <w:t>实践与演练</w:t>
            </w:r>
          </w:p>
          <w:p>
            <w:pPr>
              <w:pStyle w:val="18"/>
              <w:numPr>
                <w:ilvl w:val="0"/>
                <w:numId w:val="6"/>
              </w:numPr>
              <w:spacing w:line="360" w:lineRule="auto"/>
              <w:ind w:left="851" w:hanging="425" w:firstLineChars="0"/>
              <w:rPr>
                <w:rFonts w:ascii="宋体" w:hAnsi="宋体" w:eastAsia="宋体"/>
                <w:szCs w:val="20"/>
              </w:rPr>
            </w:pPr>
            <w:r>
              <w:rPr>
                <w:rFonts w:hint="eastAsia" w:ascii="宋体" w:hAnsi="宋体" w:eastAsia="宋体"/>
                <w:szCs w:val="20"/>
              </w:rPr>
              <w:t>较大危险因素告知卡设置</w:t>
            </w:r>
          </w:p>
          <w:p>
            <w:pPr>
              <w:pStyle w:val="18"/>
              <w:numPr>
                <w:ilvl w:val="0"/>
                <w:numId w:val="6"/>
              </w:numPr>
              <w:spacing w:line="360" w:lineRule="auto"/>
              <w:ind w:left="851" w:hanging="425" w:firstLineChars="0"/>
              <w:rPr>
                <w:rFonts w:ascii="宋体" w:hAnsi="宋体" w:eastAsia="宋体"/>
                <w:szCs w:val="20"/>
              </w:rPr>
            </w:pPr>
            <w:r>
              <w:rPr>
                <w:rFonts w:hint="eastAsia" w:ascii="宋体" w:hAnsi="宋体" w:eastAsia="宋体"/>
                <w:szCs w:val="20"/>
              </w:rPr>
              <w:t>专项检查表编制</w:t>
            </w:r>
          </w:p>
          <w:p>
            <w:pPr>
              <w:pStyle w:val="18"/>
              <w:numPr>
                <w:ilvl w:val="0"/>
                <w:numId w:val="6"/>
              </w:numPr>
              <w:spacing w:line="360" w:lineRule="auto"/>
              <w:ind w:left="851" w:hanging="425" w:firstLineChars="0"/>
              <w:rPr>
                <w:rFonts w:ascii="宋体" w:hAnsi="宋体" w:eastAsia="宋体"/>
                <w:szCs w:val="20"/>
              </w:rPr>
            </w:pPr>
            <w:r>
              <w:rPr>
                <w:rFonts w:hint="eastAsia" w:ascii="宋体" w:hAnsi="宋体" w:eastAsia="宋体"/>
                <w:szCs w:val="20"/>
              </w:rPr>
              <w:t>日常检查表编制</w:t>
            </w:r>
          </w:p>
          <w:p>
            <w:pPr>
              <w:pStyle w:val="18"/>
              <w:numPr>
                <w:ilvl w:val="0"/>
                <w:numId w:val="6"/>
              </w:numPr>
              <w:spacing w:line="360" w:lineRule="auto"/>
              <w:ind w:left="851" w:hanging="425" w:firstLineChars="0"/>
              <w:rPr>
                <w:rFonts w:ascii="宋体" w:hAnsi="宋体" w:eastAsia="宋体"/>
                <w:szCs w:val="20"/>
              </w:rPr>
            </w:pPr>
            <w:r>
              <w:rPr>
                <w:rFonts w:hint="eastAsia" w:ascii="宋体" w:hAnsi="宋体" w:eastAsia="宋体"/>
                <w:szCs w:val="20"/>
              </w:rPr>
              <w:t>综合检查表编制</w:t>
            </w:r>
          </w:p>
          <w:p>
            <w:pPr>
              <w:pStyle w:val="18"/>
              <w:numPr>
                <w:ilvl w:val="0"/>
                <w:numId w:val="6"/>
              </w:numPr>
              <w:spacing w:line="360" w:lineRule="auto"/>
              <w:ind w:left="851" w:hanging="425" w:firstLineChars="0"/>
              <w:rPr>
                <w:rFonts w:ascii="宋体" w:hAnsi="宋体" w:eastAsia="宋体"/>
                <w:szCs w:val="20"/>
              </w:rPr>
            </w:pPr>
            <w:r>
              <w:rPr>
                <w:rFonts w:hint="eastAsia" w:ascii="宋体" w:hAnsi="宋体" w:eastAsia="宋体"/>
                <w:szCs w:val="20"/>
              </w:rPr>
              <w:t>岗位作业规程编制演练</w:t>
            </w:r>
          </w:p>
          <w:p>
            <w:pPr>
              <w:snapToGrid w:val="0"/>
              <w:spacing w:before="120" w:beforeLines="50"/>
              <w:jc w:val="left"/>
              <w:rPr>
                <w:rFonts w:asciiTheme="majorEastAsia" w:hAnsiTheme="majorEastAsia" w:eastAsiaTheme="maj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2" w:type="dxa"/>
          </w:tcPr>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4月22日</w:t>
            </w:r>
          </w:p>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9：00-16：00</w:t>
            </w:r>
          </w:p>
        </w:tc>
        <w:tc>
          <w:tcPr>
            <w:tcW w:w="2977" w:type="dxa"/>
          </w:tcPr>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开车前安全审查（PSSR）</w:t>
            </w:r>
          </w:p>
        </w:tc>
        <w:tc>
          <w:tcPr>
            <w:tcW w:w="4303" w:type="dxa"/>
          </w:tcPr>
          <w:p>
            <w:pPr>
              <w:pStyle w:val="18"/>
              <w:numPr>
                <w:ilvl w:val="0"/>
                <w:numId w:val="7"/>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PSSR的意义（重要性）</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PSSR是什么</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为什么要做PSSR</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国内相关法律法规的要求和解读</w:t>
            </w:r>
          </w:p>
          <w:p>
            <w:pPr>
              <w:pStyle w:val="18"/>
              <w:numPr>
                <w:ilvl w:val="0"/>
                <w:numId w:val="7"/>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企业执行PSSR的难点</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对PSSR理解的误区</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缺少技术能力、实施时间紧张</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工作量大，形式主义</w:t>
            </w:r>
          </w:p>
          <w:p>
            <w:pPr>
              <w:pStyle w:val="18"/>
              <w:numPr>
                <w:ilvl w:val="0"/>
                <w:numId w:val="7"/>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真实PSSR相关事故案例解读和启示（BP德克萨斯事故）</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事故回顾（视频）</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事故原因分析</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事故启示</w:t>
            </w:r>
          </w:p>
          <w:p>
            <w:pPr>
              <w:pStyle w:val="18"/>
              <w:numPr>
                <w:ilvl w:val="0"/>
                <w:numId w:val="7"/>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PSSR工作步骤</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准备工作</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实施过程</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形成报告并落实整改</w:t>
            </w:r>
          </w:p>
          <w:p>
            <w:pPr>
              <w:pStyle w:val="18"/>
              <w:numPr>
                <w:ilvl w:val="0"/>
                <w:numId w:val="7"/>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PSSR执行的要点与最佳实践</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如何制定合理的PSSR工作计划</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如何制作PSSR具体的检查表</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如何确保PSSR工作质量</w:t>
            </w:r>
          </w:p>
          <w:p>
            <w:pPr>
              <w:pStyle w:val="18"/>
              <w:numPr>
                <w:ilvl w:val="0"/>
                <w:numId w:val="7"/>
              </w:numPr>
              <w:snapToGrid w:val="0"/>
              <w:spacing w:before="120" w:beforeLines="50"/>
              <w:ind w:firstLineChars="0"/>
              <w:jc w:val="left"/>
              <w:rPr>
                <w:rFonts w:asciiTheme="majorEastAsia" w:hAnsiTheme="majorEastAsia" w:eastAsiaTheme="majorEastAsia"/>
              </w:rPr>
            </w:pPr>
            <w:r>
              <w:rPr>
                <w:rFonts w:hint="eastAsia" w:asciiTheme="majorEastAsia" w:hAnsiTheme="majorEastAsia" w:eastAsiaTheme="majorEastAsia"/>
              </w:rPr>
              <w:t>课堂练习</w:t>
            </w:r>
          </w:p>
          <w:p>
            <w:pPr>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rPr>
              <w:tab/>
            </w:r>
            <w:r>
              <w:rPr>
                <w:rFonts w:hint="eastAsia" w:asciiTheme="majorEastAsia" w:hAnsiTheme="majorEastAsia" w:eastAsiaTheme="majorEastAsia"/>
              </w:rPr>
              <w:t>每个组制作1个专业检查表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42" w:type="dxa"/>
          </w:tcPr>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4月23日</w:t>
            </w:r>
          </w:p>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9：00-16：00</w:t>
            </w:r>
          </w:p>
        </w:tc>
        <w:tc>
          <w:tcPr>
            <w:tcW w:w="2977" w:type="dxa"/>
          </w:tcPr>
          <w:p>
            <w:pPr>
              <w:snapToGrid w:val="0"/>
              <w:spacing w:before="120" w:beforeLines="50"/>
              <w:jc w:val="left"/>
              <w:rPr>
                <w:rFonts w:asciiTheme="majorEastAsia" w:hAnsiTheme="majorEastAsia" w:eastAsiaTheme="majorEastAsia"/>
              </w:rPr>
            </w:pPr>
            <w:r>
              <w:rPr>
                <w:rFonts w:hint="eastAsia" w:asciiTheme="majorEastAsia" w:hAnsiTheme="majorEastAsia" w:eastAsiaTheme="majorEastAsia"/>
              </w:rPr>
              <w:t>事故事件管理</w:t>
            </w:r>
          </w:p>
        </w:tc>
        <w:tc>
          <w:tcPr>
            <w:tcW w:w="4303" w:type="dxa"/>
          </w:tcPr>
          <w:p>
            <w:pPr>
              <w:pStyle w:val="18"/>
              <w:snapToGrid w:val="0"/>
              <w:spacing w:before="120" w:beforeLines="50"/>
              <w:ind w:left="-2" w:leftChars="-1" w:firstLine="16" w:firstLineChars="8"/>
              <w:jc w:val="left"/>
              <w:rPr>
                <w:rFonts w:asciiTheme="majorEastAsia" w:hAnsiTheme="majorEastAsia" w:eastAsiaTheme="majorEastAsia"/>
              </w:rPr>
            </w:pPr>
            <w:r>
              <w:rPr>
                <w:rFonts w:hint="eastAsia"/>
              </w:rPr>
              <w:t>1</w:t>
            </w:r>
            <w:r>
              <w:rPr>
                <w:rFonts w:hint="eastAsia" w:asciiTheme="majorEastAsia" w:hAnsiTheme="majorEastAsia" w:eastAsiaTheme="majorEastAsia"/>
              </w:rPr>
              <w:t>、事故调查重要性认识 事故的定义和基本特征</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事故管理的法规依据</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事故调查在体系中的要求</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OHSAS45001-2018 </w:t>
            </w:r>
            <w:r>
              <w:rPr>
                <w:rFonts w:hint="eastAsia" w:asciiTheme="majorEastAsia" w:hAnsiTheme="majorEastAsia" w:eastAsiaTheme="majorEastAsia"/>
              </w:rPr>
              <w:t>框架内容对事故调查的要求</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安全标准化的要求</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2、事故分类和损失计算模型</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现代安全管理的十大理念</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我国法定事故分类回顾</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跨国公司同行事故的等级分类解释事故损失计算模型</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案列：某企业事故案列分析</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3、事故的致因理论与学习</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典型的事故致因理论解读</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蝴蝶结</w:t>
            </w:r>
            <w:r>
              <w:rPr>
                <w:rFonts w:asciiTheme="majorEastAsia" w:hAnsiTheme="majorEastAsia" w:eastAsiaTheme="majorEastAsia"/>
              </w:rPr>
              <w:t xml:space="preserve"> BOW-Tie </w:t>
            </w:r>
            <w:r>
              <w:rPr>
                <w:rFonts w:hint="eastAsia" w:asciiTheme="majorEastAsia" w:hAnsiTheme="majorEastAsia" w:eastAsiaTheme="majorEastAsia"/>
              </w:rPr>
              <w:t>事故模型</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导致事故的危险因数解读</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4、事故调查和根本原因分析</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事故调查的目的</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事故调查的十个步骤与练习（重点讲解）</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初始响应</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初步报告</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成立调查组</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确定事实</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确定关键因数</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确定需要加强的系统</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纠正和预防措施</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最终报告批准</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沟通调查结果</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跟踪和完成建议</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 案例练习</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5、常用的事故调查方法和适用情景介绍</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5WHY-Tree</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鱼骨图使用</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FTA-</w:t>
            </w:r>
            <w:r>
              <w:rPr>
                <w:rFonts w:hint="eastAsia" w:asciiTheme="majorEastAsia" w:hAnsiTheme="majorEastAsia" w:eastAsiaTheme="majorEastAsia"/>
              </w:rPr>
              <w:t>事故致因理论</w:t>
            </w:r>
            <w:r>
              <w:rPr>
                <w:rFonts w:asciiTheme="majorEastAsia" w:hAnsiTheme="majorEastAsia" w:eastAsiaTheme="majorEastAsia"/>
              </w:rPr>
              <w:t xml:space="preserve"> </w:t>
            </w:r>
            <w:r>
              <w:rPr>
                <w:rFonts w:hint="eastAsia" w:asciiTheme="majorEastAsia" w:hAnsiTheme="majorEastAsia" w:eastAsiaTheme="majorEastAsia"/>
              </w:rPr>
              <w:t>大量案列和练习</w:t>
            </w:r>
          </w:p>
          <w:p>
            <w:pPr>
              <w:pStyle w:val="18"/>
              <w:snapToGrid w:val="0"/>
              <w:spacing w:before="120" w:beforeLines="50"/>
              <w:ind w:left="-2" w:leftChars="-1" w:firstLine="16" w:firstLineChars="8"/>
              <w:jc w:val="left"/>
              <w:rPr>
                <w:rFonts w:asciiTheme="majorEastAsia" w:hAnsiTheme="majorEastAsia" w:eastAsiaTheme="majorEastAsia"/>
              </w:rPr>
            </w:pPr>
            <w:r>
              <w:rPr>
                <w:rFonts w:hint="eastAsia" w:asciiTheme="majorEastAsia" w:hAnsiTheme="majorEastAsia" w:eastAsiaTheme="majorEastAsia"/>
              </w:rPr>
              <w:t>6、调查报告及优秀报告解读与讲解和常用表格使用要求</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事故事件报告</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事故事件登记表</w:t>
            </w:r>
            <w:r>
              <w:rPr>
                <w:rFonts w:asciiTheme="majorEastAsia" w:hAnsiTheme="majorEastAsia" w:eastAsiaTheme="majorEastAsia"/>
              </w:rPr>
              <w:t xml:space="preserve"> SIP</w:t>
            </w:r>
            <w:r>
              <w:rPr>
                <w:rFonts w:hint="eastAsia" w:asciiTheme="majorEastAsia" w:hAnsiTheme="majorEastAsia" w:eastAsiaTheme="majorEastAsia"/>
              </w:rPr>
              <w:t>（潜在导致严重伤害事故的虚惊事件或急救工伤的分类和报告）</w:t>
            </w:r>
          </w:p>
          <w:p>
            <w:pPr>
              <w:pStyle w:val="18"/>
              <w:snapToGrid w:val="0"/>
              <w:spacing w:before="120" w:beforeLines="50"/>
              <w:ind w:left="-2" w:leftChars="-1" w:firstLine="16" w:firstLineChars="8"/>
              <w:jc w:val="left"/>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安全生产管理台账</w:t>
            </w:r>
          </w:p>
          <w:p>
            <w:pPr>
              <w:snapToGrid w:val="0"/>
              <w:spacing w:before="120" w:beforeLines="50"/>
              <w:jc w:val="left"/>
              <w:rPr>
                <w:rFonts w:asciiTheme="majorEastAsia" w:hAnsiTheme="majorEastAsia" w:eastAsiaTheme="majorEastAsia"/>
              </w:rPr>
            </w:pPr>
          </w:p>
        </w:tc>
      </w:tr>
    </w:tbl>
    <w:p>
      <w:pPr>
        <w:widowControl/>
        <w:autoSpaceDE w:val="0"/>
        <w:autoSpaceDN w:val="0"/>
        <w:adjustRightInd w:val="0"/>
        <w:spacing w:line="360" w:lineRule="auto"/>
        <w:jc w:val="left"/>
        <w:rPr>
          <w:rFonts w:ascii="Times New Roman" w:hAnsi="Times New Roman" w:eastAsia="宋体" w:cs="Times New Roman"/>
          <w:b/>
          <w:color w:val="000000"/>
          <w:kern w:val="0"/>
          <w:sz w:val="22"/>
          <w:lang w:val="en-GB"/>
        </w:rPr>
      </w:pPr>
    </w:p>
    <w:p>
      <w:pPr>
        <w:widowControl/>
        <w:jc w:val="left"/>
        <w:rPr>
          <w:rFonts w:ascii="Times New Roman" w:hAnsi="Times New Roman" w:eastAsia="宋体" w:cs="Times New Roman"/>
          <w:b/>
          <w:color w:val="000000"/>
          <w:kern w:val="0"/>
          <w:sz w:val="22"/>
          <w:lang w:val="en-GB"/>
        </w:rPr>
      </w:pPr>
      <w:r>
        <w:rPr>
          <w:rFonts w:ascii="Times New Roman" w:hAnsi="Times New Roman" w:eastAsia="宋体" w:cs="Times New Roman"/>
          <w:b/>
          <w:color w:val="000000"/>
          <w:kern w:val="0"/>
          <w:sz w:val="22"/>
          <w:lang w:val="en-GB"/>
        </w:rPr>
        <w:br w:type="page"/>
      </w:r>
    </w:p>
    <w:p>
      <w:pPr>
        <w:spacing w:line="360" w:lineRule="auto"/>
        <w:rPr>
          <w:rFonts w:asciiTheme="minorEastAsia" w:hAnsiTheme="minorEastAsia"/>
          <w:b/>
          <w:sz w:val="24"/>
        </w:rPr>
      </w:pPr>
      <w:r>
        <w:rPr>
          <w:rFonts w:hint="eastAsia" w:asciiTheme="minorEastAsia" w:hAnsiTheme="minorEastAsia"/>
          <w:b/>
          <w:sz w:val="24"/>
        </w:rPr>
        <w:t>附件3</w:t>
      </w:r>
    </w:p>
    <w:p>
      <w:pPr>
        <w:spacing w:line="360" w:lineRule="auto"/>
        <w:rPr>
          <w:rFonts w:asciiTheme="minorEastAsia" w:hAnsiTheme="minorEastAsia"/>
          <w:b/>
          <w:sz w:val="24"/>
        </w:rPr>
      </w:pPr>
      <w:r>
        <w:rPr>
          <w:rFonts w:hint="eastAsia" w:asciiTheme="minorEastAsia" w:hAnsiTheme="minorEastAsia"/>
          <w:b/>
          <w:sz w:val="24"/>
        </w:rPr>
        <w:t>双重预防机制建设</w:t>
      </w:r>
      <w:r>
        <w:rPr>
          <w:rFonts w:asciiTheme="minorEastAsia" w:hAnsiTheme="minorEastAsia"/>
          <w:b/>
          <w:sz w:val="24"/>
        </w:rPr>
        <w:t xml:space="preserve">  陈</w:t>
      </w:r>
      <w:r>
        <w:rPr>
          <w:rFonts w:hint="eastAsia" w:asciiTheme="minorEastAsia" w:hAnsiTheme="minorEastAsia"/>
          <w:b/>
          <w:sz w:val="24"/>
        </w:rPr>
        <w:t>秀明</w:t>
      </w:r>
    </w:p>
    <w:p>
      <w:pPr>
        <w:spacing w:line="360" w:lineRule="auto"/>
        <w:ind w:firstLine="482" w:firstLineChars="201"/>
        <w:rPr>
          <w:rFonts w:asciiTheme="minorEastAsia" w:hAnsiTheme="minorEastAsia"/>
          <w:sz w:val="24"/>
        </w:rPr>
      </w:pPr>
      <w:r>
        <w:rPr>
          <w:rFonts w:hint="eastAsia" w:asciiTheme="minorEastAsia" w:hAnsiTheme="minorEastAsia"/>
          <w:sz w:val="24"/>
        </w:rPr>
        <w:t>陈老师</w:t>
      </w:r>
      <w:r>
        <w:rPr>
          <w:rFonts w:asciiTheme="minorEastAsia" w:hAnsiTheme="minorEastAsia"/>
          <w:sz w:val="24"/>
        </w:rPr>
        <w:t>曾就职于三星、APP</w:t>
      </w:r>
      <w:r>
        <w:rPr>
          <w:rFonts w:hint="eastAsia" w:asciiTheme="minorEastAsia" w:hAnsiTheme="minorEastAsia"/>
          <w:sz w:val="24"/>
        </w:rPr>
        <w:t>、金龙客车</w:t>
      </w:r>
      <w:r>
        <w:rPr>
          <w:rFonts w:asciiTheme="minorEastAsia" w:hAnsiTheme="minorEastAsia"/>
          <w:sz w:val="24"/>
        </w:rPr>
        <w:t>等</w:t>
      </w:r>
      <w:r>
        <w:rPr>
          <w:rFonts w:hint="eastAsia" w:asciiTheme="minorEastAsia" w:hAnsiTheme="minorEastAsia"/>
          <w:sz w:val="24"/>
        </w:rPr>
        <w:t>知名企业，长期从事精益生产与安全工作，并多次赴日本交流、研修。</w:t>
      </w:r>
      <w:r>
        <w:rPr>
          <w:rFonts w:asciiTheme="minorEastAsia" w:hAnsiTheme="minorEastAsia"/>
          <w:sz w:val="24"/>
        </w:rPr>
        <w:t>在企业工作</w:t>
      </w:r>
      <w:r>
        <w:rPr>
          <w:rFonts w:hint="eastAsia" w:asciiTheme="minorEastAsia" w:hAnsiTheme="minorEastAsia"/>
          <w:sz w:val="24"/>
        </w:rPr>
        <w:t>期间</w:t>
      </w:r>
      <w:r>
        <w:rPr>
          <w:rFonts w:asciiTheme="minorEastAsia" w:hAnsiTheme="minorEastAsia"/>
          <w:sz w:val="24"/>
        </w:rPr>
        <w:t>，多次参与班组标准化建设、精益生产导入、风险指标管理</w:t>
      </w:r>
      <w:r>
        <w:rPr>
          <w:rFonts w:hint="eastAsia" w:asciiTheme="minorEastAsia" w:hAnsiTheme="minorEastAsia"/>
          <w:sz w:val="24"/>
        </w:rPr>
        <w:t>、EHS体系建设等重大项目</w:t>
      </w:r>
      <w:r>
        <w:rPr>
          <w:rFonts w:asciiTheme="minorEastAsia" w:hAnsiTheme="minorEastAsia"/>
          <w:sz w:val="24"/>
        </w:rPr>
        <w:t>，</w:t>
      </w:r>
      <w:r>
        <w:rPr>
          <w:rFonts w:hint="eastAsia" w:asciiTheme="minorEastAsia" w:hAnsiTheme="minorEastAsia"/>
          <w:sz w:val="24"/>
        </w:rPr>
        <w:t>并</w:t>
      </w:r>
      <w:r>
        <w:rPr>
          <w:rFonts w:asciiTheme="minorEastAsia" w:hAnsiTheme="minorEastAsia"/>
          <w:sz w:val="24"/>
        </w:rPr>
        <w:t>参加类似AON等知名跨国保险经纪公司的安全交流及风险指标管理活动</w:t>
      </w:r>
      <w:r>
        <w:rPr>
          <w:rFonts w:hint="eastAsia" w:asciiTheme="minorEastAsia" w:hAnsiTheme="minorEastAsia"/>
          <w:sz w:val="24"/>
        </w:rPr>
        <w:t>，</w:t>
      </w:r>
      <w:r>
        <w:rPr>
          <w:rFonts w:asciiTheme="minorEastAsia" w:hAnsiTheme="minorEastAsia"/>
          <w:sz w:val="24"/>
        </w:rPr>
        <w:t>积累了丰富的管理经验。</w:t>
      </w:r>
    </w:p>
    <w:p>
      <w:pPr>
        <w:spacing w:line="360" w:lineRule="auto"/>
        <w:ind w:firstLine="482" w:firstLineChars="201"/>
        <w:rPr>
          <w:rFonts w:asciiTheme="minorEastAsia" w:hAnsiTheme="minorEastAsia"/>
          <w:sz w:val="24"/>
        </w:rPr>
      </w:pPr>
      <w:r>
        <w:rPr>
          <w:rFonts w:asciiTheme="minorEastAsia" w:hAnsiTheme="minorEastAsia"/>
          <w:sz w:val="24"/>
        </w:rPr>
        <w:t>陈老师成功运作的咨询项目包括</w:t>
      </w:r>
      <w:r>
        <w:rPr>
          <w:rFonts w:hint="eastAsia" w:asciiTheme="minorEastAsia" w:hAnsiTheme="minorEastAsia"/>
          <w:sz w:val="24"/>
        </w:rPr>
        <w:t>双本质安全管理体系</w:t>
      </w:r>
      <w:r>
        <w:rPr>
          <w:rFonts w:asciiTheme="minorEastAsia" w:hAnsiTheme="minorEastAsia"/>
          <w:sz w:val="24"/>
        </w:rPr>
        <w:t>、</w:t>
      </w:r>
      <w:r>
        <w:rPr>
          <w:rFonts w:hint="eastAsia" w:asciiTheme="minorEastAsia" w:hAnsiTheme="minorEastAsia"/>
          <w:sz w:val="24"/>
        </w:rPr>
        <w:t>EHS培训体系构建、</w:t>
      </w:r>
      <w:r>
        <w:rPr>
          <w:rFonts w:asciiTheme="minorEastAsia" w:hAnsiTheme="minorEastAsia"/>
          <w:sz w:val="24"/>
        </w:rPr>
        <w:t>安全生产标准化</w:t>
      </w:r>
      <w:r>
        <w:rPr>
          <w:rFonts w:hint="eastAsia" w:asciiTheme="minorEastAsia" w:hAnsiTheme="minorEastAsia"/>
          <w:sz w:val="24"/>
        </w:rPr>
        <w:t>、职业健康安全管理及环境管理（EHS）</w:t>
      </w:r>
      <w:r>
        <w:rPr>
          <w:rFonts w:asciiTheme="minorEastAsia" w:hAnsiTheme="minorEastAsia"/>
          <w:sz w:val="24"/>
        </w:rPr>
        <w:t>体系、上锁挂牌</w:t>
      </w:r>
      <w:r>
        <w:rPr>
          <w:rFonts w:hint="eastAsia" w:asciiTheme="minorEastAsia" w:hAnsiTheme="minorEastAsia"/>
          <w:sz w:val="24"/>
        </w:rPr>
        <w:t>（LOTO）项目、施工安全管理标准化</w:t>
      </w:r>
      <w:r>
        <w:rPr>
          <w:rFonts w:asciiTheme="minorEastAsia" w:hAnsiTheme="minorEastAsia"/>
          <w:sz w:val="24"/>
        </w:rPr>
        <w:t>等</w:t>
      </w:r>
      <w:r>
        <w:rPr>
          <w:rFonts w:hint="eastAsia" w:asciiTheme="minorEastAsia" w:hAnsiTheme="minorEastAsia"/>
          <w:sz w:val="24"/>
        </w:rPr>
        <w:t>。</w:t>
      </w:r>
    </w:p>
    <w:p>
      <w:pPr>
        <w:spacing w:line="360" w:lineRule="auto"/>
        <w:rPr>
          <w:rFonts w:asciiTheme="minorEastAsia" w:hAnsiTheme="minorEastAsia"/>
          <w:b/>
          <w:sz w:val="24"/>
        </w:rPr>
      </w:pPr>
      <w:r>
        <w:rPr>
          <w:rFonts w:hint="eastAsia" w:asciiTheme="minorEastAsia" w:hAnsiTheme="minorEastAsia"/>
          <w:b/>
          <w:sz w:val="24"/>
        </w:rPr>
        <w:t>开车前安全审查（PSSR）</w:t>
      </w:r>
      <w:r>
        <w:rPr>
          <w:rFonts w:asciiTheme="majorEastAsia" w:hAnsiTheme="majorEastAsia" w:eastAsiaTheme="majorEastAsia"/>
        </w:rPr>
        <w:t xml:space="preserve"> </w:t>
      </w:r>
      <w:r>
        <w:rPr>
          <w:rFonts w:hint="eastAsia" w:asciiTheme="minorEastAsia" w:hAnsiTheme="minorEastAsia"/>
          <w:b/>
          <w:sz w:val="24"/>
        </w:rPr>
        <w:t>张弓</w:t>
      </w:r>
    </w:p>
    <w:p>
      <w:pPr>
        <w:spacing w:line="360" w:lineRule="auto"/>
        <w:ind w:firstLine="480" w:firstLineChars="200"/>
        <w:rPr>
          <w:rFonts w:asciiTheme="minorEastAsia" w:hAnsiTheme="minorEastAsia"/>
          <w:sz w:val="24"/>
        </w:rPr>
      </w:pPr>
      <w:r>
        <w:rPr>
          <w:rFonts w:hint="eastAsia" w:asciiTheme="minorEastAsia" w:hAnsiTheme="minorEastAsia"/>
          <w:sz w:val="24"/>
        </w:rPr>
        <w:t>毕业于哈尔滨工程大学（化学工程与工艺专业），主持过五十多套大型化工装置的HAZOP&amp;SIL分析工作，担任过程安全管理技术高级顾问。目前担任国家安监总局国际交流中心中欧过程安全管理项目特聘专家和中国石化HAZOP/SIL报告审查组专家。曾在中石化和英国石油（BP）及下属合资企业工艺安全主管，中石化上海石化公司担任生产运行主任等职务。担任应急管理部重点县检查组培训讲师，有TUV功能安全工程师证书，有中国自动化学会仪表与装置专业委员会讲师聘书。参加了《化工企业变更管理规范》等标准的起草工作。</w:t>
      </w:r>
    </w:p>
    <w:p>
      <w:pPr>
        <w:spacing w:line="360" w:lineRule="auto"/>
        <w:rPr>
          <w:rFonts w:asciiTheme="minorEastAsia" w:hAnsiTheme="minorEastAsia"/>
          <w:b/>
          <w:sz w:val="24"/>
        </w:rPr>
      </w:pPr>
      <w:r>
        <w:rPr>
          <w:rFonts w:hint="eastAsia" w:asciiTheme="minorEastAsia" w:hAnsiTheme="minorEastAsia"/>
          <w:b/>
          <w:sz w:val="24"/>
        </w:rPr>
        <w:t>事故事件管理</w:t>
      </w:r>
      <w:r>
        <w:rPr>
          <w:rFonts w:asciiTheme="minorEastAsia" w:hAnsiTheme="minorEastAsia"/>
          <w:b/>
          <w:sz w:val="24"/>
        </w:rPr>
        <w:t xml:space="preserve">  </w:t>
      </w:r>
      <w:r>
        <w:rPr>
          <w:rFonts w:hint="eastAsia" w:asciiTheme="minorEastAsia" w:hAnsiTheme="minorEastAsia"/>
          <w:b/>
          <w:sz w:val="24"/>
        </w:rPr>
        <w:t xml:space="preserve">郑玉霞  </w:t>
      </w:r>
    </w:p>
    <w:p>
      <w:pPr>
        <w:spacing w:line="360" w:lineRule="auto"/>
        <w:ind w:firstLine="482" w:firstLineChars="201"/>
        <w:rPr>
          <w:rFonts w:asciiTheme="minorEastAsia" w:hAnsiTheme="minorEastAsia"/>
          <w:sz w:val="24"/>
        </w:rPr>
      </w:pPr>
      <w:bookmarkStart w:id="0" w:name="OLE_LINK29"/>
      <w:bookmarkEnd w:id="0"/>
      <w:r>
        <w:rPr>
          <w:rFonts w:hint="eastAsia" w:asciiTheme="minorEastAsia" w:hAnsiTheme="minorEastAsia"/>
          <w:sz w:val="24"/>
        </w:rPr>
        <w:t>郑老师先后任职于杜邦、法雷奥、圣戈班、博世等，担任过质量主管、EHS主管、EHS经理、中国区EHS高级经理、高级EHS顾问等职。具有很丰富的企业管理策划和现场管理实务经验，擅长EHS管理体系建立和维护、多种EHS管理工具的培训和实施、EHS文化的建立、应急管理体系的搭建和维护、消防管理等方面的辅导与培训。</w:t>
      </w:r>
    </w:p>
    <w:p>
      <w:pPr>
        <w:autoSpaceDE w:val="0"/>
        <w:autoSpaceDN w:val="0"/>
        <w:adjustRightInd w:val="0"/>
        <w:jc w:val="center"/>
        <w:rPr>
          <w:rFonts w:ascii="宋体" w:hAnsi="Calibri" w:cs="宋体"/>
          <w:b/>
          <w:color w:val="000000"/>
          <w:sz w:val="23"/>
          <w:szCs w:val="23"/>
        </w:rPr>
      </w:pPr>
    </w:p>
    <w:sectPr>
      <w:footerReference r:id="rId3" w:type="default"/>
      <w:pgSz w:w="11906" w:h="16838"/>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3269536"/>
    </w:sdtPr>
    <w:sdtContent>
      <w:p>
        <w:pPr>
          <w:pStyle w:val="4"/>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B6795"/>
    <w:multiLevelType w:val="multilevel"/>
    <w:tmpl w:val="018B6795"/>
    <w:lvl w:ilvl="0" w:tentative="0">
      <w:start w:val="1"/>
      <w:numFmt w:val="lowerLetter"/>
      <w:lvlText w:val="%1)"/>
      <w:lvlJc w:val="left"/>
      <w:pPr>
        <w:ind w:left="168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65445C"/>
    <w:multiLevelType w:val="multilevel"/>
    <w:tmpl w:val="3B65445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8452CF"/>
    <w:multiLevelType w:val="multilevel"/>
    <w:tmpl w:val="5D8452CF"/>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0A370E9"/>
    <w:multiLevelType w:val="multilevel"/>
    <w:tmpl w:val="70A370E9"/>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3AB46EC"/>
    <w:multiLevelType w:val="multilevel"/>
    <w:tmpl w:val="73AB46EC"/>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844130D"/>
    <w:multiLevelType w:val="multilevel"/>
    <w:tmpl w:val="7844130D"/>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91320A4"/>
    <w:multiLevelType w:val="multilevel"/>
    <w:tmpl w:val="791320A4"/>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5"/>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DE"/>
    <w:rsid w:val="000128AF"/>
    <w:rsid w:val="00013634"/>
    <w:rsid w:val="00024BEA"/>
    <w:rsid w:val="00031978"/>
    <w:rsid w:val="0003779A"/>
    <w:rsid w:val="00037C12"/>
    <w:rsid w:val="000516BA"/>
    <w:rsid w:val="00051A54"/>
    <w:rsid w:val="000523CA"/>
    <w:rsid w:val="00054128"/>
    <w:rsid w:val="00060B0D"/>
    <w:rsid w:val="000650CF"/>
    <w:rsid w:val="00070DBC"/>
    <w:rsid w:val="00072FA3"/>
    <w:rsid w:val="0007512B"/>
    <w:rsid w:val="000774D8"/>
    <w:rsid w:val="0008393B"/>
    <w:rsid w:val="000B3B29"/>
    <w:rsid w:val="000B71AD"/>
    <w:rsid w:val="000C126B"/>
    <w:rsid w:val="000D4739"/>
    <w:rsid w:val="000D5B4C"/>
    <w:rsid w:val="000E2665"/>
    <w:rsid w:val="000E48C1"/>
    <w:rsid w:val="000F0AAB"/>
    <w:rsid w:val="000F4163"/>
    <w:rsid w:val="000F5409"/>
    <w:rsid w:val="00102806"/>
    <w:rsid w:val="00103036"/>
    <w:rsid w:val="0010435F"/>
    <w:rsid w:val="00104B66"/>
    <w:rsid w:val="0011350C"/>
    <w:rsid w:val="0011488F"/>
    <w:rsid w:val="00130AB6"/>
    <w:rsid w:val="00131A4A"/>
    <w:rsid w:val="00133A3C"/>
    <w:rsid w:val="0014590B"/>
    <w:rsid w:val="00152B20"/>
    <w:rsid w:val="0017600D"/>
    <w:rsid w:val="00177B6A"/>
    <w:rsid w:val="00177DC8"/>
    <w:rsid w:val="00183494"/>
    <w:rsid w:val="00183DCA"/>
    <w:rsid w:val="00196972"/>
    <w:rsid w:val="00197CE8"/>
    <w:rsid w:val="001A0C9B"/>
    <w:rsid w:val="001B055F"/>
    <w:rsid w:val="001B1657"/>
    <w:rsid w:val="001B3250"/>
    <w:rsid w:val="001C7F0C"/>
    <w:rsid w:val="001D0EFF"/>
    <w:rsid w:val="001D47B9"/>
    <w:rsid w:val="001D6DAC"/>
    <w:rsid w:val="001F3093"/>
    <w:rsid w:val="001F78A6"/>
    <w:rsid w:val="0020201C"/>
    <w:rsid w:val="002073DB"/>
    <w:rsid w:val="00210CA9"/>
    <w:rsid w:val="00212AB3"/>
    <w:rsid w:val="0021495E"/>
    <w:rsid w:val="0022107A"/>
    <w:rsid w:val="00222366"/>
    <w:rsid w:val="00231326"/>
    <w:rsid w:val="002356E4"/>
    <w:rsid w:val="00262CF6"/>
    <w:rsid w:val="00267778"/>
    <w:rsid w:val="002706D1"/>
    <w:rsid w:val="00270A96"/>
    <w:rsid w:val="002803A1"/>
    <w:rsid w:val="002837A9"/>
    <w:rsid w:val="0028597B"/>
    <w:rsid w:val="00295499"/>
    <w:rsid w:val="002A7A74"/>
    <w:rsid w:val="002B2DBA"/>
    <w:rsid w:val="002B3B85"/>
    <w:rsid w:val="002D4048"/>
    <w:rsid w:val="002D4D17"/>
    <w:rsid w:val="002F7744"/>
    <w:rsid w:val="002F7C93"/>
    <w:rsid w:val="00305190"/>
    <w:rsid w:val="00312A21"/>
    <w:rsid w:val="00316091"/>
    <w:rsid w:val="00316F83"/>
    <w:rsid w:val="003319BF"/>
    <w:rsid w:val="0033207D"/>
    <w:rsid w:val="00334B12"/>
    <w:rsid w:val="00337CC5"/>
    <w:rsid w:val="00340032"/>
    <w:rsid w:val="00343547"/>
    <w:rsid w:val="00345B38"/>
    <w:rsid w:val="0035157B"/>
    <w:rsid w:val="00355987"/>
    <w:rsid w:val="0035768E"/>
    <w:rsid w:val="00357901"/>
    <w:rsid w:val="00357D5F"/>
    <w:rsid w:val="00377A04"/>
    <w:rsid w:val="00381FBB"/>
    <w:rsid w:val="003843A4"/>
    <w:rsid w:val="00395D0D"/>
    <w:rsid w:val="003A448A"/>
    <w:rsid w:val="003A4E44"/>
    <w:rsid w:val="003B0FD3"/>
    <w:rsid w:val="003B1A62"/>
    <w:rsid w:val="003B4CF8"/>
    <w:rsid w:val="003B504F"/>
    <w:rsid w:val="003B6410"/>
    <w:rsid w:val="003B7EE8"/>
    <w:rsid w:val="003C7537"/>
    <w:rsid w:val="003D1123"/>
    <w:rsid w:val="003E14CB"/>
    <w:rsid w:val="003E1701"/>
    <w:rsid w:val="003E18C7"/>
    <w:rsid w:val="003E7662"/>
    <w:rsid w:val="003F0EA0"/>
    <w:rsid w:val="0040086E"/>
    <w:rsid w:val="00414872"/>
    <w:rsid w:val="00414DDE"/>
    <w:rsid w:val="0041596E"/>
    <w:rsid w:val="00433B81"/>
    <w:rsid w:val="0043533B"/>
    <w:rsid w:val="00437C17"/>
    <w:rsid w:val="00443282"/>
    <w:rsid w:val="00444DB0"/>
    <w:rsid w:val="0045067A"/>
    <w:rsid w:val="00450DB8"/>
    <w:rsid w:val="00457A88"/>
    <w:rsid w:val="00462F75"/>
    <w:rsid w:val="00474C8B"/>
    <w:rsid w:val="00475941"/>
    <w:rsid w:val="00475D80"/>
    <w:rsid w:val="00476141"/>
    <w:rsid w:val="004773AB"/>
    <w:rsid w:val="004836C1"/>
    <w:rsid w:val="0049127D"/>
    <w:rsid w:val="00497838"/>
    <w:rsid w:val="004B3C2A"/>
    <w:rsid w:val="004C3766"/>
    <w:rsid w:val="004C3CE2"/>
    <w:rsid w:val="004C4487"/>
    <w:rsid w:val="004C669C"/>
    <w:rsid w:val="004D0847"/>
    <w:rsid w:val="004D6D97"/>
    <w:rsid w:val="00502E56"/>
    <w:rsid w:val="00506EEF"/>
    <w:rsid w:val="00510598"/>
    <w:rsid w:val="00513D8E"/>
    <w:rsid w:val="0052073C"/>
    <w:rsid w:val="00523ADD"/>
    <w:rsid w:val="00524B79"/>
    <w:rsid w:val="00525021"/>
    <w:rsid w:val="00526334"/>
    <w:rsid w:val="0053718F"/>
    <w:rsid w:val="00542010"/>
    <w:rsid w:val="005441E0"/>
    <w:rsid w:val="0054666D"/>
    <w:rsid w:val="00546F2A"/>
    <w:rsid w:val="00547483"/>
    <w:rsid w:val="005577B7"/>
    <w:rsid w:val="00560368"/>
    <w:rsid w:val="00560667"/>
    <w:rsid w:val="00562186"/>
    <w:rsid w:val="00562F04"/>
    <w:rsid w:val="005638D2"/>
    <w:rsid w:val="00565737"/>
    <w:rsid w:val="00570720"/>
    <w:rsid w:val="00577326"/>
    <w:rsid w:val="00591C6D"/>
    <w:rsid w:val="005920C1"/>
    <w:rsid w:val="00593596"/>
    <w:rsid w:val="005963B5"/>
    <w:rsid w:val="005A20D5"/>
    <w:rsid w:val="005A6202"/>
    <w:rsid w:val="005B5174"/>
    <w:rsid w:val="005C0325"/>
    <w:rsid w:val="005C3BA0"/>
    <w:rsid w:val="005D10EE"/>
    <w:rsid w:val="005D68FB"/>
    <w:rsid w:val="005E5250"/>
    <w:rsid w:val="005E67FA"/>
    <w:rsid w:val="005E7695"/>
    <w:rsid w:val="00631089"/>
    <w:rsid w:val="0064196D"/>
    <w:rsid w:val="006437D8"/>
    <w:rsid w:val="0064751B"/>
    <w:rsid w:val="00652DD6"/>
    <w:rsid w:val="006560E3"/>
    <w:rsid w:val="00663CA5"/>
    <w:rsid w:val="006656F9"/>
    <w:rsid w:val="00672AFE"/>
    <w:rsid w:val="00677E89"/>
    <w:rsid w:val="00677EAD"/>
    <w:rsid w:val="00682BA5"/>
    <w:rsid w:val="006925ED"/>
    <w:rsid w:val="00694904"/>
    <w:rsid w:val="0069651F"/>
    <w:rsid w:val="00696785"/>
    <w:rsid w:val="006967FB"/>
    <w:rsid w:val="006A51ED"/>
    <w:rsid w:val="006A63B0"/>
    <w:rsid w:val="006A707C"/>
    <w:rsid w:val="006B63BC"/>
    <w:rsid w:val="006D00D0"/>
    <w:rsid w:val="006D3B04"/>
    <w:rsid w:val="006E13FD"/>
    <w:rsid w:val="006E3391"/>
    <w:rsid w:val="006E420E"/>
    <w:rsid w:val="006E4480"/>
    <w:rsid w:val="006E62D9"/>
    <w:rsid w:val="006E7C39"/>
    <w:rsid w:val="006F27D9"/>
    <w:rsid w:val="006F5F9B"/>
    <w:rsid w:val="006F6AFE"/>
    <w:rsid w:val="00701DB2"/>
    <w:rsid w:val="00704A30"/>
    <w:rsid w:val="00715185"/>
    <w:rsid w:val="00715E77"/>
    <w:rsid w:val="00722A6F"/>
    <w:rsid w:val="00724441"/>
    <w:rsid w:val="00727A2C"/>
    <w:rsid w:val="00733295"/>
    <w:rsid w:val="00734E37"/>
    <w:rsid w:val="00734F16"/>
    <w:rsid w:val="007373A1"/>
    <w:rsid w:val="0074481A"/>
    <w:rsid w:val="00751E06"/>
    <w:rsid w:val="0075759D"/>
    <w:rsid w:val="00763232"/>
    <w:rsid w:val="00763263"/>
    <w:rsid w:val="007701C5"/>
    <w:rsid w:val="00776625"/>
    <w:rsid w:val="007807F4"/>
    <w:rsid w:val="007835DB"/>
    <w:rsid w:val="00791215"/>
    <w:rsid w:val="0079298B"/>
    <w:rsid w:val="00793DDB"/>
    <w:rsid w:val="007977DF"/>
    <w:rsid w:val="007A6048"/>
    <w:rsid w:val="007B1453"/>
    <w:rsid w:val="007B1AE6"/>
    <w:rsid w:val="007B4CEF"/>
    <w:rsid w:val="007C0683"/>
    <w:rsid w:val="007D1A2E"/>
    <w:rsid w:val="007D6D47"/>
    <w:rsid w:val="007E1087"/>
    <w:rsid w:val="007E4788"/>
    <w:rsid w:val="007E4B22"/>
    <w:rsid w:val="007F2945"/>
    <w:rsid w:val="00805CBE"/>
    <w:rsid w:val="00823E1A"/>
    <w:rsid w:val="0083021F"/>
    <w:rsid w:val="00832788"/>
    <w:rsid w:val="00833019"/>
    <w:rsid w:val="00834DBB"/>
    <w:rsid w:val="00836F00"/>
    <w:rsid w:val="00852559"/>
    <w:rsid w:val="0088056C"/>
    <w:rsid w:val="00887C31"/>
    <w:rsid w:val="008C2230"/>
    <w:rsid w:val="008C38ED"/>
    <w:rsid w:val="008C6531"/>
    <w:rsid w:val="008D0CF4"/>
    <w:rsid w:val="008D21D3"/>
    <w:rsid w:val="008D5271"/>
    <w:rsid w:val="008E1737"/>
    <w:rsid w:val="008F13C4"/>
    <w:rsid w:val="00904453"/>
    <w:rsid w:val="00907E50"/>
    <w:rsid w:val="0091422A"/>
    <w:rsid w:val="00916985"/>
    <w:rsid w:val="00917D05"/>
    <w:rsid w:val="009236C5"/>
    <w:rsid w:val="0092673D"/>
    <w:rsid w:val="009368BF"/>
    <w:rsid w:val="00942C80"/>
    <w:rsid w:val="00947762"/>
    <w:rsid w:val="00950BBB"/>
    <w:rsid w:val="00956651"/>
    <w:rsid w:val="00963E71"/>
    <w:rsid w:val="0098196D"/>
    <w:rsid w:val="00990B30"/>
    <w:rsid w:val="0099473E"/>
    <w:rsid w:val="00994B5A"/>
    <w:rsid w:val="00997D6C"/>
    <w:rsid w:val="009A4A0F"/>
    <w:rsid w:val="009B4DDE"/>
    <w:rsid w:val="009B501A"/>
    <w:rsid w:val="009B52DA"/>
    <w:rsid w:val="009B6668"/>
    <w:rsid w:val="009C1E75"/>
    <w:rsid w:val="009C2A0A"/>
    <w:rsid w:val="009C320F"/>
    <w:rsid w:val="009D0068"/>
    <w:rsid w:val="009F4D0B"/>
    <w:rsid w:val="009F5168"/>
    <w:rsid w:val="009F56C7"/>
    <w:rsid w:val="00A057AE"/>
    <w:rsid w:val="00A06CE5"/>
    <w:rsid w:val="00A117DB"/>
    <w:rsid w:val="00A12E73"/>
    <w:rsid w:val="00A14280"/>
    <w:rsid w:val="00A14DE8"/>
    <w:rsid w:val="00A17043"/>
    <w:rsid w:val="00A223CF"/>
    <w:rsid w:val="00A22B6E"/>
    <w:rsid w:val="00A33147"/>
    <w:rsid w:val="00A340A0"/>
    <w:rsid w:val="00A361F2"/>
    <w:rsid w:val="00A404CC"/>
    <w:rsid w:val="00A44EB3"/>
    <w:rsid w:val="00A52A94"/>
    <w:rsid w:val="00A53464"/>
    <w:rsid w:val="00A629C3"/>
    <w:rsid w:val="00A64BCA"/>
    <w:rsid w:val="00A65B80"/>
    <w:rsid w:val="00A72BD6"/>
    <w:rsid w:val="00A80DFC"/>
    <w:rsid w:val="00A84ADE"/>
    <w:rsid w:val="00A975FA"/>
    <w:rsid w:val="00A976CD"/>
    <w:rsid w:val="00AA3503"/>
    <w:rsid w:val="00AA548B"/>
    <w:rsid w:val="00AB7ABA"/>
    <w:rsid w:val="00AC434D"/>
    <w:rsid w:val="00AE0D69"/>
    <w:rsid w:val="00AE37D0"/>
    <w:rsid w:val="00AE413A"/>
    <w:rsid w:val="00AF2B4C"/>
    <w:rsid w:val="00AF5184"/>
    <w:rsid w:val="00B020F9"/>
    <w:rsid w:val="00B03C56"/>
    <w:rsid w:val="00B12998"/>
    <w:rsid w:val="00B13AFE"/>
    <w:rsid w:val="00B16B02"/>
    <w:rsid w:val="00B31325"/>
    <w:rsid w:val="00B32BA8"/>
    <w:rsid w:val="00B34AB4"/>
    <w:rsid w:val="00B369AB"/>
    <w:rsid w:val="00B43C9D"/>
    <w:rsid w:val="00B475D7"/>
    <w:rsid w:val="00B55901"/>
    <w:rsid w:val="00B57529"/>
    <w:rsid w:val="00B70906"/>
    <w:rsid w:val="00B721F8"/>
    <w:rsid w:val="00B740DA"/>
    <w:rsid w:val="00B81404"/>
    <w:rsid w:val="00B839EF"/>
    <w:rsid w:val="00B9020E"/>
    <w:rsid w:val="00B94A7F"/>
    <w:rsid w:val="00B94E43"/>
    <w:rsid w:val="00BA2F38"/>
    <w:rsid w:val="00BB3ACA"/>
    <w:rsid w:val="00BB4515"/>
    <w:rsid w:val="00BC5E2E"/>
    <w:rsid w:val="00BD799B"/>
    <w:rsid w:val="00BE07F0"/>
    <w:rsid w:val="00C01773"/>
    <w:rsid w:val="00C02885"/>
    <w:rsid w:val="00C1206E"/>
    <w:rsid w:val="00C1592C"/>
    <w:rsid w:val="00C16693"/>
    <w:rsid w:val="00C2068E"/>
    <w:rsid w:val="00C21881"/>
    <w:rsid w:val="00C2651A"/>
    <w:rsid w:val="00C3314C"/>
    <w:rsid w:val="00C56A36"/>
    <w:rsid w:val="00C62A13"/>
    <w:rsid w:val="00C648D3"/>
    <w:rsid w:val="00C6631F"/>
    <w:rsid w:val="00C66E68"/>
    <w:rsid w:val="00C759A8"/>
    <w:rsid w:val="00C842D8"/>
    <w:rsid w:val="00C96F38"/>
    <w:rsid w:val="00C976F4"/>
    <w:rsid w:val="00CA1C06"/>
    <w:rsid w:val="00CA1C9D"/>
    <w:rsid w:val="00CB0481"/>
    <w:rsid w:val="00CB12B8"/>
    <w:rsid w:val="00CB71C1"/>
    <w:rsid w:val="00CC6499"/>
    <w:rsid w:val="00CC7279"/>
    <w:rsid w:val="00CD0F7D"/>
    <w:rsid w:val="00CE3BF2"/>
    <w:rsid w:val="00CE3DC5"/>
    <w:rsid w:val="00CE6C83"/>
    <w:rsid w:val="00D03E70"/>
    <w:rsid w:val="00D04687"/>
    <w:rsid w:val="00D12346"/>
    <w:rsid w:val="00D13055"/>
    <w:rsid w:val="00D15691"/>
    <w:rsid w:val="00D23AE3"/>
    <w:rsid w:val="00D34A9C"/>
    <w:rsid w:val="00D37CC8"/>
    <w:rsid w:val="00D37F4D"/>
    <w:rsid w:val="00D42819"/>
    <w:rsid w:val="00D506FA"/>
    <w:rsid w:val="00D54CB7"/>
    <w:rsid w:val="00D55717"/>
    <w:rsid w:val="00D665AA"/>
    <w:rsid w:val="00D705CB"/>
    <w:rsid w:val="00D85AE8"/>
    <w:rsid w:val="00D87837"/>
    <w:rsid w:val="00D90D17"/>
    <w:rsid w:val="00D917CE"/>
    <w:rsid w:val="00DA102F"/>
    <w:rsid w:val="00DA49AF"/>
    <w:rsid w:val="00DA6719"/>
    <w:rsid w:val="00DC00D2"/>
    <w:rsid w:val="00DC41A5"/>
    <w:rsid w:val="00DE2C6B"/>
    <w:rsid w:val="00DE5ED2"/>
    <w:rsid w:val="00DF0D5B"/>
    <w:rsid w:val="00DF0E2D"/>
    <w:rsid w:val="00DF1B0C"/>
    <w:rsid w:val="00DF2889"/>
    <w:rsid w:val="00DF59DE"/>
    <w:rsid w:val="00DF5AE2"/>
    <w:rsid w:val="00DF7153"/>
    <w:rsid w:val="00DF7935"/>
    <w:rsid w:val="00DF7AE4"/>
    <w:rsid w:val="00E01A19"/>
    <w:rsid w:val="00E06217"/>
    <w:rsid w:val="00E200B7"/>
    <w:rsid w:val="00E2075D"/>
    <w:rsid w:val="00E22A14"/>
    <w:rsid w:val="00E253F1"/>
    <w:rsid w:val="00E25B7F"/>
    <w:rsid w:val="00E26179"/>
    <w:rsid w:val="00E31400"/>
    <w:rsid w:val="00E360FD"/>
    <w:rsid w:val="00E363EC"/>
    <w:rsid w:val="00E54BD0"/>
    <w:rsid w:val="00E55595"/>
    <w:rsid w:val="00E57BA1"/>
    <w:rsid w:val="00E74224"/>
    <w:rsid w:val="00E82EDC"/>
    <w:rsid w:val="00E94833"/>
    <w:rsid w:val="00E94A84"/>
    <w:rsid w:val="00EA212C"/>
    <w:rsid w:val="00EA651F"/>
    <w:rsid w:val="00EB63C8"/>
    <w:rsid w:val="00ED4851"/>
    <w:rsid w:val="00ED6CE0"/>
    <w:rsid w:val="00ED7E29"/>
    <w:rsid w:val="00EE3AAB"/>
    <w:rsid w:val="00EF1A8B"/>
    <w:rsid w:val="00EF405A"/>
    <w:rsid w:val="00EF48B5"/>
    <w:rsid w:val="00EF6D66"/>
    <w:rsid w:val="00EF77A3"/>
    <w:rsid w:val="00EF78F8"/>
    <w:rsid w:val="00F02B98"/>
    <w:rsid w:val="00F26F23"/>
    <w:rsid w:val="00F312C9"/>
    <w:rsid w:val="00F32AAC"/>
    <w:rsid w:val="00F376DC"/>
    <w:rsid w:val="00F44A8F"/>
    <w:rsid w:val="00F47B90"/>
    <w:rsid w:val="00F50970"/>
    <w:rsid w:val="00F60454"/>
    <w:rsid w:val="00F634A9"/>
    <w:rsid w:val="00F65072"/>
    <w:rsid w:val="00F73D18"/>
    <w:rsid w:val="00F81277"/>
    <w:rsid w:val="00F859D7"/>
    <w:rsid w:val="00F9552D"/>
    <w:rsid w:val="00FA1E80"/>
    <w:rsid w:val="00FA6667"/>
    <w:rsid w:val="00FB5EF8"/>
    <w:rsid w:val="00FB75FA"/>
    <w:rsid w:val="00FC420D"/>
    <w:rsid w:val="00FD24B5"/>
    <w:rsid w:val="00FD4719"/>
    <w:rsid w:val="00FF0451"/>
    <w:rsid w:val="00FF4A4D"/>
    <w:rsid w:val="16AE6DF5"/>
    <w:rsid w:val="26F25ED9"/>
    <w:rsid w:val="55B03770"/>
    <w:rsid w:val="656D238E"/>
    <w:rsid w:val="7753007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9"/>
    <w:semiHidden/>
    <w:unhideWhenUsed/>
    <w:uiPriority w:val="99"/>
    <w:pPr>
      <w:jc w:val="left"/>
    </w:pPr>
  </w:style>
  <w:style w:type="paragraph" w:styleId="3">
    <w:name w:val="Balloon Text"/>
    <w:basedOn w:val="1"/>
    <w:link w:val="15"/>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styleId="11">
    <w:name w:val="annotation reference"/>
    <w:basedOn w:val="9"/>
    <w:semiHidden/>
    <w:unhideWhenUsed/>
    <w:uiPriority w:val="99"/>
    <w:rPr>
      <w:sz w:val="21"/>
      <w:szCs w:val="21"/>
    </w:rPr>
  </w:style>
  <w:style w:type="character" w:customStyle="1" w:styleId="12">
    <w:name w:val="页眉 Char"/>
    <w:basedOn w:val="9"/>
    <w:link w:val="5"/>
    <w:qFormat/>
    <w:uiPriority w:val="99"/>
    <w:rPr>
      <w:sz w:val="18"/>
      <w:szCs w:val="18"/>
    </w:rPr>
  </w:style>
  <w:style w:type="character" w:customStyle="1" w:styleId="13">
    <w:name w:val="页脚 Char"/>
    <w:basedOn w:val="9"/>
    <w:link w:val="4"/>
    <w:qFormat/>
    <w:uiPriority w:val="99"/>
    <w:rPr>
      <w:sz w:val="18"/>
      <w:szCs w:val="18"/>
    </w:rPr>
  </w:style>
  <w:style w:type="paragraph" w:customStyle="1" w:styleId="14">
    <w:name w:val="列出段落1"/>
    <w:basedOn w:val="1"/>
    <w:qFormat/>
    <w:uiPriority w:val="34"/>
    <w:pPr>
      <w:ind w:firstLine="420" w:firstLineChars="200"/>
    </w:pPr>
  </w:style>
  <w:style w:type="character" w:customStyle="1" w:styleId="15">
    <w:name w:val="批注框文本 Char"/>
    <w:basedOn w:val="9"/>
    <w:link w:val="3"/>
    <w:semiHidden/>
    <w:qFormat/>
    <w:uiPriority w:val="99"/>
    <w:rPr>
      <w:sz w:val="18"/>
      <w:szCs w:val="18"/>
    </w:rPr>
  </w:style>
  <w:style w:type="table" w:customStyle="1" w:styleId="16">
    <w:name w:val="网格型1"/>
    <w:basedOn w:val="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7">
    <w:name w:val="mail_info_expanded_contact_address1"/>
    <w:basedOn w:val="9"/>
    <w:qFormat/>
    <w:uiPriority w:val="0"/>
    <w:rPr>
      <w:color w:val="7F7F7F"/>
    </w:rPr>
  </w:style>
  <w:style w:type="paragraph" w:styleId="18">
    <w:name w:val="List Paragraph"/>
    <w:basedOn w:val="1"/>
    <w:unhideWhenUsed/>
    <w:qFormat/>
    <w:uiPriority w:val="34"/>
    <w:pPr>
      <w:ind w:firstLine="420" w:firstLineChars="200"/>
    </w:pPr>
  </w:style>
  <w:style w:type="character" w:customStyle="1" w:styleId="19">
    <w:name w:val="批注文字 Char"/>
    <w:basedOn w:val="9"/>
    <w:link w:val="2"/>
    <w:semiHidden/>
    <w:uiPriority w:val="99"/>
    <w:rPr>
      <w:rFonts w:asciiTheme="minorHAnsi" w:hAnsiTheme="minorHAnsi" w:eastAsiaTheme="minorEastAsia" w:cstheme="minorBidi"/>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A36C9F-9085-4B22-9A73-AF35E2BF16A7}">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743</Words>
  <Characters>4237</Characters>
  <Lines>35</Lines>
  <Paragraphs>9</Paragraphs>
  <TotalTime>1436</TotalTime>
  <ScaleCrop>false</ScaleCrop>
  <LinksUpToDate>false</LinksUpToDate>
  <CharactersWithSpaces>4971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2020-10-09T02:33:00Z</dcterms:created>
  <dc:creator>龚国斌</dc:creator>
  <cp:lastModifiedBy>RLZY-WangWei</cp:lastModifiedBy>
  <dcterms:modified xsi:type="dcterms:W3CDTF">2021-04-28T07:43:02Z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49400E6C0ABC45018BACADD01411FDE2</vt:lpwstr>
  </property>
</Properties>
</file>