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3BF9" w:rsidRDefault="00441310" w:rsidP="00773BF9">
      <w:pPr>
        <w:adjustRightInd w:val="0"/>
        <w:snapToGrid w:val="0"/>
        <w:spacing w:line="360" w:lineRule="auto"/>
        <w:jc w:val="center"/>
        <w:rPr>
          <w:rFonts w:hint="eastAsia"/>
          <w:b/>
          <w:sz w:val="32"/>
        </w:rPr>
      </w:pPr>
      <w:r w:rsidRPr="00773BF9">
        <w:rPr>
          <w:rFonts w:hint="eastAsia"/>
          <w:b/>
          <w:sz w:val="32"/>
        </w:rPr>
        <w:t>氧化单元紧急停车预案</w:t>
      </w:r>
    </w:p>
    <w:p w:rsidR="00441310" w:rsidRPr="00773BF9" w:rsidRDefault="00441310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单套氧化联锁停车</w:t>
      </w:r>
    </w:p>
    <w:p w:rsidR="00441310" w:rsidRPr="00773BF9" w:rsidRDefault="00441310" w:rsidP="00773BF9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按“异常停车确认表”进行停车操作；</w:t>
      </w:r>
    </w:p>
    <w:p w:rsidR="00441310" w:rsidRPr="00773BF9" w:rsidRDefault="00441310" w:rsidP="00773BF9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蒸汽不足，立刻联系热电公司，将蒸汽流程切至外吸，若流程切换速度较慢，或蒸汽压力过低影响其余氧化单元生产，则考虑降低一套酯化单元的负荷或开启其余氧化单元的电加热；</w:t>
      </w:r>
    </w:p>
    <w:p w:rsidR="00686EAE" w:rsidRPr="00773BF9" w:rsidRDefault="00686EAE" w:rsidP="00773BF9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慢慢全开一期与二期互通的</w:t>
      </w:r>
      <w:r w:rsidRPr="00773BF9">
        <w:rPr>
          <w:rFonts w:hint="eastAsia"/>
          <w:sz w:val="24"/>
          <w:szCs w:val="24"/>
        </w:rPr>
        <w:t>HHP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MP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LLP</w:t>
      </w:r>
      <w:r w:rsidRPr="00773BF9">
        <w:rPr>
          <w:rFonts w:hint="eastAsia"/>
          <w:sz w:val="24"/>
          <w:szCs w:val="24"/>
        </w:rPr>
        <w:t>管线，确保蒸汽互通流量；</w:t>
      </w:r>
    </w:p>
    <w:p w:rsidR="00441310" w:rsidRPr="00773BF9" w:rsidRDefault="00441310" w:rsidP="00773BF9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</w:t>
      </w:r>
      <w:r w:rsidR="0070733D" w:rsidRPr="00773BF9">
        <w:rPr>
          <w:rFonts w:hint="eastAsia"/>
          <w:sz w:val="24"/>
          <w:szCs w:val="24"/>
        </w:rPr>
        <w:t>需降低酯化单元负荷，一期氧化联锁优先</w:t>
      </w:r>
      <w:r w:rsidRPr="00773BF9">
        <w:rPr>
          <w:rFonts w:hint="eastAsia"/>
          <w:sz w:val="24"/>
          <w:szCs w:val="24"/>
        </w:rPr>
        <w:t>降低</w:t>
      </w:r>
      <w:r w:rsidRPr="00773BF9">
        <w:rPr>
          <w:rFonts w:hint="eastAsia"/>
          <w:sz w:val="24"/>
          <w:szCs w:val="24"/>
        </w:rPr>
        <w:t>141</w:t>
      </w:r>
      <w:r w:rsidRPr="00773BF9">
        <w:rPr>
          <w:rFonts w:hint="eastAsia"/>
          <w:sz w:val="24"/>
          <w:szCs w:val="24"/>
        </w:rPr>
        <w:t>负荷</w:t>
      </w:r>
      <w:r w:rsidR="0070733D" w:rsidRPr="00773BF9">
        <w:rPr>
          <w:rFonts w:hint="eastAsia"/>
          <w:sz w:val="24"/>
          <w:szCs w:val="24"/>
        </w:rPr>
        <w:t>，二期氧化联锁优先</w:t>
      </w:r>
      <w:r w:rsidRPr="00773BF9">
        <w:rPr>
          <w:rFonts w:hint="eastAsia"/>
          <w:sz w:val="24"/>
          <w:szCs w:val="24"/>
        </w:rPr>
        <w:t>降低</w:t>
      </w:r>
      <w:r w:rsidRPr="00773BF9">
        <w:rPr>
          <w:rFonts w:hint="eastAsia"/>
          <w:sz w:val="24"/>
          <w:szCs w:val="24"/>
        </w:rPr>
        <w:t>142</w:t>
      </w:r>
      <w:r w:rsidRPr="00773BF9">
        <w:rPr>
          <w:rFonts w:hint="eastAsia"/>
          <w:sz w:val="24"/>
          <w:szCs w:val="24"/>
        </w:rPr>
        <w:t>负荷，以减少一期、二期交互蒸汽的流量</w:t>
      </w:r>
      <w:r w:rsidR="0070733D" w:rsidRPr="00773BF9">
        <w:rPr>
          <w:rFonts w:hint="eastAsia"/>
          <w:sz w:val="24"/>
          <w:szCs w:val="24"/>
        </w:rPr>
        <w:t>。</w:t>
      </w:r>
    </w:p>
    <w:p w:rsidR="0070733D" w:rsidRPr="00773BF9" w:rsidRDefault="0070733D" w:rsidP="00773BF9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班长：总体协调；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副班长：现场总协调</w:t>
      </w:r>
      <w:r w:rsidR="00686EAE" w:rsidRPr="00773BF9">
        <w:rPr>
          <w:rFonts w:hint="eastAsia"/>
          <w:sz w:val="24"/>
          <w:szCs w:val="24"/>
        </w:rPr>
        <w:t>，带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名外操进行现场紧急停车处理；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内操（主）</w:t>
      </w:r>
      <w:r w:rsidR="0070733D" w:rsidRPr="00773BF9">
        <w:rPr>
          <w:rFonts w:hint="eastAsia"/>
          <w:sz w:val="24"/>
          <w:szCs w:val="24"/>
        </w:rPr>
        <w:t>：主管蒸汽系统的平衡，催化焚烧系统数据监控，稳定未联锁的装置生产；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内操（副）</w:t>
      </w:r>
      <w:r w:rsidR="0070733D" w:rsidRPr="00773BF9">
        <w:rPr>
          <w:rFonts w:hint="eastAsia"/>
          <w:sz w:val="24"/>
          <w:szCs w:val="24"/>
        </w:rPr>
        <w:t>：进行</w:t>
      </w:r>
      <w:r w:rsidR="0070733D" w:rsidRPr="00773BF9">
        <w:rPr>
          <w:rFonts w:hint="eastAsia"/>
          <w:sz w:val="24"/>
          <w:szCs w:val="24"/>
        </w:rPr>
        <w:t>DCS</w:t>
      </w:r>
      <w:r w:rsidR="0070733D" w:rsidRPr="00773BF9">
        <w:rPr>
          <w:rFonts w:hint="eastAsia"/>
          <w:sz w:val="24"/>
          <w:szCs w:val="24"/>
        </w:rPr>
        <w:t>紧急停车处理核对联锁阀门状态，并配合主操稳定其余装置；</w:t>
      </w:r>
    </w:p>
    <w:p w:rsidR="0070733D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酯化内操</w:t>
      </w:r>
      <w:r w:rsidR="00970A86" w:rsidRPr="00773BF9">
        <w:rPr>
          <w:rFonts w:hint="eastAsia"/>
          <w:sz w:val="24"/>
          <w:szCs w:val="24"/>
        </w:rPr>
        <w:t>：负责调整酯化单元的波动，必要时对酯化单元进行降负荷或急冷操作。</w:t>
      </w: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441310" w:rsidRPr="00773BF9" w:rsidRDefault="0070733D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两套氧化同时联锁（催化焚烧联锁）</w:t>
      </w:r>
    </w:p>
    <w:p w:rsidR="0070733D" w:rsidRPr="00773BF9" w:rsidRDefault="0070733D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按“异常停车确认表”进行停车操作；</w:t>
      </w:r>
    </w:p>
    <w:p w:rsidR="00AD100B" w:rsidRPr="00773BF9" w:rsidRDefault="00AD100B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蒸汽不足，立刻联系热电公司，将蒸汽流程切至外吸，若流程切换速度较慢，或蒸汽压力过低影响其余氧化单元生产，则开启未联锁氧化单元的电加热；</w:t>
      </w:r>
    </w:p>
    <w:p w:rsidR="0070733D" w:rsidRPr="00773BF9" w:rsidRDefault="00686EAE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</w:t>
      </w:r>
      <w:r w:rsidRPr="00773BF9">
        <w:rPr>
          <w:rFonts w:hint="eastAsia"/>
          <w:sz w:val="24"/>
          <w:szCs w:val="24"/>
        </w:rPr>
        <w:t>U821</w:t>
      </w:r>
      <w:r w:rsidRPr="00773BF9">
        <w:rPr>
          <w:rFonts w:hint="eastAsia"/>
          <w:sz w:val="24"/>
          <w:szCs w:val="24"/>
        </w:rPr>
        <w:t>联锁，则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113C50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U142</w:t>
      </w:r>
      <w:r w:rsidRPr="00773BF9">
        <w:rPr>
          <w:rFonts w:hint="eastAsia"/>
          <w:sz w:val="24"/>
          <w:szCs w:val="24"/>
        </w:rPr>
        <w:t>适当降负荷，若</w:t>
      </w:r>
      <w:r w:rsidRPr="00773BF9">
        <w:rPr>
          <w:rFonts w:hint="eastAsia"/>
          <w:sz w:val="24"/>
          <w:szCs w:val="24"/>
        </w:rPr>
        <w:t>U621</w:t>
      </w:r>
      <w:r w:rsidRPr="00773BF9">
        <w:rPr>
          <w:rFonts w:hint="eastAsia"/>
          <w:sz w:val="24"/>
          <w:szCs w:val="24"/>
        </w:rPr>
        <w:t>联锁，则</w:t>
      </w:r>
      <w:r w:rsidRPr="00773BF9">
        <w:rPr>
          <w:rFonts w:hint="eastAsia"/>
          <w:sz w:val="24"/>
          <w:szCs w:val="24"/>
        </w:rPr>
        <w:t>U142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113C50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适当降负荷；</w:t>
      </w:r>
    </w:p>
    <w:p w:rsidR="00686EAE" w:rsidRPr="00773BF9" w:rsidRDefault="00686EAE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关闭一期与二期互通的所有蒸汽管线</w:t>
      </w:r>
      <w:r w:rsidR="00B265B8" w:rsidRPr="00773BF9">
        <w:rPr>
          <w:rFonts w:hint="eastAsia"/>
          <w:sz w:val="24"/>
          <w:szCs w:val="24"/>
        </w:rPr>
        <w:t>调节阀</w:t>
      </w:r>
      <w:r w:rsidRPr="00773BF9">
        <w:rPr>
          <w:rFonts w:hint="eastAsia"/>
          <w:sz w:val="24"/>
          <w:szCs w:val="24"/>
        </w:rPr>
        <w:t>，关闭联锁氧化的</w:t>
      </w:r>
      <w:r w:rsidRPr="00773BF9">
        <w:rPr>
          <w:rFonts w:hint="eastAsia"/>
          <w:sz w:val="24"/>
          <w:szCs w:val="24"/>
        </w:rPr>
        <w:t>PC101</w:t>
      </w:r>
      <w:r w:rsidRPr="00773BF9">
        <w:rPr>
          <w:rFonts w:hint="eastAsia"/>
          <w:sz w:val="24"/>
          <w:szCs w:val="24"/>
        </w:rPr>
        <w:t>，确保未联锁氧化能够平稳生产；</w:t>
      </w:r>
    </w:p>
    <w:p w:rsidR="0070733D" w:rsidRPr="00773BF9" w:rsidRDefault="0070733D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lastRenderedPageBreak/>
        <w:t>班长：</w:t>
      </w:r>
      <w:r w:rsidR="00686EAE" w:rsidRPr="00773BF9">
        <w:rPr>
          <w:rFonts w:hint="eastAsia"/>
          <w:sz w:val="24"/>
          <w:szCs w:val="24"/>
        </w:rPr>
        <w:t>带</w:t>
      </w:r>
      <w:r w:rsidR="00686EAE" w:rsidRPr="00773BF9">
        <w:rPr>
          <w:rFonts w:hint="eastAsia"/>
          <w:sz w:val="24"/>
          <w:szCs w:val="24"/>
        </w:rPr>
        <w:t>3</w:t>
      </w:r>
      <w:r w:rsidR="00686EAE" w:rsidRPr="00773BF9">
        <w:rPr>
          <w:rFonts w:hint="eastAsia"/>
          <w:sz w:val="24"/>
          <w:szCs w:val="24"/>
        </w:rPr>
        <w:t>名外操，负责一套氧化的联锁处理</w:t>
      </w:r>
      <w:r w:rsidRPr="00773BF9">
        <w:rPr>
          <w:rFonts w:hint="eastAsia"/>
          <w:sz w:val="24"/>
          <w:szCs w:val="24"/>
        </w:rPr>
        <w:t>；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</w:t>
      </w:r>
      <w:r w:rsidR="00686EAE" w:rsidRPr="00773BF9">
        <w:rPr>
          <w:rFonts w:hint="eastAsia"/>
          <w:sz w:val="24"/>
          <w:szCs w:val="24"/>
        </w:rPr>
        <w:t>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</w:t>
      </w:r>
      <w:r w:rsidR="00686EAE" w:rsidRPr="00773BF9">
        <w:rPr>
          <w:rFonts w:hint="eastAsia"/>
          <w:sz w:val="24"/>
          <w:szCs w:val="24"/>
        </w:rPr>
        <w:t>，负责另一套氧化的联锁处理</w:t>
      </w:r>
      <w:r w:rsidRPr="00773BF9">
        <w:rPr>
          <w:rFonts w:hint="eastAsia"/>
          <w:sz w:val="24"/>
          <w:szCs w:val="24"/>
        </w:rPr>
        <w:t>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外操：</w:t>
      </w: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名外操，负责酯化的停车急冷工作；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内操（主）：主管蒸汽系统的调整，一套氧化单元的联锁处理；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内操（副）</w:t>
      </w:r>
      <w:r w:rsidR="0070733D" w:rsidRPr="00773BF9">
        <w:rPr>
          <w:rFonts w:hint="eastAsia"/>
          <w:sz w:val="24"/>
          <w:szCs w:val="24"/>
        </w:rPr>
        <w:t>：</w:t>
      </w:r>
      <w:r w:rsidRPr="00773BF9">
        <w:rPr>
          <w:rFonts w:hint="eastAsia"/>
          <w:sz w:val="24"/>
          <w:szCs w:val="24"/>
        </w:rPr>
        <w:t>另一套氧化单元的联锁处理，协助酯化内操稳定未停车的酯化装置</w:t>
      </w:r>
      <w:r w:rsidR="0070733D" w:rsidRPr="00773BF9">
        <w:rPr>
          <w:rFonts w:hint="eastAsia"/>
          <w:sz w:val="24"/>
          <w:szCs w:val="24"/>
        </w:rPr>
        <w:t>；</w:t>
      </w:r>
    </w:p>
    <w:p w:rsidR="00DA5421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酯化内操：</w:t>
      </w:r>
      <w:r w:rsidR="00DA5421" w:rsidRPr="00773BF9">
        <w:rPr>
          <w:rFonts w:hint="eastAsia"/>
          <w:sz w:val="24"/>
          <w:szCs w:val="24"/>
        </w:rPr>
        <w:t>丁酯单元的急冷停车调整及降负荷调整。</w:t>
      </w:r>
    </w:p>
    <w:p w:rsidR="00B265B8" w:rsidRDefault="00B265B8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若联锁的两套氧化，一套为一期一套为二期，则将一期月二期蒸汽互通的所有调节阀均慢慢全开，保持蒸汽互通量，其余</w:t>
      </w:r>
      <w:r w:rsidRPr="00773BF9">
        <w:rPr>
          <w:rFonts w:hint="eastAsia"/>
          <w:sz w:val="24"/>
          <w:szCs w:val="24"/>
        </w:rPr>
        <w:t>1/2/3/5</w:t>
      </w:r>
      <w:r w:rsidRPr="00773BF9">
        <w:rPr>
          <w:rFonts w:hint="eastAsia"/>
          <w:sz w:val="24"/>
          <w:szCs w:val="24"/>
        </w:rPr>
        <w:t>操作与催化焚烧联锁操作相同。</w:t>
      </w: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DA5421" w:rsidRPr="00773BF9" w:rsidRDefault="00DA5421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三套氧化同时联锁</w:t>
      </w:r>
    </w:p>
    <w:p w:rsidR="0070733D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U111</w:t>
      </w:r>
      <w:r w:rsidRPr="00773BF9">
        <w:rPr>
          <w:rFonts w:hint="eastAsia"/>
          <w:sz w:val="24"/>
          <w:szCs w:val="24"/>
        </w:rPr>
        <w:t>，则按“紧急停车”按钮，将</w:t>
      </w:r>
      <w:r w:rsidRPr="00773BF9">
        <w:rPr>
          <w:rFonts w:hint="eastAsia"/>
          <w:sz w:val="24"/>
          <w:szCs w:val="24"/>
        </w:rPr>
        <w:t>U111</w:t>
      </w:r>
      <w:r w:rsidRPr="00773BF9">
        <w:rPr>
          <w:rFonts w:hint="eastAsia"/>
          <w:sz w:val="24"/>
          <w:szCs w:val="24"/>
        </w:rPr>
        <w:t>也联锁，全厂停车处理；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U113</w:t>
      </w:r>
      <w:r w:rsidRPr="00773BF9">
        <w:rPr>
          <w:rFonts w:hint="eastAsia"/>
          <w:sz w:val="24"/>
          <w:szCs w:val="24"/>
        </w:rPr>
        <w:t>或</w:t>
      </w:r>
      <w:r w:rsidRPr="00773BF9">
        <w:rPr>
          <w:rFonts w:hint="eastAsia"/>
          <w:sz w:val="24"/>
          <w:szCs w:val="24"/>
        </w:rPr>
        <w:t>U114</w:t>
      </w:r>
      <w:r w:rsidRPr="00773BF9">
        <w:rPr>
          <w:rFonts w:hint="eastAsia"/>
          <w:sz w:val="24"/>
          <w:szCs w:val="24"/>
        </w:rPr>
        <w:t>，则酯化除了</w:t>
      </w:r>
      <w:r w:rsidRPr="00773BF9">
        <w:rPr>
          <w:rFonts w:hint="eastAsia"/>
          <w:sz w:val="24"/>
          <w:szCs w:val="24"/>
        </w:rPr>
        <w:t>U131</w:t>
      </w:r>
      <w:r w:rsidRPr="00773BF9">
        <w:rPr>
          <w:rFonts w:hint="eastAsia"/>
          <w:sz w:val="24"/>
          <w:szCs w:val="24"/>
        </w:rPr>
        <w:t>外，其余单元均进行急冷操作；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</w:t>
      </w:r>
      <w:r w:rsidR="00AD100B"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，则酯化除了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外，其余单元均进行急冷操作；</w:t>
      </w:r>
    </w:p>
    <w:p w:rsidR="00AD100B" w:rsidRPr="00773BF9" w:rsidRDefault="00AD100B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蒸汽不足，立刻联系热电公司，将蒸汽流程切至外吸，若流程切换速度较慢，或蒸汽压力过低影响其余氧化单元生产，则开启未联锁氧化单元的电加热；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关闭一期与二期互通的所有蒸汽管线</w:t>
      </w:r>
      <w:r w:rsidR="00B265B8" w:rsidRPr="00773BF9">
        <w:rPr>
          <w:rFonts w:hint="eastAsia"/>
          <w:sz w:val="24"/>
          <w:szCs w:val="24"/>
        </w:rPr>
        <w:t>调节阀</w:t>
      </w:r>
      <w:r w:rsidRPr="00773BF9">
        <w:rPr>
          <w:rFonts w:hint="eastAsia"/>
          <w:sz w:val="24"/>
          <w:szCs w:val="24"/>
        </w:rPr>
        <w:t>，关闭联锁氧化的</w:t>
      </w:r>
      <w:r w:rsidRPr="00773BF9">
        <w:rPr>
          <w:rFonts w:hint="eastAsia"/>
          <w:sz w:val="24"/>
          <w:szCs w:val="24"/>
        </w:rPr>
        <w:t>PC101</w:t>
      </w:r>
      <w:r w:rsidRPr="00773BF9">
        <w:rPr>
          <w:rFonts w:hint="eastAsia"/>
          <w:sz w:val="24"/>
          <w:szCs w:val="24"/>
        </w:rPr>
        <w:t>，确保未联锁氧化能够平稳生产；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班长：带</w:t>
      </w:r>
      <w:r w:rsidRPr="00773BF9">
        <w:rPr>
          <w:rFonts w:hint="eastAsia"/>
          <w:sz w:val="24"/>
          <w:szCs w:val="24"/>
        </w:rPr>
        <w:t>5</w:t>
      </w:r>
      <w:r w:rsidRPr="00773BF9">
        <w:rPr>
          <w:rFonts w:hint="eastAsia"/>
          <w:sz w:val="24"/>
          <w:szCs w:val="24"/>
        </w:rPr>
        <w:t>名外操，负责两套氧化均联锁的装置的处理及相应的酯化停车处理；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名外操，负责一套氧化联锁的装置的处理及相应的酯化停车处理；</w:t>
      </w:r>
    </w:p>
    <w:p w:rsidR="00DA5421" w:rsidRPr="00773BF9" w:rsidRDefault="00AD100B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名内操（主）及</w:t>
      </w:r>
      <w:r w:rsidRPr="00773BF9">
        <w:rPr>
          <w:rFonts w:hint="eastAsia"/>
          <w:sz w:val="24"/>
          <w:szCs w:val="24"/>
        </w:rPr>
        <w:t>1</w:t>
      </w:r>
      <w:r w:rsidRPr="00773BF9">
        <w:rPr>
          <w:rFonts w:hint="eastAsia"/>
          <w:sz w:val="24"/>
          <w:szCs w:val="24"/>
        </w:rPr>
        <w:t>名内操（副）</w:t>
      </w:r>
      <w:r w:rsidR="00DA5421" w:rsidRPr="00773BF9">
        <w:rPr>
          <w:rFonts w:hint="eastAsia"/>
          <w:sz w:val="24"/>
          <w:szCs w:val="24"/>
        </w:rPr>
        <w:t>：主管蒸汽系统的调整，及各氧化单元的联锁后处理；</w:t>
      </w:r>
    </w:p>
    <w:p w:rsidR="00DA5421" w:rsidRPr="00773BF9" w:rsidRDefault="00AD100B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lastRenderedPageBreak/>
        <w:t>1</w:t>
      </w:r>
      <w:r w:rsidRPr="00773BF9">
        <w:rPr>
          <w:rFonts w:hint="eastAsia"/>
          <w:sz w:val="24"/>
          <w:szCs w:val="24"/>
        </w:rPr>
        <w:t>名内操（副）</w:t>
      </w:r>
      <w:r w:rsidR="00DA5421" w:rsidRPr="00773BF9">
        <w:rPr>
          <w:rFonts w:hint="eastAsia"/>
          <w:sz w:val="24"/>
          <w:szCs w:val="24"/>
        </w:rPr>
        <w:t>：稳定未联锁的氧化；</w:t>
      </w:r>
    </w:p>
    <w:p w:rsidR="00DA5421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名酯化内操：</w:t>
      </w:r>
      <w:r w:rsidR="00AD100B" w:rsidRPr="00773BF9">
        <w:rPr>
          <w:rFonts w:hint="eastAsia"/>
          <w:sz w:val="24"/>
          <w:szCs w:val="24"/>
        </w:rPr>
        <w:t>酯化</w:t>
      </w:r>
      <w:r w:rsidRPr="00773BF9">
        <w:rPr>
          <w:rFonts w:hint="eastAsia"/>
          <w:sz w:val="24"/>
          <w:szCs w:val="24"/>
        </w:rPr>
        <w:t>单元的急冷停车调整及降负荷调整</w:t>
      </w:r>
      <w:r w:rsidR="00AD100B" w:rsidRPr="00773BF9">
        <w:rPr>
          <w:rFonts w:hint="eastAsia"/>
          <w:sz w:val="24"/>
          <w:szCs w:val="24"/>
        </w:rPr>
        <w:t>并稳定未停车的酯化单元的生产</w:t>
      </w:r>
      <w:r w:rsidRPr="00773BF9">
        <w:rPr>
          <w:rFonts w:hint="eastAsia"/>
          <w:sz w:val="24"/>
          <w:szCs w:val="24"/>
        </w:rPr>
        <w:t>。</w:t>
      </w: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65B8" w:rsidRPr="00773BF9" w:rsidRDefault="00B265B8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四套氧化同时联锁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</w:t>
      </w:r>
      <w:r w:rsidR="004755A7" w:rsidRPr="00773BF9">
        <w:rPr>
          <w:rFonts w:hint="eastAsia"/>
          <w:sz w:val="24"/>
          <w:szCs w:val="24"/>
        </w:rPr>
        <w:t>，全厂停车</w:t>
      </w:r>
      <w:r w:rsidRPr="00773BF9">
        <w:rPr>
          <w:rFonts w:hint="eastAsia"/>
          <w:sz w:val="24"/>
          <w:szCs w:val="24"/>
        </w:rPr>
        <w:t>；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蒸汽不足，立刻联系热电公司，将蒸汽流程切至外吸；</w:t>
      </w:r>
    </w:p>
    <w:p w:rsidR="00B265B8" w:rsidRPr="00773BF9" w:rsidRDefault="004755A7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慢慢全开一期与二期互通的</w:t>
      </w:r>
      <w:r w:rsidRPr="00773BF9">
        <w:rPr>
          <w:rFonts w:hint="eastAsia"/>
          <w:sz w:val="24"/>
          <w:szCs w:val="24"/>
        </w:rPr>
        <w:t>HHP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MP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LLP</w:t>
      </w:r>
      <w:r w:rsidRPr="00773BF9">
        <w:rPr>
          <w:rFonts w:hint="eastAsia"/>
          <w:sz w:val="24"/>
          <w:szCs w:val="24"/>
        </w:rPr>
        <w:t>管线，确保蒸汽互通流量</w:t>
      </w:r>
      <w:r w:rsidR="00B265B8" w:rsidRPr="00773BF9">
        <w:rPr>
          <w:rFonts w:hint="eastAsia"/>
          <w:sz w:val="24"/>
          <w:szCs w:val="24"/>
        </w:rPr>
        <w:t>；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班长：带</w:t>
      </w:r>
      <w:r w:rsidRPr="00773BF9">
        <w:rPr>
          <w:rFonts w:hint="eastAsia"/>
          <w:sz w:val="24"/>
          <w:szCs w:val="24"/>
        </w:rPr>
        <w:t>4</w:t>
      </w:r>
      <w:r w:rsidRPr="00773BF9">
        <w:rPr>
          <w:rFonts w:hint="eastAsia"/>
          <w:sz w:val="24"/>
          <w:szCs w:val="24"/>
        </w:rPr>
        <w:t>名外操，负责</w:t>
      </w:r>
      <w:r w:rsidR="00970A86" w:rsidRPr="00773BF9">
        <w:rPr>
          <w:rFonts w:hint="eastAsia"/>
          <w:sz w:val="24"/>
          <w:szCs w:val="24"/>
        </w:rPr>
        <w:t>一期装置</w:t>
      </w:r>
      <w:r w:rsidRPr="00773BF9">
        <w:rPr>
          <w:rFonts w:hint="eastAsia"/>
          <w:sz w:val="24"/>
          <w:szCs w:val="24"/>
        </w:rPr>
        <w:t>停车处理；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副班长：带</w:t>
      </w:r>
      <w:r w:rsidRPr="00773BF9">
        <w:rPr>
          <w:rFonts w:hint="eastAsia"/>
          <w:sz w:val="24"/>
          <w:szCs w:val="24"/>
        </w:rPr>
        <w:t>4</w:t>
      </w:r>
      <w:r w:rsidRPr="00773BF9">
        <w:rPr>
          <w:rFonts w:hint="eastAsia"/>
          <w:sz w:val="24"/>
          <w:szCs w:val="24"/>
        </w:rPr>
        <w:t>名外操，负责</w:t>
      </w:r>
      <w:r w:rsidR="00970A86" w:rsidRPr="00773BF9">
        <w:rPr>
          <w:rFonts w:hint="eastAsia"/>
          <w:sz w:val="24"/>
          <w:szCs w:val="24"/>
        </w:rPr>
        <w:t>二期装置</w:t>
      </w:r>
      <w:r w:rsidRPr="00773BF9">
        <w:rPr>
          <w:rFonts w:hint="eastAsia"/>
          <w:sz w:val="24"/>
          <w:szCs w:val="24"/>
        </w:rPr>
        <w:t>停车处理；</w:t>
      </w:r>
    </w:p>
    <w:p w:rsidR="00970A86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名内操（主）</w:t>
      </w:r>
      <w:r w:rsidR="00970A86" w:rsidRPr="00773BF9">
        <w:rPr>
          <w:rFonts w:hint="eastAsia"/>
          <w:sz w:val="24"/>
          <w:szCs w:val="24"/>
        </w:rPr>
        <w:t>：氧化单元的联锁后处理，平衡蒸汽，</w:t>
      </w:r>
      <w:r w:rsidR="00970A86" w:rsidRPr="00773BF9">
        <w:rPr>
          <w:rFonts w:hint="eastAsia"/>
          <w:sz w:val="24"/>
          <w:szCs w:val="24"/>
        </w:rPr>
        <w:t>U622</w:t>
      </w:r>
      <w:r w:rsidR="00970A86" w:rsidRPr="00773BF9">
        <w:rPr>
          <w:rFonts w:hint="eastAsia"/>
          <w:sz w:val="24"/>
          <w:szCs w:val="24"/>
        </w:rPr>
        <w:t>、</w:t>
      </w:r>
      <w:r w:rsidR="00970A86" w:rsidRPr="00773BF9">
        <w:rPr>
          <w:rFonts w:hint="eastAsia"/>
          <w:sz w:val="24"/>
          <w:szCs w:val="24"/>
        </w:rPr>
        <w:t>U822</w:t>
      </w:r>
      <w:r w:rsidR="00970A86" w:rsidRPr="00773BF9">
        <w:rPr>
          <w:rFonts w:hint="eastAsia"/>
          <w:sz w:val="24"/>
          <w:szCs w:val="24"/>
        </w:rPr>
        <w:t>监控；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名内操（副）：氧化单元的联锁后处理；</w:t>
      </w:r>
    </w:p>
    <w:p w:rsidR="004755A7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名酯化内操：酯化单元的急冷停车</w:t>
      </w:r>
      <w:r w:rsidR="00970A86" w:rsidRPr="00773BF9">
        <w:rPr>
          <w:rFonts w:hint="eastAsia"/>
          <w:sz w:val="24"/>
          <w:szCs w:val="24"/>
        </w:rPr>
        <w:t>。</w:t>
      </w: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970A86" w:rsidRPr="00773BF9" w:rsidRDefault="00970A86" w:rsidP="00773BF9">
      <w:pPr>
        <w:pStyle w:val="1"/>
        <w:numPr>
          <w:ilvl w:val="0"/>
          <w:numId w:val="0"/>
        </w:numPr>
        <w:adjustRightInd w:val="0"/>
        <w:snapToGrid w:val="0"/>
        <w:ind w:left="420" w:hanging="420"/>
        <w:rPr>
          <w:rFonts w:asciiTheme="majorEastAsia" w:eastAsiaTheme="majorEastAsia" w:hAnsiTheme="majorEastAsia" w:hint="eastAsia"/>
          <w:b/>
          <w:sz w:val="24"/>
          <w:szCs w:val="24"/>
          <w:lang w:eastAsia="zh-CN"/>
        </w:rPr>
      </w:pPr>
      <w:bookmarkStart w:id="0" w:name="_Toc312163647"/>
      <w:bookmarkStart w:id="1" w:name="_Toc433111633"/>
      <w:bookmarkStart w:id="2" w:name="_Toc434324528"/>
      <w:bookmarkStart w:id="3" w:name="_Toc523491847"/>
      <w:r w:rsidRPr="00773BF9">
        <w:rPr>
          <w:rFonts w:asciiTheme="majorEastAsia" w:eastAsiaTheme="majorEastAsia" w:hAnsiTheme="majorEastAsia"/>
          <w:b/>
          <w:sz w:val="24"/>
          <w:szCs w:val="24"/>
        </w:rPr>
        <w:lastRenderedPageBreak/>
        <w:t>附件</w:t>
      </w:r>
      <w:r w:rsidRPr="00773BF9">
        <w:rPr>
          <w:rFonts w:asciiTheme="majorEastAsia" w:eastAsiaTheme="majorEastAsia" w:hAnsiTheme="majorEastAsia" w:hint="eastAsia"/>
          <w:b/>
          <w:sz w:val="24"/>
          <w:szCs w:val="24"/>
          <w:lang w:eastAsia="zh-CN"/>
        </w:rPr>
        <w:t>1</w:t>
      </w:r>
      <w:r w:rsidRPr="00773BF9">
        <w:rPr>
          <w:rFonts w:asciiTheme="majorEastAsia" w:eastAsiaTheme="majorEastAsia" w:hAnsiTheme="majorEastAsia"/>
          <w:b/>
          <w:sz w:val="24"/>
          <w:szCs w:val="24"/>
        </w:rPr>
        <w:t>：</w:t>
      </w:r>
      <w:r w:rsidRPr="00773BF9">
        <w:rPr>
          <w:rFonts w:asciiTheme="majorEastAsia" w:eastAsiaTheme="majorEastAsia" w:hAnsiTheme="majorEastAsia" w:hint="eastAsia"/>
          <w:b/>
          <w:sz w:val="24"/>
          <w:szCs w:val="24"/>
          <w:lang w:eastAsia="zh-CN"/>
        </w:rPr>
        <w:t>氧化</w:t>
      </w:r>
      <w:r w:rsidRPr="00773BF9">
        <w:rPr>
          <w:rFonts w:asciiTheme="majorEastAsia" w:eastAsiaTheme="majorEastAsia" w:hAnsiTheme="majorEastAsia"/>
          <w:b/>
          <w:sz w:val="24"/>
          <w:szCs w:val="24"/>
        </w:rPr>
        <w:t>紧急停车确认表</w:t>
      </w:r>
      <w:bookmarkEnd w:id="0"/>
      <w:bookmarkEnd w:id="1"/>
      <w:bookmarkEnd w:id="2"/>
      <w:bookmarkEnd w:id="3"/>
      <w:r w:rsidRPr="00773BF9">
        <w:rPr>
          <w:rFonts w:asciiTheme="majorEastAsia" w:eastAsiaTheme="majorEastAsia" w:hAnsiTheme="majorEastAsia" w:hint="eastAsia"/>
          <w:b/>
          <w:sz w:val="24"/>
          <w:szCs w:val="24"/>
          <w:lang w:eastAsia="zh-CN"/>
        </w:rPr>
        <w:t>（以U113为例）</w:t>
      </w:r>
    </w:p>
    <w:p w:rsidR="00970A86" w:rsidRPr="009C4FEA" w:rsidRDefault="00970A86" w:rsidP="00773BF9">
      <w:pPr>
        <w:adjustRightInd w:val="0"/>
        <w:snapToGrid w:val="0"/>
        <w:spacing w:line="360" w:lineRule="auto"/>
        <w:ind w:firstLineChars="695" w:firstLine="1946"/>
        <w:rPr>
          <w:bCs/>
          <w:sz w:val="28"/>
        </w:rPr>
      </w:pPr>
      <w:r w:rsidRPr="009C4FEA">
        <w:rPr>
          <w:bCs/>
          <w:sz w:val="28"/>
        </w:rPr>
        <w:t>U113</w:t>
      </w:r>
      <w:r w:rsidRPr="009C4FEA">
        <w:rPr>
          <w:bCs/>
          <w:sz w:val="28"/>
        </w:rPr>
        <w:t>紧急停车（联锁）处理任务分配表</w:t>
      </w:r>
    </w:p>
    <w:p w:rsidR="00970A86" w:rsidRPr="009C4FEA" w:rsidRDefault="00970A86" w:rsidP="00773BF9">
      <w:pPr>
        <w:adjustRightInd w:val="0"/>
        <w:snapToGrid w:val="0"/>
        <w:spacing w:before="120" w:after="120" w:line="360" w:lineRule="auto"/>
        <w:jc w:val="right"/>
        <w:rPr>
          <w:sz w:val="18"/>
          <w:szCs w:val="18"/>
        </w:rPr>
      </w:pPr>
      <w:r w:rsidRPr="009C4FEA">
        <w:rPr>
          <w:sz w:val="18"/>
          <w:szCs w:val="18"/>
          <w:u w:val="single"/>
        </w:rPr>
        <w:t xml:space="preserve">       </w:t>
      </w:r>
      <w:r w:rsidRPr="009C4FEA">
        <w:rPr>
          <w:sz w:val="18"/>
          <w:szCs w:val="18"/>
        </w:rPr>
        <w:t>年</w:t>
      </w:r>
      <w:r w:rsidRPr="009C4FEA">
        <w:rPr>
          <w:sz w:val="18"/>
          <w:szCs w:val="18"/>
          <w:u w:val="single"/>
        </w:rPr>
        <w:t xml:space="preserve">    </w:t>
      </w:r>
      <w:r w:rsidRPr="009C4FEA">
        <w:rPr>
          <w:sz w:val="18"/>
          <w:szCs w:val="18"/>
        </w:rPr>
        <w:t>月</w:t>
      </w:r>
      <w:r w:rsidRPr="009C4FEA">
        <w:rPr>
          <w:sz w:val="18"/>
          <w:szCs w:val="18"/>
          <w:u w:val="single"/>
        </w:rPr>
        <w:t xml:space="preserve">    </w:t>
      </w:r>
      <w:r w:rsidRPr="009C4FEA">
        <w:rPr>
          <w:sz w:val="18"/>
          <w:szCs w:val="18"/>
        </w:rPr>
        <w:t>日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4515"/>
        <w:gridCol w:w="1279"/>
        <w:gridCol w:w="593"/>
        <w:gridCol w:w="1026"/>
        <w:gridCol w:w="1026"/>
      </w:tblGrid>
      <w:tr w:rsidR="00970A86" w:rsidRPr="009C4FEA" w:rsidTr="00773BF9">
        <w:trPr>
          <w:trHeight w:val="634"/>
          <w:tblHeader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序号</w:t>
            </w: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处理项目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52" w:left="-108" w:hanging="1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操作岗位</w:t>
            </w:r>
          </w:p>
        </w:tc>
        <w:tc>
          <w:tcPr>
            <w:tcW w:w="593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时间</w:t>
            </w: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操作人</w:t>
            </w: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确认人</w:t>
            </w:r>
          </w:p>
        </w:tc>
      </w:tr>
      <w:tr w:rsidR="00970A86" w:rsidRPr="009C4FEA" w:rsidTr="00773BF9">
        <w:trPr>
          <w:trHeight w:val="634"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注意</w:t>
            </w: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联锁原因未查明，所有联锁动作阀门没动作完成前决不允许按联锁复位（包括</w:t>
            </w:r>
            <w:r w:rsidRPr="009C4FEA">
              <w:rPr>
                <w:szCs w:val="21"/>
              </w:rPr>
              <w:t>113K01</w:t>
            </w:r>
            <w:r w:rsidRPr="009C4FEA">
              <w:rPr>
                <w:rFonts w:hint="eastAsia"/>
                <w:szCs w:val="21"/>
              </w:rPr>
              <w:t>、</w:t>
            </w:r>
            <w:r w:rsidRPr="009C4FEA">
              <w:rPr>
                <w:rFonts w:hint="eastAsia"/>
                <w:szCs w:val="21"/>
              </w:rPr>
              <w:t>113K21</w:t>
            </w:r>
            <w:r w:rsidRPr="009C4FEA">
              <w:rPr>
                <w:szCs w:val="21"/>
              </w:rPr>
              <w:t>的联锁复位）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52" w:left="-108" w:hanging="1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全体人员</w:t>
            </w:r>
          </w:p>
        </w:tc>
        <w:tc>
          <w:tcPr>
            <w:tcW w:w="593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EN</w:t>
            </w:r>
            <w:r w:rsidRPr="009C4FEA">
              <w:rPr>
                <w:szCs w:val="21"/>
              </w:rPr>
              <w:t>已经加入反应器，</w:t>
            </w:r>
            <w:r w:rsidRPr="009C4FEA">
              <w:rPr>
                <w:szCs w:val="21"/>
              </w:rPr>
              <w:t>172PI725</w:t>
            </w:r>
            <w:r w:rsidRPr="009C4FEA">
              <w:rPr>
                <w:szCs w:val="21"/>
              </w:rPr>
              <w:t>快速下降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确认所有联锁阀门全部动作，否则去现场处理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172PI725</w:t>
            </w:r>
            <w:r w:rsidRPr="009C4FEA">
              <w:rPr>
                <w:szCs w:val="21"/>
              </w:rPr>
              <w:t>＜</w:t>
            </w:r>
            <w:r w:rsidRPr="009C4FEA">
              <w:rPr>
                <w:szCs w:val="21"/>
              </w:rPr>
              <w:t>0.05MPaG</w:t>
            </w:r>
            <w:r w:rsidRPr="009C4FEA">
              <w:rPr>
                <w:szCs w:val="21"/>
              </w:rPr>
              <w:t>时，将</w:t>
            </w:r>
            <w:r w:rsidRPr="009C4FEA">
              <w:rPr>
                <w:szCs w:val="21"/>
              </w:rPr>
              <w:t>PP</w:t>
            </w:r>
            <w:r w:rsidRPr="009C4FEA">
              <w:rPr>
                <w:szCs w:val="21"/>
              </w:rPr>
              <w:t>切断阀开关切向</w:t>
            </w:r>
            <w:r w:rsidRPr="009C4FEA">
              <w:rPr>
                <w:szCs w:val="21"/>
              </w:rPr>
              <w:t>“C”</w:t>
            </w:r>
            <w:r w:rsidRPr="009C4FEA">
              <w:rPr>
                <w:szCs w:val="21"/>
              </w:rPr>
              <w:t>，将</w:t>
            </w:r>
            <w:r w:rsidRPr="009C4FEA">
              <w:rPr>
                <w:szCs w:val="21"/>
              </w:rPr>
              <w:t>AIR/N</w:t>
            </w:r>
            <w:r w:rsidRPr="009C4FEA">
              <w:rPr>
                <w:szCs w:val="21"/>
                <w:vertAlign w:val="subscript"/>
              </w:rPr>
              <w:t>2</w:t>
            </w:r>
            <w:r w:rsidRPr="009C4FEA">
              <w:rPr>
                <w:szCs w:val="21"/>
              </w:rPr>
              <w:t>切断阀开关切向</w:t>
            </w:r>
            <w:r w:rsidRPr="009C4FEA">
              <w:rPr>
                <w:szCs w:val="21"/>
              </w:rPr>
              <w:t>“O”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113HV006A/B</w:t>
            </w:r>
            <w:r w:rsidRPr="009C4FEA">
              <w:rPr>
                <w:szCs w:val="21"/>
              </w:rPr>
              <w:t>打开后，手动关闭</w:t>
            </w:r>
            <w:r w:rsidRPr="009C4FEA">
              <w:rPr>
                <w:szCs w:val="21"/>
              </w:rPr>
              <w:t>113PC206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113K01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113K21</w:t>
            </w:r>
            <w:r w:rsidRPr="009C4FEA">
              <w:rPr>
                <w:szCs w:val="21"/>
              </w:rPr>
              <w:t>油泵运行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PP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113FC003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113FC022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113LC001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113PC002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113TC002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113XV001  </w:t>
            </w:r>
            <w:r w:rsidRPr="009C4FEA">
              <w:rPr>
                <w:szCs w:val="21"/>
              </w:rPr>
              <w:t>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113FC005  </w:t>
            </w:r>
            <w:r w:rsidRPr="009C4FEA">
              <w:rPr>
                <w:szCs w:val="21"/>
              </w:rPr>
              <w:t>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szCs w:val="21"/>
              </w:rPr>
              <w:t>113E01RWA</w:t>
            </w:r>
            <w:r w:rsidRPr="009C4FEA">
              <w:rPr>
                <w:szCs w:val="21"/>
              </w:rPr>
              <w:t>旁路调节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AIR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113FC008  </w:t>
            </w:r>
            <w:r w:rsidRPr="009C4FEA">
              <w:rPr>
                <w:rFonts w:hint="eastAsia"/>
                <w:szCs w:val="21"/>
              </w:rPr>
              <w:t>阀开不动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113FC012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113FC501  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113HC008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113XHV006A/B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113FC006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113FC010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113XV003  </w:t>
            </w:r>
            <w:r w:rsidRPr="009C4FEA">
              <w:rPr>
                <w:szCs w:val="21"/>
              </w:rPr>
              <w:t>全关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尾气循环系统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113PC206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113HV121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113FC551 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113FC140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113FC142 </w:t>
            </w:r>
            <w:r w:rsidRPr="009C4FEA">
              <w:rPr>
                <w:szCs w:val="21"/>
              </w:rPr>
              <w:t>全关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HTS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113TC038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113TC039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113TC069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113H01A/B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113H02A/B</w:t>
            </w:r>
            <w:r w:rsidRPr="009C4FEA">
              <w:rPr>
                <w:szCs w:val="21"/>
              </w:rPr>
              <w:t>按需开启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113R01</w:t>
            </w:r>
            <w:r w:rsidRPr="009C4FEA">
              <w:rPr>
                <w:rFonts w:hint="eastAsia"/>
                <w:szCs w:val="21"/>
              </w:rPr>
              <w:t>冷热区连通阀按需开启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公用工程系统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113LC016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113PC024  AUTO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621</w:t>
            </w:r>
            <w:r w:rsidRPr="009C4FEA">
              <w:rPr>
                <w:szCs w:val="21"/>
              </w:rPr>
              <w:t>调整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蒸汽系统平衡调整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各级</w:t>
            </w:r>
            <w:r w:rsidRPr="009C4FEA">
              <w:rPr>
                <w:szCs w:val="21"/>
              </w:rPr>
              <w:t>BFW</w:t>
            </w:r>
            <w:r w:rsidRPr="009C4FEA">
              <w:rPr>
                <w:szCs w:val="21"/>
              </w:rPr>
              <w:t>压力确认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113K01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113K21</w:t>
            </w:r>
            <w:r w:rsidRPr="009C4FEA">
              <w:rPr>
                <w:szCs w:val="21"/>
              </w:rPr>
              <w:t>油泵运行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透平进口</w:t>
            </w:r>
            <w:r w:rsidRPr="009C4FEA">
              <w:rPr>
                <w:szCs w:val="21"/>
              </w:rPr>
              <w:t>SHHP</w:t>
            </w:r>
            <w:r w:rsidRPr="009C4FEA">
              <w:rPr>
                <w:rFonts w:hint="eastAsia"/>
                <w:szCs w:val="21"/>
              </w:rPr>
              <w:t>、</w:t>
            </w:r>
            <w:r w:rsidRPr="009C4FEA">
              <w:rPr>
                <w:rFonts w:hint="eastAsia"/>
                <w:szCs w:val="21"/>
              </w:rPr>
              <w:t>SHP</w:t>
            </w:r>
            <w:r w:rsidRPr="009C4FEA">
              <w:rPr>
                <w:szCs w:val="21"/>
              </w:rPr>
              <w:t>大阀关</w:t>
            </w:r>
            <w:r w:rsidRPr="009C4FEA">
              <w:rPr>
                <w:rFonts w:hint="eastAsia"/>
                <w:szCs w:val="21"/>
              </w:rPr>
              <w:t>，产汽关，放空开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氮气</w:t>
            </w:r>
            <w:r w:rsidRPr="009C4FEA">
              <w:rPr>
                <w:szCs w:val="21"/>
              </w:rPr>
              <w:t xml:space="preserve"> 50Nm</w:t>
            </w:r>
            <w:r w:rsidRPr="009C4FEA">
              <w:rPr>
                <w:szCs w:val="21"/>
                <w:vertAlign w:val="superscript"/>
              </w:rPr>
              <w:t>3</w:t>
            </w:r>
            <w:r w:rsidRPr="009C4FEA">
              <w:rPr>
                <w:szCs w:val="21"/>
              </w:rPr>
              <w:t>/H</w:t>
            </w:r>
            <w:r w:rsidRPr="009C4FEA">
              <w:rPr>
                <w:rFonts w:hint="eastAsia"/>
                <w:szCs w:val="21"/>
              </w:rPr>
              <w:t>或</w:t>
            </w:r>
            <w:r w:rsidRPr="009C4FEA">
              <w:rPr>
                <w:rFonts w:hint="eastAsia"/>
                <w:szCs w:val="21"/>
              </w:rPr>
              <w:t>100kg/h</w:t>
            </w:r>
            <w:r w:rsidRPr="009C4FEA">
              <w:rPr>
                <w:szCs w:val="21"/>
              </w:rPr>
              <w:t>加入反应器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将</w:t>
            </w:r>
            <w:r w:rsidRPr="009C4FEA">
              <w:rPr>
                <w:szCs w:val="21"/>
              </w:rPr>
              <w:t>113E01</w:t>
            </w:r>
            <w:r w:rsidRPr="009C4FEA">
              <w:rPr>
                <w:szCs w:val="21"/>
              </w:rPr>
              <w:t>至</w:t>
            </w:r>
            <w:r w:rsidRPr="009C4FEA">
              <w:rPr>
                <w:szCs w:val="21"/>
              </w:rPr>
              <w:t>113E02</w:t>
            </w:r>
            <w:r w:rsidRPr="009C4FEA">
              <w:rPr>
                <w:szCs w:val="21"/>
              </w:rPr>
              <w:t>出口闸阀关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113M02</w:t>
            </w:r>
            <w:r w:rsidRPr="009C4FEA">
              <w:rPr>
                <w:szCs w:val="21"/>
              </w:rPr>
              <w:t>导淋开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172P58</w:t>
            </w:r>
            <w:r w:rsidRPr="009C4FEA">
              <w:rPr>
                <w:szCs w:val="21"/>
              </w:rPr>
              <w:t>锅炉水加药泵至</w:t>
            </w:r>
            <w:r w:rsidRPr="009C4FEA">
              <w:rPr>
                <w:szCs w:val="21"/>
              </w:rPr>
              <w:t>U113</w:t>
            </w:r>
            <w:r w:rsidRPr="009C4FEA">
              <w:rPr>
                <w:szCs w:val="21"/>
              </w:rPr>
              <w:t>冲程调至零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关</w:t>
            </w: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</w:t>
            </w:r>
            <w:r w:rsidRPr="009C4FEA">
              <w:rPr>
                <w:szCs w:val="21"/>
              </w:rPr>
              <w:t>进水保护阀及旁路阀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113P01A/B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113P02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113P04 A/B</w:t>
            </w:r>
            <w:r w:rsidRPr="009C4FEA">
              <w:rPr>
                <w:szCs w:val="21"/>
              </w:rPr>
              <w:t>运行，开启</w:t>
            </w:r>
            <w:r w:rsidRPr="009C4FEA">
              <w:rPr>
                <w:szCs w:val="21"/>
              </w:rPr>
              <w:t>113H01 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113H02 A/B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排污稍微开大，避免对</w:t>
            </w:r>
            <w:r w:rsidRPr="009C4FEA">
              <w:rPr>
                <w:szCs w:val="21"/>
              </w:rPr>
              <w:t>HHP</w:t>
            </w:r>
            <w:r w:rsidRPr="009C4FEA">
              <w:rPr>
                <w:szCs w:val="21"/>
              </w:rPr>
              <w:t>管网压力产生影响。开大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113E05A/B</w:t>
            </w:r>
            <w:r w:rsidRPr="009C4FEA">
              <w:rPr>
                <w:szCs w:val="21"/>
              </w:rPr>
              <w:t>排污及底排阀门。在接到工艺员或内操明确通知前，严禁</w:t>
            </w:r>
            <w:r w:rsidRPr="009C4FEA">
              <w:rPr>
                <w:szCs w:val="21"/>
              </w:rPr>
              <w:lastRenderedPageBreak/>
              <w:t>自行关闭</w:t>
            </w: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113E05A/B</w:t>
            </w:r>
            <w:r w:rsidRPr="009C4FEA">
              <w:rPr>
                <w:szCs w:val="21"/>
              </w:rPr>
              <w:t>的产汽根阀</w:t>
            </w:r>
            <w:r w:rsidRPr="009C4FEA">
              <w:rPr>
                <w:rFonts w:hint="eastAsia"/>
                <w:szCs w:val="21"/>
              </w:rPr>
              <w:t>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lastRenderedPageBreak/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i/>
                <w:szCs w:val="21"/>
              </w:rPr>
              <w:t>113TV002</w:t>
            </w:r>
            <w:r w:rsidRPr="009C4FEA">
              <w:rPr>
                <w:rFonts w:hint="eastAsia"/>
                <w:i/>
                <w:szCs w:val="21"/>
              </w:rPr>
              <w:t>调整</w:t>
            </w:r>
            <w:r w:rsidRPr="009C4FEA">
              <w:rPr>
                <w:i/>
                <w:szCs w:val="21"/>
              </w:rPr>
              <w:t>（视具体情况）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i/>
                <w:szCs w:val="21"/>
              </w:rPr>
              <w:t>关</w:t>
            </w:r>
            <w:r w:rsidRPr="009C4FEA">
              <w:rPr>
                <w:i/>
                <w:szCs w:val="21"/>
              </w:rPr>
              <w:t>113D01 PP</w:t>
            </w:r>
            <w:r w:rsidRPr="009C4FEA">
              <w:rPr>
                <w:i/>
                <w:szCs w:val="21"/>
              </w:rPr>
              <w:t>进口阀（视具体情况）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113FC010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113FC006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113FC022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113FC142</w:t>
            </w:r>
            <w:r w:rsidRPr="009C4FEA">
              <w:rPr>
                <w:szCs w:val="21"/>
              </w:rPr>
              <w:t>保护阀关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113C10</w:t>
            </w:r>
            <w:r w:rsidRPr="009C4FEA">
              <w:rPr>
                <w:szCs w:val="21"/>
              </w:rPr>
              <w:t>出料切出</w:t>
            </w:r>
            <w:r w:rsidRPr="009C4FEA">
              <w:rPr>
                <w:szCs w:val="21"/>
              </w:rPr>
              <w:t>113C30</w:t>
            </w:r>
            <w:r w:rsidRPr="009C4FEA">
              <w:rPr>
                <w:szCs w:val="21"/>
              </w:rPr>
              <w:t>系统，切至</w:t>
            </w:r>
            <w:r w:rsidRPr="009C4FEA">
              <w:rPr>
                <w:szCs w:val="21"/>
              </w:rPr>
              <w:t>111T21</w:t>
            </w:r>
            <w:r w:rsidRPr="009C4FEA">
              <w:rPr>
                <w:rFonts w:hint="eastAsia"/>
                <w:szCs w:val="21"/>
              </w:rPr>
              <w:t>，</w:t>
            </w:r>
            <w:r w:rsidRPr="009C4FEA">
              <w:rPr>
                <w:szCs w:val="21"/>
              </w:rPr>
              <w:t>113E10</w:t>
            </w:r>
            <w:r w:rsidRPr="009C4FEA">
              <w:rPr>
                <w:szCs w:val="21"/>
              </w:rPr>
              <w:t>蒸气</w:t>
            </w:r>
            <w:r w:rsidRPr="009C4FEA">
              <w:rPr>
                <w:szCs w:val="21"/>
              </w:rPr>
              <w:t>113FV202</w:t>
            </w:r>
            <w:r w:rsidRPr="009C4FEA">
              <w:rPr>
                <w:szCs w:val="21"/>
              </w:rPr>
              <w:t>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</w:t>
            </w:r>
            <w:r w:rsidRPr="009C4FEA">
              <w:rPr>
                <w:rFonts w:hint="eastAsia"/>
                <w:szCs w:val="21"/>
              </w:rPr>
              <w:t>C30</w:t>
            </w:r>
            <w:r w:rsidRPr="009C4FEA">
              <w:rPr>
                <w:rFonts w:hint="eastAsia"/>
                <w:szCs w:val="21"/>
              </w:rPr>
              <w:t>急冷停车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113C20</w:t>
            </w:r>
            <w:r w:rsidRPr="009C4FEA">
              <w:rPr>
                <w:szCs w:val="21"/>
              </w:rPr>
              <w:t>塔顶补水，</w:t>
            </w:r>
            <w:r w:rsidRPr="009C4FEA">
              <w:rPr>
                <w:szCs w:val="21"/>
              </w:rPr>
              <w:t>113C20</w:t>
            </w:r>
            <w:r w:rsidRPr="009C4FEA">
              <w:rPr>
                <w:szCs w:val="21"/>
              </w:rPr>
              <w:t>阻聚剂</w:t>
            </w:r>
            <w:r w:rsidRPr="009C4FEA">
              <w:rPr>
                <w:rFonts w:hint="eastAsia"/>
                <w:szCs w:val="21"/>
              </w:rPr>
              <w:t>加入减半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113FC205:6000kg/h</w:t>
            </w:r>
            <w:r w:rsidRPr="009C4FEA">
              <w:rPr>
                <w:szCs w:val="21"/>
              </w:rPr>
              <w:t>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113E34</w:t>
            </w:r>
            <w:r w:rsidRPr="009C4FEA">
              <w:rPr>
                <w:rFonts w:hint="eastAsia"/>
                <w:szCs w:val="21"/>
              </w:rPr>
              <w:t>急冷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113R40</w:t>
            </w:r>
            <w:r w:rsidRPr="009C4FEA">
              <w:rPr>
                <w:szCs w:val="21"/>
              </w:rPr>
              <w:t>冷循环。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联锁原因查找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联锁源开关切到</w:t>
            </w:r>
            <w:r w:rsidRPr="009C4FEA">
              <w:rPr>
                <w:szCs w:val="21"/>
              </w:rPr>
              <w:t>“ON”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班长与内操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联锁复位，</w:t>
            </w:r>
            <w:r w:rsidRPr="009C4FEA">
              <w:rPr>
                <w:szCs w:val="21"/>
              </w:rPr>
              <w:t>DCS</w:t>
            </w:r>
            <w:r w:rsidRPr="009C4FEA">
              <w:rPr>
                <w:szCs w:val="21"/>
              </w:rPr>
              <w:t>联锁状态确认。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班长与内操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A65DEB">
        <w:trPr>
          <w:cantSplit/>
          <w:jc w:val="center"/>
        </w:trPr>
        <w:tc>
          <w:tcPr>
            <w:tcW w:w="5253" w:type="dxa"/>
            <w:gridSpan w:val="2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发生异常情况，以保护催化剂及设备为主的紧急操作要首先实施</w:t>
            </w:r>
          </w:p>
        </w:tc>
        <w:tc>
          <w:tcPr>
            <w:tcW w:w="3924" w:type="dxa"/>
            <w:gridSpan w:val="4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全体人员</w:t>
            </w:r>
          </w:p>
        </w:tc>
      </w:tr>
    </w:tbl>
    <w:p w:rsidR="00970A86" w:rsidRPr="009C4FEA" w:rsidRDefault="00970A86" w:rsidP="00773BF9">
      <w:pPr>
        <w:adjustRightInd w:val="0"/>
        <w:snapToGrid w:val="0"/>
        <w:spacing w:line="360" w:lineRule="auto"/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rPr>
          <w:rFonts w:hint="eastAsia"/>
        </w:rPr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sectPr w:rsidR="00970A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0A86" w:rsidRPr="00773BF9" w:rsidRDefault="00970A86" w:rsidP="00773BF9">
      <w:pPr>
        <w:adjustRightInd w:val="0"/>
        <w:snapToGrid w:val="0"/>
        <w:spacing w:line="360" w:lineRule="auto"/>
        <w:jc w:val="left"/>
        <w:rPr>
          <w:rFonts w:hint="eastAsia"/>
          <w:b/>
          <w:sz w:val="24"/>
        </w:rPr>
      </w:pPr>
      <w:r w:rsidRPr="00773BF9">
        <w:rPr>
          <w:rFonts w:hint="eastAsia"/>
          <w:b/>
          <w:sz w:val="24"/>
        </w:rPr>
        <w:lastRenderedPageBreak/>
        <w:t>附件二：装置异常情况蒸汽平衡一览表</w:t>
      </w:r>
    </w:p>
    <w:p w:rsidR="00970A86" w:rsidRPr="00970A86" w:rsidRDefault="00773BF9" w:rsidP="00773BF9">
      <w:pPr>
        <w:adjustRightInd w:val="0"/>
        <w:snapToGrid w:val="0"/>
        <w:spacing w:line="360" w:lineRule="auto"/>
        <w:jc w:val="left"/>
      </w:pPr>
      <w:r>
        <w:rPr>
          <w:noProof/>
        </w:rPr>
        <w:drawing>
          <wp:inline distT="0" distB="0" distL="0" distR="0">
            <wp:extent cx="8597909" cy="40014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36" t="21797" r="9457" b="18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014" cy="400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A86" w:rsidRPr="00970A86" w:rsidSect="00970A8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0F1" w:rsidRDefault="00A760F1" w:rsidP="00441310">
      <w:r>
        <w:separator/>
      </w:r>
    </w:p>
  </w:endnote>
  <w:endnote w:type="continuationSeparator" w:id="1">
    <w:p w:rsidR="00A760F1" w:rsidRDefault="00A760F1" w:rsidP="00441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0F1" w:rsidRDefault="00A760F1" w:rsidP="00441310">
      <w:r>
        <w:separator/>
      </w:r>
    </w:p>
  </w:footnote>
  <w:footnote w:type="continuationSeparator" w:id="1">
    <w:p w:rsidR="00A760F1" w:rsidRDefault="00A760F1" w:rsidP="00441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396"/>
    <w:multiLevelType w:val="multilevel"/>
    <w:tmpl w:val="255208C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">
    <w:nsid w:val="260254D5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B025C"/>
    <w:multiLevelType w:val="hybridMultilevel"/>
    <w:tmpl w:val="760C4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12099"/>
    <w:multiLevelType w:val="hybridMultilevel"/>
    <w:tmpl w:val="858A6C02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23A9A"/>
    <w:multiLevelType w:val="hybridMultilevel"/>
    <w:tmpl w:val="E9C6FA10"/>
    <w:lvl w:ilvl="0" w:tplc="A0EC0C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297050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3A1207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310"/>
    <w:rsid w:val="00441310"/>
    <w:rsid w:val="004755A7"/>
    <w:rsid w:val="00686EAE"/>
    <w:rsid w:val="0070733D"/>
    <w:rsid w:val="00773BF9"/>
    <w:rsid w:val="00970A86"/>
    <w:rsid w:val="00A760F1"/>
    <w:rsid w:val="00AD100B"/>
    <w:rsid w:val="00B265B8"/>
    <w:rsid w:val="00DA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70A86"/>
    <w:pPr>
      <w:numPr>
        <w:numId w:val="6"/>
      </w:numPr>
      <w:spacing w:before="240" w:after="240" w:line="360" w:lineRule="auto"/>
      <w:jc w:val="left"/>
      <w:outlineLvl w:val="0"/>
    </w:pPr>
    <w:rPr>
      <w:rFonts w:ascii="Times New Roman" w:eastAsia="黑体" w:hAnsi="Times New Roman" w:cs="Times New Roman"/>
      <w:bCs/>
      <w:kern w:val="44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310"/>
    <w:rPr>
      <w:sz w:val="18"/>
      <w:szCs w:val="18"/>
    </w:rPr>
  </w:style>
  <w:style w:type="paragraph" w:styleId="a5">
    <w:name w:val="List Paragraph"/>
    <w:basedOn w:val="a"/>
    <w:uiPriority w:val="34"/>
    <w:qFormat/>
    <w:rsid w:val="00441310"/>
    <w:pPr>
      <w:ind w:firstLineChars="200" w:firstLine="420"/>
    </w:pPr>
  </w:style>
  <w:style w:type="character" w:customStyle="1" w:styleId="1Char">
    <w:name w:val="标题 1 Char"/>
    <w:basedOn w:val="a0"/>
    <w:link w:val="1"/>
    <w:rsid w:val="00970A86"/>
    <w:rPr>
      <w:rFonts w:ascii="Times New Roman" w:eastAsia="黑体" w:hAnsi="Times New Roman" w:cs="Times New Roman"/>
      <w:bCs/>
      <w:kern w:val="44"/>
      <w:sz w:val="28"/>
      <w:szCs w:val="28"/>
      <w:lang/>
    </w:rPr>
  </w:style>
  <w:style w:type="paragraph" w:customStyle="1" w:styleId="10">
    <w:name w:val="列出段落1"/>
    <w:basedOn w:val="a"/>
    <w:uiPriority w:val="34"/>
    <w:qFormat/>
    <w:rsid w:val="00970A86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773B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3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468</Words>
  <Characters>2669</Characters>
  <Application>Microsoft Office Word</Application>
  <DocSecurity>0</DocSecurity>
  <Lines>22</Lines>
  <Paragraphs>6</Paragraphs>
  <ScaleCrop>false</ScaleCrop>
  <Company>china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冯彪</dc:creator>
  <cp:keywords/>
  <dc:description/>
  <cp:lastModifiedBy>冯彪</cp:lastModifiedBy>
  <cp:revision>3</cp:revision>
  <dcterms:created xsi:type="dcterms:W3CDTF">2019-06-14T05:36:00Z</dcterms:created>
  <dcterms:modified xsi:type="dcterms:W3CDTF">2019-06-14T06:58:00Z</dcterms:modified>
</cp:coreProperties>
</file>