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1BE7B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</w:rPr>
        <w:t>山东大学</w:t>
      </w:r>
      <w:r>
        <w:rPr>
          <w:rFonts w:hint="eastAsia" w:ascii="黑体" w:hAnsi="Times" w:eastAsia="黑体"/>
          <w:sz w:val="30"/>
          <w:szCs w:val="30"/>
          <w:u w:val="single"/>
        </w:rPr>
        <w:t>计算机科学与技术</w:t>
      </w:r>
      <w:r>
        <w:rPr>
          <w:rFonts w:hint="eastAsia" w:ascii="黑体" w:hAnsi="Times" w:eastAsia="黑体"/>
          <w:sz w:val="30"/>
          <w:szCs w:val="30"/>
        </w:rPr>
        <w:t>学院</w:t>
      </w:r>
    </w:p>
    <w:p w14:paraId="606D9084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  <w:u w:val="single"/>
          <w:lang w:eastAsia="zh-TW"/>
        </w:rPr>
        <w:t>大数据分析</w:t>
      </w:r>
      <w:r>
        <w:rPr>
          <w:rFonts w:hint="eastAsia" w:ascii="黑体" w:hAnsi="Times" w:eastAsia="黑体"/>
          <w:sz w:val="30"/>
          <w:szCs w:val="30"/>
        </w:rPr>
        <w:t>课程实验报告</w:t>
      </w:r>
    </w:p>
    <w:p w14:paraId="0382C7B6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0"/>
        <w:gridCol w:w="1596"/>
        <w:gridCol w:w="1179"/>
        <w:gridCol w:w="3609"/>
      </w:tblGrid>
      <w:tr w14:paraId="73AAB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BB8BE0">
            <w:pPr>
              <w:rPr>
                <w:rFonts w:hint="default" w:ascii="黑体" w:hAnsi="Times" w:eastAsia="PMingLiU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Times" w:eastAsia="PMingLiU"/>
                <w:sz w:val="24"/>
                <w:szCs w:val="20"/>
                <w:lang w:val="en-US" w:eastAsia="zh-TW"/>
              </w:rPr>
              <w:t>202302130293</w:t>
            </w:r>
          </w:p>
        </w:tc>
        <w:tc>
          <w:tcPr>
            <w:tcW w:w="27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B13A96">
            <w:pP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hint="eastAsia" w:ascii="黑体" w:hAnsi="Times" w:eastAsia="黑体"/>
                <w:sz w:val="24"/>
                <w:szCs w:val="20"/>
                <w:lang w:eastAsia="zh-TW"/>
              </w:rPr>
              <w:t>李嘉欣</w:t>
            </w:r>
          </w:p>
        </w:tc>
        <w:tc>
          <w:tcPr>
            <w:tcW w:w="36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2674AC">
            <w:pPr>
              <w:rPr>
                <w:rFonts w:hint="eastAsia" w:ascii="黑体" w:hAnsi="Times" w:eastAsia="黑体"/>
                <w:sz w:val="24"/>
                <w:szCs w:val="20"/>
                <w:lang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班级：</w:t>
            </w:r>
            <w:r>
              <w:rPr>
                <w:rFonts w:hint="eastAsia" w:ascii="黑体" w:hAnsi="Times" w:eastAsia="黑体"/>
                <w:sz w:val="24"/>
                <w:szCs w:val="20"/>
                <w:lang w:eastAsia="zh-TW"/>
              </w:rPr>
              <w:t>数据科学与大数据技术</w:t>
            </w:r>
          </w:p>
        </w:tc>
      </w:tr>
      <w:tr w14:paraId="4E00F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21DC63">
            <w:pPr>
              <w:rPr>
                <w:rFonts w:hint="eastAsia" w:ascii="黑体" w:hAnsi="Times" w:eastAsia="PMingLiU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</w:t>
            </w:r>
            <w:r>
              <w:rPr>
                <w:rFonts w:hint="eastAsia" w:ascii="黑体" w:hAnsi="Times" w:eastAsia="黑体"/>
                <w:sz w:val="24"/>
                <w:szCs w:val="20"/>
                <w:lang w:eastAsia="zh-TW"/>
              </w:rPr>
              <w:t>目：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  <w:t>Canis/Cast/Libra</w:t>
            </w:r>
            <w:r>
              <w:rPr>
                <w:rFonts w:hint="eastAsia" w:ascii="黑体" w:hAnsi="Times" w:eastAsia="黑体"/>
                <w:sz w:val="24"/>
                <w:szCs w:val="20"/>
                <w:lang w:eastAsia="zh-TW"/>
              </w:rPr>
              <w:t>实践</w:t>
            </w:r>
          </w:p>
        </w:tc>
        <w:tc>
          <w:tcPr>
            <w:tcW w:w="47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6DAB4D">
            <w:pPr>
              <w:rPr>
                <w:rFonts w:hint="default" w:ascii="黑体" w:hAnsi="Times" w:eastAsia="PMingLiU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实验日期：</w:t>
            </w:r>
            <w:r>
              <w:rPr>
                <w:rFonts w:hint="eastAsia" w:ascii="黑体" w:hAnsi="Times" w:eastAsia="PMingLiU"/>
                <w:sz w:val="24"/>
                <w:szCs w:val="20"/>
                <w:lang w:val="en-US" w:eastAsia="zh-TW"/>
              </w:rPr>
              <w:t>2025/11/15</w:t>
            </w:r>
          </w:p>
        </w:tc>
      </w:tr>
      <w:tr w14:paraId="3E607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164BDE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实验目标：</w:t>
            </w:r>
          </w:p>
          <w:p w14:paraId="7CC8E85D">
            <w:pPr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本实验旨在深入理解 Libra 交互模型的核心设计思想，通过实际编程实现数据可视化中的常见交互（如悬停、选择、缩放等），掌握如何利用 Libra.js 将交互逻辑与可视化组件解耦，实现交互模块的可复用、可扩展与可组合，并对比其与传统 D3 交互实现方式的异同与优劣。</w:t>
            </w:r>
          </w:p>
        </w:tc>
      </w:tr>
      <w:tr w14:paraId="21269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98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42E62B">
            <w:pPr>
              <w:rPr>
                <w:rFonts w:hint="eastAsia" w:ascii="黑体" w:hAnsi="Times" w:eastAsia="PMingLiU"/>
                <w:sz w:val="24"/>
                <w:szCs w:val="20"/>
                <w:lang w:val="en-US"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实验环境：</w:t>
            </w:r>
            <w:r>
              <w:rPr>
                <w:rFonts w:hint="eastAsia" w:ascii="黑体" w:hAnsi="Times" w:eastAsia="PMingLiU"/>
                <w:sz w:val="24"/>
                <w:szCs w:val="20"/>
                <w:lang w:val="en-US" w:eastAsia="zh-TW"/>
              </w:rPr>
              <w:t>Windows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TW"/>
              </w:rPr>
              <w:t>系统</w:t>
            </w:r>
          </w:p>
        </w:tc>
      </w:tr>
      <w:tr w14:paraId="3FF49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8" w:hRule="atLeast"/>
        </w:trPr>
        <w:tc>
          <w:tcPr>
            <w:tcW w:w="98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57C7F4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实验步骤：</w:t>
            </w:r>
          </w:p>
          <w:p w14:paraId="401B56DC">
            <w:pPr>
              <w:numPr>
                <w:ilvl w:val="0"/>
                <w:numId w:val="1"/>
              </w:num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TW"/>
              </w:rPr>
              <w:t>悬停显示信息：鼠标悬停在数据点上时动态显示该点的详细数值与分类信息，实现即时的数据探索。这与Libra的Hover交互器相对应，通过解耦事件监听与反馈逻辑来提升代码可维护性。</w:t>
            </w:r>
          </w:p>
          <w:p w14:paraId="5004E48A">
            <w:pPr>
              <w:widowControl w:val="0"/>
              <w:numPr>
                <w:numId w:val="0"/>
              </w:numPr>
              <w:jc w:val="center"/>
            </w:pPr>
            <w:r>
              <w:drawing>
                <wp:inline distT="0" distB="0" distL="114300" distR="114300">
                  <wp:extent cx="5137150" cy="3357245"/>
                  <wp:effectExtent l="0" t="0" r="6350" b="825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t="2440" b="1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7150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FF6D77">
            <w:pPr>
              <w:widowControl w:val="0"/>
              <w:numPr>
                <w:numId w:val="0"/>
              </w:numPr>
              <w:jc w:val="center"/>
              <w:rPr>
                <w:rFonts w:hint="default"/>
                <w:lang w:val="en-US" w:eastAsia="zh-TW"/>
              </w:rPr>
            </w:pPr>
          </w:p>
          <w:p w14:paraId="00E262C0">
            <w:pPr>
              <w:widowControl w:val="0"/>
              <w:numPr>
                <w:numId w:val="0"/>
              </w:numPr>
              <w:jc w:val="center"/>
              <w:rPr>
                <w:rFonts w:hint="default"/>
                <w:lang w:val="en-US" w:eastAsia="zh-TW"/>
              </w:rPr>
            </w:pPr>
          </w:p>
          <w:p w14:paraId="352463BD">
            <w:pPr>
              <w:widowControl w:val="0"/>
              <w:numPr>
                <w:numId w:val="0"/>
              </w:numPr>
              <w:jc w:val="center"/>
              <w:rPr>
                <w:rFonts w:hint="default"/>
                <w:lang w:val="en-US" w:eastAsia="zh-TW"/>
              </w:rPr>
            </w:pPr>
          </w:p>
          <w:p w14:paraId="2ED131AC">
            <w:pPr>
              <w:widowControl w:val="0"/>
              <w:numPr>
                <w:numId w:val="0"/>
              </w:numPr>
              <w:jc w:val="center"/>
              <w:rPr>
                <w:rFonts w:hint="default"/>
                <w:lang w:val="en-US" w:eastAsia="zh-TW"/>
              </w:rPr>
            </w:pPr>
          </w:p>
          <w:p w14:paraId="5EAABCE9">
            <w:pPr>
              <w:widowControl w:val="0"/>
              <w:numPr>
                <w:numId w:val="0"/>
              </w:numPr>
              <w:jc w:val="center"/>
              <w:rPr>
                <w:rFonts w:hint="default"/>
                <w:lang w:val="en-US" w:eastAsia="zh-TW"/>
              </w:rPr>
            </w:pPr>
          </w:p>
          <w:p w14:paraId="4CA1EE83">
            <w:pPr>
              <w:widowControl w:val="0"/>
              <w:numPr>
                <w:numId w:val="0"/>
              </w:numPr>
              <w:jc w:val="center"/>
              <w:rPr>
                <w:rFonts w:hint="default"/>
                <w:lang w:val="en-US" w:eastAsia="zh-TW"/>
              </w:rPr>
            </w:pPr>
          </w:p>
          <w:p w14:paraId="270C006C">
            <w:pPr>
              <w:widowControl w:val="0"/>
              <w:numPr>
                <w:numId w:val="0"/>
              </w:numPr>
              <w:jc w:val="center"/>
              <w:rPr>
                <w:rFonts w:hint="default"/>
                <w:lang w:val="en-US" w:eastAsia="zh-TW"/>
              </w:rPr>
            </w:pPr>
          </w:p>
          <w:p w14:paraId="27670F60">
            <w:pPr>
              <w:widowControl w:val="0"/>
              <w:numPr>
                <w:numId w:val="0"/>
              </w:numPr>
              <w:jc w:val="center"/>
              <w:rPr>
                <w:rFonts w:hint="default"/>
                <w:lang w:val="en-US" w:eastAsia="zh-TW"/>
              </w:rPr>
            </w:pPr>
          </w:p>
          <w:p w14:paraId="254EECF9">
            <w:pPr>
              <w:widowControl w:val="0"/>
              <w:numPr>
                <w:numId w:val="0"/>
              </w:numPr>
              <w:jc w:val="center"/>
              <w:rPr>
                <w:rFonts w:hint="default"/>
                <w:lang w:val="en-US" w:eastAsia="zh-TW"/>
              </w:rPr>
            </w:pPr>
          </w:p>
          <w:p w14:paraId="1A4D146A">
            <w:pPr>
              <w:widowControl w:val="0"/>
              <w:numPr>
                <w:numId w:val="0"/>
              </w:numPr>
              <w:jc w:val="center"/>
              <w:rPr>
                <w:rFonts w:hint="default"/>
                <w:lang w:val="en-US" w:eastAsia="zh-TW"/>
              </w:rPr>
            </w:pPr>
          </w:p>
          <w:p w14:paraId="1C7E4033">
            <w:pPr>
              <w:widowControl w:val="0"/>
              <w:numPr>
                <w:numId w:val="0"/>
              </w:numPr>
              <w:jc w:val="center"/>
              <w:rPr>
                <w:rFonts w:hint="default"/>
                <w:lang w:val="en-US" w:eastAsia="zh-TW"/>
              </w:rPr>
            </w:pPr>
          </w:p>
          <w:p w14:paraId="7CB84183">
            <w:pPr>
              <w:widowControl w:val="0"/>
              <w:numPr>
                <w:numId w:val="0"/>
              </w:numPr>
              <w:jc w:val="center"/>
              <w:rPr>
                <w:rFonts w:hint="default"/>
                <w:lang w:val="en-US" w:eastAsia="zh-TW"/>
              </w:rPr>
            </w:pPr>
          </w:p>
          <w:p w14:paraId="31BD1EC9">
            <w:pPr>
              <w:widowControl w:val="0"/>
              <w:numPr>
                <w:numId w:val="0"/>
              </w:numPr>
              <w:jc w:val="center"/>
              <w:rPr>
                <w:rFonts w:hint="default"/>
                <w:lang w:val="en-US" w:eastAsia="zh-TW"/>
              </w:rPr>
            </w:pPr>
          </w:p>
          <w:p w14:paraId="06132021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黑体" w:hAnsi="Times" w:eastAsia="黑体"/>
                <w:sz w:val="24"/>
                <w:szCs w:val="20"/>
                <w:lang w:val="en-US" w:eastAsia="zh-TW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TW"/>
              </w:rPr>
              <w:t>点击/框选高亮：通过点击或拖拽矩形框选择多个数据点并高亮标记，支持单选、多选和区域选择模式。这体现了Libra可组合交互的设计理念，将选择逻辑封装为独立模块并与视图分离。</w:t>
            </w:r>
          </w:p>
          <w:p w14:paraId="731FE613">
            <w:pPr>
              <w:widowControl w:val="0"/>
              <w:numPr>
                <w:numId w:val="0"/>
              </w:numPr>
              <w:jc w:val="center"/>
            </w:pPr>
            <w:bookmarkStart w:id="0" w:name="_GoBack"/>
            <w:r>
              <w:drawing>
                <wp:inline distT="0" distB="0" distL="114300" distR="114300">
                  <wp:extent cx="5050155" cy="3645535"/>
                  <wp:effectExtent l="0" t="0" r="4445" b="1206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0155" cy="364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14:paraId="2F35DF08">
            <w:pPr>
              <w:widowControl w:val="0"/>
              <w:numPr>
                <w:numId w:val="0"/>
              </w:numPr>
              <w:jc w:val="center"/>
              <w:rPr>
                <w:rFonts w:hint="default"/>
                <w:lang w:val="en-US" w:eastAsia="zh-TW"/>
              </w:rPr>
            </w:pPr>
          </w:p>
          <w:p w14:paraId="29DC822D">
            <w:pPr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="黑体" w:hAnsi="Times" w:eastAsia="黑体"/>
                <w:sz w:val="24"/>
                <w:szCs w:val="20"/>
                <w:lang w:val="en-US" w:eastAsia="zh-TW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TW"/>
              </w:rPr>
              <w:t>平移与缩放：通过拖拽平移视图和使用滚轮缩放，使用户能够自由探索数据的不同区域与细节层次。这展示了Libra对复杂交互状态的管理能力，将变换操作抽象为可复用的交互单元。</w:t>
            </w:r>
          </w:p>
          <w:p w14:paraId="2AC86B92">
            <w:pPr>
              <w:widowControl w:val="0"/>
              <w:numPr>
                <w:numId w:val="0"/>
              </w:numPr>
              <w:jc w:val="center"/>
              <w:rPr>
                <w:rFonts w:hint="default" w:ascii="黑体" w:hAnsi="Times" w:eastAsia="黑体"/>
                <w:sz w:val="24"/>
                <w:szCs w:val="20"/>
                <w:lang w:val="en-US" w:eastAsia="zh-TW"/>
              </w:rPr>
            </w:pPr>
            <w:r>
              <w:drawing>
                <wp:inline distT="0" distB="0" distL="114300" distR="114300">
                  <wp:extent cx="5123180" cy="3400425"/>
                  <wp:effectExtent l="0" t="0" r="7620" b="317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3400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E60550">
            <w:pPr>
              <w:rPr>
                <w:rFonts w:hint="default" w:eastAsia="PMingLiU"/>
                <w:lang w:val="en-US" w:eastAsia="zh-TW"/>
              </w:rPr>
            </w:pPr>
          </w:p>
        </w:tc>
      </w:tr>
      <w:tr w14:paraId="157A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0" w:hRule="atLeast"/>
        </w:trPr>
        <w:tc>
          <w:tcPr>
            <w:tcW w:w="98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A2D32C">
            <w:pPr>
              <w:rPr>
                <w:rFonts w:hint="eastAsia" w:ascii="黑体" w:hAnsi="Times" w:eastAsia="黑体"/>
                <w:sz w:val="24"/>
                <w:szCs w:val="20"/>
                <w:lang w:eastAsia="zh-TW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</w:t>
            </w:r>
            <w:r>
              <w:rPr>
                <w:rFonts w:hint="eastAsia" w:ascii="黑体" w:hAnsi="Times" w:eastAsia="黑体"/>
                <w:sz w:val="24"/>
                <w:szCs w:val="20"/>
                <w:lang w:eastAsia="zh-TW"/>
              </w:rPr>
              <w:t>分析与体会</w:t>
            </w:r>
          </w:p>
          <w:p w14:paraId="04E38F75">
            <w:pPr>
              <w:rPr>
                <w:rFonts w:hint="eastAsia" w:ascii="黑体" w:hAnsi="Times" w:eastAsia="黑体"/>
                <w:sz w:val="24"/>
                <w:szCs w:val="20"/>
                <w:lang w:eastAsia="zh-TW"/>
              </w:rPr>
            </w:pPr>
          </w:p>
          <w:p w14:paraId="482F7D2C">
            <w:pPr>
              <w:ind w:firstLine="480" w:firstLineChars="200"/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通过本次实践，我深刻体会到 Libra 模型在解耦可视化与交互方面的优势。其通过 Instrument 统一管理交互流程，使得悬停、选择、缩放等逻辑可以独立封装、复用与组合，大幅提升了代码的模块化程度。在实际编码中，由于 Libra.js 的文档与示例相对较少，在模块导入与接口调用上遇到了一定困难，最终采用了“Libra 优先、D3 回退”的兼容实现策略。尽管如此，Libra 的设计理念仍为我今后设计可维护、可扩展的可视化系统提供了重要启发：将交互视为独立于视图的“服务”，并通过清晰的接口与事件流进行通信，是实现复杂交互系统的有效路径。本次实验也让我进一步认识到，在技术选型时不仅要考虑功能实现，还需评估库的生态成熟度与团队的学习成本。</w:t>
            </w:r>
          </w:p>
          <w:p w14:paraId="4BFB7963">
            <w:pPr>
              <w:ind w:firstLine="480" w:firstLineChars="200"/>
              <w:rPr>
                <w:rFonts w:hint="eastAsia" w:ascii="黑体" w:hAnsi="Times" w:eastAsia="黑体"/>
                <w:sz w:val="24"/>
                <w:szCs w:val="20"/>
              </w:rPr>
            </w:pPr>
          </w:p>
        </w:tc>
      </w:tr>
    </w:tbl>
    <w:p w14:paraId="34673EC3">
      <w:pPr>
        <w:rPr>
          <w:rFonts w:hint="eastAsia" w:ascii="黑体" w:hAnsi="Times" w:eastAsia="黑体"/>
          <w:sz w:val="24"/>
          <w:szCs w:val="20"/>
          <w:lang w:eastAsia="zh-TW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9C2F74"/>
    <w:multiLevelType w:val="singleLevel"/>
    <w:tmpl w:val="E69C2F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hjMDRlMzg1MmE5MmZmNWRiMmE4OTZmZTM1MTdkZWIifQ=="/>
  </w:docVars>
  <w:rsids>
    <w:rsidRoot w:val="00B20D9E"/>
    <w:rsid w:val="00045A54"/>
    <w:rsid w:val="0007310B"/>
    <w:rsid w:val="000A75BF"/>
    <w:rsid w:val="000C2253"/>
    <w:rsid w:val="000C4EE0"/>
    <w:rsid w:val="000E1252"/>
    <w:rsid w:val="00100575"/>
    <w:rsid w:val="00116738"/>
    <w:rsid w:val="001455D2"/>
    <w:rsid w:val="001538BC"/>
    <w:rsid w:val="00156230"/>
    <w:rsid w:val="00157789"/>
    <w:rsid w:val="0016793D"/>
    <w:rsid w:val="00172886"/>
    <w:rsid w:val="0018158F"/>
    <w:rsid w:val="00197C3C"/>
    <w:rsid w:val="001A32D3"/>
    <w:rsid w:val="001A395E"/>
    <w:rsid w:val="001D69CB"/>
    <w:rsid w:val="0020136C"/>
    <w:rsid w:val="0021691A"/>
    <w:rsid w:val="00224752"/>
    <w:rsid w:val="00224D20"/>
    <w:rsid w:val="00253242"/>
    <w:rsid w:val="00265695"/>
    <w:rsid w:val="00266316"/>
    <w:rsid w:val="00293CC1"/>
    <w:rsid w:val="002B7733"/>
    <w:rsid w:val="002F5928"/>
    <w:rsid w:val="00307458"/>
    <w:rsid w:val="00315B84"/>
    <w:rsid w:val="003173C1"/>
    <w:rsid w:val="00382D54"/>
    <w:rsid w:val="003B4BEB"/>
    <w:rsid w:val="003C3412"/>
    <w:rsid w:val="003C5F54"/>
    <w:rsid w:val="003E3165"/>
    <w:rsid w:val="00401BA1"/>
    <w:rsid w:val="00422E9E"/>
    <w:rsid w:val="0042758A"/>
    <w:rsid w:val="0046489D"/>
    <w:rsid w:val="00494B3E"/>
    <w:rsid w:val="004A1145"/>
    <w:rsid w:val="004D427A"/>
    <w:rsid w:val="004D561D"/>
    <w:rsid w:val="00501EEE"/>
    <w:rsid w:val="005235D9"/>
    <w:rsid w:val="00532019"/>
    <w:rsid w:val="0054594A"/>
    <w:rsid w:val="00556218"/>
    <w:rsid w:val="00557E9B"/>
    <w:rsid w:val="00564C7F"/>
    <w:rsid w:val="005822A5"/>
    <w:rsid w:val="0059153A"/>
    <w:rsid w:val="005C637F"/>
    <w:rsid w:val="005D22D3"/>
    <w:rsid w:val="006374D8"/>
    <w:rsid w:val="00645F50"/>
    <w:rsid w:val="006811DD"/>
    <w:rsid w:val="00681FDE"/>
    <w:rsid w:val="00696A30"/>
    <w:rsid w:val="006B3867"/>
    <w:rsid w:val="006C507B"/>
    <w:rsid w:val="006D7F09"/>
    <w:rsid w:val="007053D7"/>
    <w:rsid w:val="0072276B"/>
    <w:rsid w:val="00736D6B"/>
    <w:rsid w:val="007B5582"/>
    <w:rsid w:val="007C18A4"/>
    <w:rsid w:val="007E7E70"/>
    <w:rsid w:val="00801201"/>
    <w:rsid w:val="00806923"/>
    <w:rsid w:val="0081776B"/>
    <w:rsid w:val="00823715"/>
    <w:rsid w:val="0082456F"/>
    <w:rsid w:val="00834CC6"/>
    <w:rsid w:val="00843C77"/>
    <w:rsid w:val="008527E6"/>
    <w:rsid w:val="00854630"/>
    <w:rsid w:val="008923EE"/>
    <w:rsid w:val="008C5A85"/>
    <w:rsid w:val="008D55DB"/>
    <w:rsid w:val="00905BF1"/>
    <w:rsid w:val="00907279"/>
    <w:rsid w:val="00920605"/>
    <w:rsid w:val="0092532A"/>
    <w:rsid w:val="009304F3"/>
    <w:rsid w:val="0097328F"/>
    <w:rsid w:val="009764D7"/>
    <w:rsid w:val="009865D2"/>
    <w:rsid w:val="00996702"/>
    <w:rsid w:val="009B5ADE"/>
    <w:rsid w:val="009F0F84"/>
    <w:rsid w:val="00A13643"/>
    <w:rsid w:val="00A13EB3"/>
    <w:rsid w:val="00A24233"/>
    <w:rsid w:val="00A30A38"/>
    <w:rsid w:val="00A46A26"/>
    <w:rsid w:val="00A83EE4"/>
    <w:rsid w:val="00A949BF"/>
    <w:rsid w:val="00AB6775"/>
    <w:rsid w:val="00AD30EF"/>
    <w:rsid w:val="00AD415A"/>
    <w:rsid w:val="00AE078E"/>
    <w:rsid w:val="00B03A57"/>
    <w:rsid w:val="00B11031"/>
    <w:rsid w:val="00B137C0"/>
    <w:rsid w:val="00B14450"/>
    <w:rsid w:val="00B20D9E"/>
    <w:rsid w:val="00B27301"/>
    <w:rsid w:val="00B4282D"/>
    <w:rsid w:val="00B52E89"/>
    <w:rsid w:val="00B63FE7"/>
    <w:rsid w:val="00B77DA6"/>
    <w:rsid w:val="00BA2F81"/>
    <w:rsid w:val="00BA583E"/>
    <w:rsid w:val="00BC3B7A"/>
    <w:rsid w:val="00BD1856"/>
    <w:rsid w:val="00BF448F"/>
    <w:rsid w:val="00C05E95"/>
    <w:rsid w:val="00C06D7C"/>
    <w:rsid w:val="00C36AFD"/>
    <w:rsid w:val="00C55D75"/>
    <w:rsid w:val="00C617F0"/>
    <w:rsid w:val="00C87646"/>
    <w:rsid w:val="00CD6B69"/>
    <w:rsid w:val="00CE19FC"/>
    <w:rsid w:val="00CE2D52"/>
    <w:rsid w:val="00CF413D"/>
    <w:rsid w:val="00D42ECE"/>
    <w:rsid w:val="00D53DC8"/>
    <w:rsid w:val="00D76355"/>
    <w:rsid w:val="00D96E09"/>
    <w:rsid w:val="00DB3513"/>
    <w:rsid w:val="00DF56C1"/>
    <w:rsid w:val="00E13691"/>
    <w:rsid w:val="00E21F10"/>
    <w:rsid w:val="00E46F23"/>
    <w:rsid w:val="00E541EB"/>
    <w:rsid w:val="00E76F57"/>
    <w:rsid w:val="00EB5484"/>
    <w:rsid w:val="00EC7708"/>
    <w:rsid w:val="00ED5AF7"/>
    <w:rsid w:val="00EE3FF9"/>
    <w:rsid w:val="00EE6F68"/>
    <w:rsid w:val="00EF4338"/>
    <w:rsid w:val="00F22EEE"/>
    <w:rsid w:val="00F42499"/>
    <w:rsid w:val="00F62A27"/>
    <w:rsid w:val="00F938BA"/>
    <w:rsid w:val="00FC5EB3"/>
    <w:rsid w:val="00FC66E0"/>
    <w:rsid w:val="00FE783B"/>
    <w:rsid w:val="00FF0266"/>
    <w:rsid w:val="030504E1"/>
    <w:rsid w:val="081E0450"/>
    <w:rsid w:val="0A6D7B38"/>
    <w:rsid w:val="0D31309F"/>
    <w:rsid w:val="13CB7DA9"/>
    <w:rsid w:val="145A16F8"/>
    <w:rsid w:val="189F35B2"/>
    <w:rsid w:val="1AFA5BEF"/>
    <w:rsid w:val="1C0C71B1"/>
    <w:rsid w:val="1ECF617D"/>
    <w:rsid w:val="1F2B5BA0"/>
    <w:rsid w:val="1F6A711D"/>
    <w:rsid w:val="20E26732"/>
    <w:rsid w:val="2432177F"/>
    <w:rsid w:val="25553977"/>
    <w:rsid w:val="2CA06514"/>
    <w:rsid w:val="32907BCD"/>
    <w:rsid w:val="369D6F2B"/>
    <w:rsid w:val="378B3228"/>
    <w:rsid w:val="386D7C81"/>
    <w:rsid w:val="3A013C75"/>
    <w:rsid w:val="3C261771"/>
    <w:rsid w:val="3C3B363A"/>
    <w:rsid w:val="3D181656"/>
    <w:rsid w:val="40983B79"/>
    <w:rsid w:val="413165A1"/>
    <w:rsid w:val="4622025B"/>
    <w:rsid w:val="4A2F7693"/>
    <w:rsid w:val="4C886AC3"/>
    <w:rsid w:val="4CCD0D31"/>
    <w:rsid w:val="50661218"/>
    <w:rsid w:val="54A46783"/>
    <w:rsid w:val="56903F5F"/>
    <w:rsid w:val="598D29D8"/>
    <w:rsid w:val="5AB73C30"/>
    <w:rsid w:val="5B9B584E"/>
    <w:rsid w:val="5D020F11"/>
    <w:rsid w:val="605F1AC7"/>
    <w:rsid w:val="61AF0B73"/>
    <w:rsid w:val="629807E4"/>
    <w:rsid w:val="63350591"/>
    <w:rsid w:val="644F7208"/>
    <w:rsid w:val="67502F2F"/>
    <w:rsid w:val="6D5C4743"/>
    <w:rsid w:val="6EA14B04"/>
    <w:rsid w:val="70393F4B"/>
    <w:rsid w:val="719C7804"/>
    <w:rsid w:val="72A53E6F"/>
    <w:rsid w:val="74A25132"/>
    <w:rsid w:val="77E90D03"/>
    <w:rsid w:val="78801C2E"/>
    <w:rsid w:val="79C73372"/>
    <w:rsid w:val="7A3264FA"/>
    <w:rsid w:val="7AA716F4"/>
    <w:rsid w:val="7CA67789"/>
    <w:rsid w:val="7D935941"/>
    <w:rsid w:val="7ECC4799"/>
    <w:rsid w:val="7FE7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locked/>
    <w:uiPriority w:val="0"/>
    <w:pPr>
      <w:spacing w:beforeAutospacing="1" w:afterAutospacing="1"/>
      <w:jc w:val="left"/>
      <w:outlineLvl w:val="1"/>
    </w:pPr>
    <w:rPr>
      <w:rFonts w:hint="eastAsia" w:ascii="宋体" w:hAnsi="宋体" w:cs="Times New Roman"/>
      <w:b/>
      <w:bCs/>
      <w:kern w:val="0"/>
      <w:sz w:val="36"/>
      <w:szCs w:val="3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3"/>
    <w:semiHidden/>
    <w:unhideWhenUsed/>
    <w:qFormat/>
    <w:uiPriority w:val="99"/>
    <w:pPr>
      <w:ind w:left="100" w:leftChars="2500"/>
    </w:p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9">
    <w:name w:val="Strong"/>
    <w:basedOn w:val="8"/>
    <w:qFormat/>
    <w:locked/>
    <w:uiPriority w:val="0"/>
    <w:rPr>
      <w:b/>
    </w:rPr>
  </w:style>
  <w:style w:type="character" w:styleId="10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customStyle="1" w:styleId="11">
    <w:name w:val="页眉 字符"/>
    <w:basedOn w:val="8"/>
    <w:link w:val="5"/>
    <w:qFormat/>
    <w:uiPriority w:val="99"/>
    <w:rPr>
      <w:rFonts w:cs="Calibri"/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rFonts w:cs="Calibri"/>
      <w:sz w:val="18"/>
      <w:szCs w:val="18"/>
    </w:rPr>
  </w:style>
  <w:style w:type="character" w:customStyle="1" w:styleId="13">
    <w:name w:val="日期 字符"/>
    <w:basedOn w:val="8"/>
    <w:link w:val="3"/>
    <w:semiHidden/>
    <w:qFormat/>
    <w:uiPriority w:val="99"/>
    <w:rPr>
      <w:rFonts w:cs="Calibri"/>
      <w:kern w:val="2"/>
      <w:sz w:val="21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588F1C-82F9-4906-9906-6634B155A3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3</Pages>
  <Words>724</Words>
  <Characters>822</Characters>
  <Lines>1</Lines>
  <Paragraphs>1</Paragraphs>
  <TotalTime>18</TotalTime>
  <ScaleCrop>false</ScaleCrop>
  <LinksUpToDate>false</LinksUpToDate>
  <CharactersWithSpaces>838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2022-03-01T02:19:00Z</dcterms:created>
  <dc:creator>尹宇鹏</dc:creator>
  <cp:lastModifiedBy>哭泣的恶魔এ᭄</cp:lastModifiedBy>
  <cp:lastPrinted>2020-03-20T09:10:00Z</cp:lastPrinted>
  <dcterms:modified xsi:type="dcterms:W3CDTF">2025-12-04T11:50:01Z</dcterms:modified>
  <dc:title>关于进一步规范管理本科实验教学的通知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15E65A56CF7B4841BE7DCE26BC3864C1_13</vt:lpwstr>
  </property>
  <property fmtid="{D5CDD505-2E9C-101B-9397-08002B2CF9AE}" pid="4" name="KSOTemplateDocerSaveRecord">
    <vt:lpwstr>eyJoZGlkIjoiMzg0ZmQ2ZDAyZDhhYmE4YTMwMDJlNWUyYWNmMDUxOTYiLCJ1c2VySWQiOiIxMzgzODg1MDEyIn0=</vt:lpwstr>
  </property>
</Properties>
</file>