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96D" w:rsidRPr="00A93653" w:rsidRDefault="00A93653" w:rsidP="00A93653">
      <w:pPr>
        <w:jc w:val="center"/>
        <w:rPr>
          <w:b/>
          <w:sz w:val="36"/>
        </w:rPr>
      </w:pPr>
      <w:r w:rsidRPr="00A93653">
        <w:rPr>
          <w:rFonts w:hint="eastAsia"/>
          <w:b/>
          <w:sz w:val="36"/>
        </w:rPr>
        <w:t>中石油企业素材</w:t>
      </w:r>
    </w:p>
    <w:p w:rsidR="00A93653" w:rsidRPr="00923956" w:rsidRDefault="00A93653" w:rsidP="00A93653">
      <w:pPr>
        <w:pStyle w:val="a3"/>
        <w:numPr>
          <w:ilvl w:val="0"/>
          <w:numId w:val="1"/>
        </w:numPr>
        <w:ind w:firstLineChars="0"/>
        <w:jc w:val="left"/>
        <w:rPr>
          <w:rFonts w:ascii="方正仿宋简体" w:eastAsia="方正仿宋简体" w:hAnsi="Times New Roman"/>
          <w:sz w:val="32"/>
          <w:szCs w:val="24"/>
        </w:rPr>
      </w:pPr>
      <w:r w:rsidRPr="00923956">
        <w:rPr>
          <w:rFonts w:ascii="方正仿宋简体" w:eastAsia="方正仿宋简体" w:hAnsi="Times New Roman" w:hint="eastAsia"/>
          <w:sz w:val="32"/>
          <w:szCs w:val="24"/>
        </w:rPr>
        <w:t>企业基本情况</w:t>
      </w:r>
    </w:p>
    <w:p w:rsidR="00381D8C" w:rsidRPr="00196FC5" w:rsidRDefault="00A93653" w:rsidP="00196FC5">
      <w:pPr>
        <w:pStyle w:val="a3"/>
        <w:ind w:firstLine="560"/>
        <w:rPr>
          <w:rFonts w:ascii="方正仿宋简体" w:eastAsia="方正仿宋简体" w:hAnsi="Times New Roman"/>
          <w:sz w:val="28"/>
          <w:szCs w:val="24"/>
        </w:rPr>
      </w:pPr>
      <w:r w:rsidRPr="00196FC5">
        <w:rPr>
          <w:rFonts w:ascii="方正仿宋简体" w:eastAsia="方正仿宋简体" w:hAnsi="Times New Roman" w:hint="eastAsia"/>
          <w:sz w:val="28"/>
          <w:szCs w:val="24"/>
        </w:rPr>
        <w:t xml:space="preserve">中国石油天然气集团公司是国有重要骨干企业和中国主要的油气生产商和供应商之一，是集油气勘探开发、炼油化工、销售贸易、管道储运、工程技术、工程建设、装备制造、金融服务于一体的综合性国际能源公司，在国内油气勘探开发中居主导地位，在全球35个国家和地区开展油气业务。 </w:t>
      </w:r>
    </w:p>
    <w:p w:rsidR="00A93653" w:rsidRPr="00196FC5" w:rsidRDefault="00A93653" w:rsidP="00196FC5">
      <w:pPr>
        <w:pStyle w:val="a3"/>
        <w:ind w:firstLine="560"/>
        <w:rPr>
          <w:rFonts w:ascii="方正仿宋简体" w:eastAsia="方正仿宋简体" w:hAnsi="Times New Roman"/>
          <w:sz w:val="28"/>
          <w:szCs w:val="24"/>
        </w:rPr>
      </w:pPr>
      <w:r w:rsidRPr="00196FC5">
        <w:rPr>
          <w:rFonts w:ascii="方正仿宋简体" w:eastAsia="方正仿宋简体" w:hAnsi="Times New Roman" w:hint="eastAsia"/>
          <w:sz w:val="28"/>
          <w:szCs w:val="24"/>
        </w:rPr>
        <w:t>“十二五”时期，中国石油全力实施科技创新三大工程，取得了40项重大标志性成果，创新形成了15项重大理论和核心配套技术，研制25项重大装备和软件，申请专利超过2.1万件，</w:t>
      </w:r>
      <w:r w:rsidR="00381D8C" w:rsidRPr="00196FC5">
        <w:rPr>
          <w:rFonts w:ascii="方正仿宋简体" w:eastAsia="方正仿宋简体" w:hAnsi="Times New Roman" w:hint="eastAsia"/>
          <w:sz w:val="28"/>
          <w:szCs w:val="24"/>
        </w:rPr>
        <w:t>新技术创效超过1000亿元，科技贡献率达到60%。</w:t>
      </w:r>
      <w:r w:rsidRPr="00196FC5">
        <w:rPr>
          <w:rFonts w:ascii="方正仿宋简体" w:eastAsia="方正仿宋简体" w:hAnsi="Times New Roman" w:hint="eastAsia"/>
          <w:sz w:val="28"/>
          <w:szCs w:val="24"/>
        </w:rPr>
        <w:t>获得国家科技奖励30项，</w:t>
      </w:r>
      <w:r w:rsidR="00381D8C" w:rsidRPr="00196FC5">
        <w:rPr>
          <w:rFonts w:ascii="方正仿宋简体" w:eastAsia="方正仿宋简体" w:hAnsi="Times New Roman" w:hint="eastAsia"/>
          <w:sz w:val="28"/>
          <w:szCs w:val="24"/>
        </w:rPr>
        <w:t>其中科学技术进步一等奖6项、二等奖20项，国家技术发明二等奖4项</w:t>
      </w:r>
      <w:r w:rsidRPr="00196FC5">
        <w:rPr>
          <w:rFonts w:ascii="方正仿宋简体" w:eastAsia="方正仿宋简体" w:hAnsi="Times New Roman" w:hint="eastAsia"/>
          <w:sz w:val="28"/>
          <w:szCs w:val="24"/>
        </w:rPr>
        <w:t>。</w:t>
      </w:r>
    </w:p>
    <w:p w:rsidR="00923956" w:rsidRDefault="00923956" w:rsidP="00381D8C">
      <w:pPr>
        <w:pStyle w:val="a3"/>
        <w:adjustRightInd w:val="0"/>
        <w:snapToGrid w:val="0"/>
        <w:spacing w:afterLines="50" w:after="156" w:line="520" w:lineRule="exact"/>
        <w:ind w:firstLine="640"/>
        <w:rPr>
          <w:rFonts w:ascii="方正仿宋简体" w:eastAsia="方正仿宋简体" w:hAnsi="Times New Roman"/>
          <w:sz w:val="32"/>
          <w:szCs w:val="24"/>
        </w:rPr>
      </w:pPr>
    </w:p>
    <w:p w:rsidR="00923956" w:rsidRDefault="00923956" w:rsidP="00923956">
      <w:pPr>
        <w:pStyle w:val="a3"/>
        <w:numPr>
          <w:ilvl w:val="0"/>
          <w:numId w:val="1"/>
        </w:numPr>
        <w:ind w:firstLineChars="0"/>
        <w:jc w:val="left"/>
        <w:rPr>
          <w:rFonts w:ascii="方正仿宋简体" w:eastAsia="方正仿宋简体" w:hAnsi="Times New Roman"/>
          <w:sz w:val="32"/>
          <w:szCs w:val="24"/>
        </w:rPr>
      </w:pPr>
      <w:r>
        <w:rPr>
          <w:rFonts w:ascii="方正仿宋简体" w:eastAsia="方正仿宋简体" w:hAnsi="Times New Roman" w:hint="eastAsia"/>
          <w:sz w:val="32"/>
          <w:szCs w:val="24"/>
        </w:rPr>
        <w:t>重点展品简要介绍</w:t>
      </w:r>
    </w:p>
    <w:p w:rsidR="00534D09" w:rsidRDefault="00534D09" w:rsidP="00534D09">
      <w:pPr>
        <w:pStyle w:val="a3"/>
        <w:numPr>
          <w:ilvl w:val="0"/>
          <w:numId w:val="3"/>
        </w:numPr>
        <w:ind w:firstLineChars="0"/>
        <w:jc w:val="left"/>
        <w:rPr>
          <w:rFonts w:ascii="方正仿宋简体" w:eastAsia="方正仿宋简体" w:hAnsi="Times New Roman"/>
          <w:sz w:val="28"/>
          <w:szCs w:val="24"/>
        </w:rPr>
      </w:pPr>
      <w:r w:rsidRPr="00534D09">
        <w:rPr>
          <w:rFonts w:ascii="方正仿宋简体" w:eastAsia="方正仿宋简体" w:hAnsi="Times New Roman" w:hint="eastAsia"/>
          <w:sz w:val="28"/>
          <w:szCs w:val="24"/>
        </w:rPr>
        <w:t>中国石油川渝深层天然气和页岩气开发技术模型</w:t>
      </w:r>
    </w:p>
    <w:p w:rsidR="007C6EA0" w:rsidRDefault="007C6EA0" w:rsidP="00196FC5">
      <w:pPr>
        <w:pStyle w:val="a3"/>
        <w:ind w:firstLine="560"/>
        <w:rPr>
          <w:rFonts w:ascii="方正仿宋简体" w:eastAsia="方正仿宋简体" w:hAnsi="Times New Roman"/>
          <w:sz w:val="28"/>
          <w:szCs w:val="24"/>
        </w:rPr>
      </w:pPr>
      <w:r>
        <w:rPr>
          <w:rFonts w:ascii="方正仿宋简体" w:eastAsia="方正仿宋简体" w:hAnsi="Times New Roman" w:hint="eastAsia"/>
          <w:sz w:val="28"/>
          <w:szCs w:val="24"/>
        </w:rPr>
        <w:t>模型全面展示了中国石油川渝地区深层天然气和页岩气从钻井、压裂、</w:t>
      </w:r>
      <w:r w:rsidR="00843AF8">
        <w:rPr>
          <w:rFonts w:ascii="方正仿宋简体" w:eastAsia="方正仿宋简体" w:hAnsi="Times New Roman" w:hint="eastAsia"/>
          <w:sz w:val="28"/>
          <w:szCs w:val="24"/>
        </w:rPr>
        <w:t>采气、集输</w:t>
      </w:r>
      <w:r>
        <w:rPr>
          <w:rFonts w:ascii="方正仿宋简体" w:eastAsia="方正仿宋简体" w:hAnsi="Times New Roman" w:hint="eastAsia"/>
          <w:sz w:val="28"/>
          <w:szCs w:val="24"/>
        </w:rPr>
        <w:t>、净化以及穿越跨越的一整套流程场景</w:t>
      </w:r>
      <w:r w:rsidR="00843AF8">
        <w:rPr>
          <w:rFonts w:ascii="方正仿宋简体" w:eastAsia="方正仿宋简体" w:hAnsi="Times New Roman" w:hint="eastAsia"/>
          <w:sz w:val="28"/>
          <w:szCs w:val="24"/>
        </w:rPr>
        <w:t>，节能减排光电图表动态的展示了</w:t>
      </w:r>
      <w:r w:rsidR="00843AF8" w:rsidRPr="00F130AA">
        <w:rPr>
          <w:rFonts w:ascii="方正仿宋简体" w:eastAsia="方正仿宋简体" w:hAnsi="宋体" w:cs="Arial" w:hint="eastAsia"/>
          <w:color w:val="000000"/>
          <w:kern w:val="0"/>
          <w:sz w:val="28"/>
          <w:szCs w:val="28"/>
        </w:rPr>
        <w:t>川渝地区消费的天然气</w:t>
      </w:r>
      <w:r w:rsidR="00843AF8">
        <w:rPr>
          <w:rFonts w:ascii="方正仿宋简体" w:eastAsia="方正仿宋简体" w:hAnsi="宋体" w:cs="Arial" w:hint="eastAsia"/>
          <w:color w:val="000000"/>
          <w:kern w:val="0"/>
          <w:sz w:val="28"/>
          <w:szCs w:val="28"/>
        </w:rPr>
        <w:t>替代煤与石油减排情况</w:t>
      </w:r>
      <w:r>
        <w:rPr>
          <w:rFonts w:ascii="方正仿宋简体" w:eastAsia="方正仿宋简体" w:hAnsi="Times New Roman" w:hint="eastAsia"/>
          <w:sz w:val="28"/>
          <w:szCs w:val="24"/>
        </w:rPr>
        <w:t>。</w:t>
      </w:r>
      <w:r w:rsidR="00843AF8" w:rsidRPr="00843AF8">
        <w:rPr>
          <w:rFonts w:ascii="方正仿宋简体" w:eastAsia="方正仿宋简体" w:hAnsi="宋体" w:cs="Arial"/>
          <w:color w:val="000000"/>
          <w:kern w:val="0"/>
          <w:sz w:val="28"/>
          <w:szCs w:val="28"/>
        </w:rPr>
        <w:t xml:space="preserve"> </w:t>
      </w:r>
      <w:r w:rsidR="00843AF8" w:rsidRPr="00843AF8">
        <w:rPr>
          <w:rFonts w:ascii="方正仿宋简体" w:eastAsia="方正仿宋简体" w:hAnsi="宋体" w:cs="Arial"/>
          <w:color w:val="000000"/>
          <w:kern w:val="0"/>
          <w:sz w:val="28"/>
          <w:szCs w:val="28"/>
        </w:rPr>
        <w:t>“</w:t>
      </w:r>
      <w:r w:rsidR="00843AF8" w:rsidRPr="00843AF8">
        <w:rPr>
          <w:rFonts w:ascii="方正仿宋简体" w:eastAsia="方正仿宋简体" w:hAnsi="宋体" w:cs="Arial"/>
          <w:color w:val="000000"/>
          <w:kern w:val="0"/>
          <w:sz w:val="28"/>
          <w:szCs w:val="28"/>
        </w:rPr>
        <w:t>十二五</w:t>
      </w:r>
      <w:r w:rsidR="00843AF8" w:rsidRPr="00843AF8">
        <w:rPr>
          <w:rFonts w:ascii="方正仿宋简体" w:eastAsia="方正仿宋简体" w:hAnsi="宋体" w:cs="Arial"/>
          <w:color w:val="000000"/>
          <w:kern w:val="0"/>
          <w:sz w:val="28"/>
          <w:szCs w:val="28"/>
        </w:rPr>
        <w:t>”</w:t>
      </w:r>
      <w:r w:rsidR="00843AF8" w:rsidRPr="00843AF8">
        <w:rPr>
          <w:rFonts w:ascii="方正仿宋简体" w:eastAsia="方正仿宋简体" w:hAnsi="宋体" w:cs="Arial"/>
          <w:color w:val="000000"/>
          <w:kern w:val="0"/>
          <w:sz w:val="28"/>
          <w:szCs w:val="28"/>
        </w:rPr>
        <w:t>期间，</w:t>
      </w:r>
      <w:r w:rsidR="00843AF8">
        <w:rPr>
          <w:rFonts w:ascii="方正仿宋简体" w:eastAsia="方正仿宋简体" w:hAnsi="宋体" w:cs="Arial" w:hint="eastAsia"/>
          <w:color w:val="000000"/>
          <w:kern w:val="0"/>
          <w:sz w:val="28"/>
          <w:szCs w:val="28"/>
        </w:rPr>
        <w:t>中国石油</w:t>
      </w:r>
      <w:r w:rsidR="00843AF8" w:rsidRPr="00843AF8">
        <w:rPr>
          <w:rFonts w:ascii="方正仿宋简体" w:eastAsia="方正仿宋简体" w:hAnsi="宋体" w:cs="Arial"/>
          <w:color w:val="000000"/>
          <w:kern w:val="0"/>
          <w:sz w:val="28"/>
          <w:szCs w:val="28"/>
        </w:rPr>
        <w:t>建成了长宁</w:t>
      </w:r>
      <w:r w:rsidR="00843AF8" w:rsidRPr="00843AF8">
        <w:rPr>
          <w:rFonts w:ascii="方正仿宋简体" w:eastAsia="方正仿宋简体" w:hAnsi="宋体" w:cs="Arial"/>
          <w:color w:val="000000"/>
          <w:kern w:val="0"/>
          <w:sz w:val="28"/>
          <w:szCs w:val="28"/>
        </w:rPr>
        <w:t>—</w:t>
      </w:r>
      <w:r w:rsidR="00843AF8" w:rsidRPr="00843AF8">
        <w:rPr>
          <w:rFonts w:ascii="方正仿宋简体" w:eastAsia="方正仿宋简体" w:hAnsi="宋体" w:cs="Arial"/>
          <w:color w:val="000000"/>
          <w:kern w:val="0"/>
          <w:sz w:val="28"/>
          <w:szCs w:val="28"/>
        </w:rPr>
        <w:t>威远国家级页岩气示范区，</w:t>
      </w:r>
      <w:r w:rsidR="00843AF8">
        <w:rPr>
          <w:rFonts w:ascii="方正仿宋简体" w:eastAsia="方正仿宋简体" w:hAnsi="宋体" w:cs="Arial" w:hint="eastAsia"/>
          <w:color w:val="000000"/>
          <w:kern w:val="0"/>
          <w:sz w:val="28"/>
          <w:szCs w:val="28"/>
        </w:rPr>
        <w:t>并</w:t>
      </w:r>
      <w:r w:rsidR="00843AF8" w:rsidRPr="00843AF8">
        <w:rPr>
          <w:rFonts w:ascii="方正仿宋简体" w:eastAsia="方正仿宋简体" w:hAnsi="宋体" w:cs="Arial"/>
          <w:color w:val="000000"/>
          <w:kern w:val="0"/>
          <w:sz w:val="28"/>
          <w:szCs w:val="28"/>
        </w:rPr>
        <w:t>将进一步加大川南地区页岩气勘探开发力度，2020年预计产气量将达到100</w:t>
      </w:r>
      <w:r w:rsidR="00843AF8">
        <w:rPr>
          <w:rFonts w:ascii="方正仿宋简体" w:eastAsia="方正仿宋简体" w:hAnsi="宋体" w:cs="Arial"/>
          <w:color w:val="000000"/>
          <w:kern w:val="0"/>
          <w:sz w:val="28"/>
          <w:szCs w:val="28"/>
        </w:rPr>
        <w:t>亿方</w:t>
      </w:r>
      <w:r w:rsidR="00843AF8">
        <w:rPr>
          <w:rFonts w:ascii="方正仿宋简体" w:eastAsia="方正仿宋简体" w:hAnsi="宋体" w:cs="Arial" w:hint="eastAsia"/>
          <w:color w:val="000000"/>
          <w:kern w:val="0"/>
          <w:sz w:val="28"/>
          <w:szCs w:val="28"/>
        </w:rPr>
        <w:t>，为</w:t>
      </w:r>
      <w:r w:rsidR="00843AF8">
        <w:rPr>
          <w:rFonts w:ascii="方正仿宋简体" w:eastAsia="方正仿宋简体" w:hAnsi="Times New Roman" w:hint="eastAsia"/>
          <w:sz w:val="28"/>
          <w:szCs w:val="24"/>
        </w:rPr>
        <w:t>中国石油加快建设川渝地区330亿战</w:t>
      </w:r>
      <w:r w:rsidR="00843AF8" w:rsidRPr="00843AF8">
        <w:rPr>
          <w:rFonts w:ascii="方正仿宋简体" w:eastAsia="方正仿宋简体" w:hAnsi="宋体" w:cs="Arial" w:hint="eastAsia"/>
          <w:color w:val="000000"/>
          <w:kern w:val="0"/>
          <w:sz w:val="28"/>
          <w:szCs w:val="28"/>
        </w:rPr>
        <w:t>略大气区</w:t>
      </w:r>
      <w:r w:rsidR="00843AF8">
        <w:rPr>
          <w:rFonts w:ascii="方正仿宋简体" w:eastAsia="方正仿宋简体" w:hAnsi="宋体" w:cs="Arial" w:hint="eastAsia"/>
          <w:color w:val="000000"/>
          <w:kern w:val="0"/>
          <w:sz w:val="28"/>
          <w:szCs w:val="28"/>
        </w:rPr>
        <w:t>提供有力保障。</w:t>
      </w:r>
    </w:p>
    <w:p w:rsidR="00534D09" w:rsidRDefault="00534D09" w:rsidP="00534D09">
      <w:pPr>
        <w:pStyle w:val="a3"/>
        <w:ind w:firstLineChars="0" w:firstLine="0"/>
        <w:jc w:val="center"/>
        <w:rPr>
          <w:rFonts w:ascii="方正仿宋简体" w:eastAsia="方正仿宋简体" w:hAnsi="Times New Roman"/>
          <w:sz w:val="32"/>
          <w:szCs w:val="24"/>
        </w:rPr>
      </w:pPr>
      <w:r>
        <w:rPr>
          <w:noProof/>
        </w:rPr>
        <w:lastRenderedPageBreak/>
        <w:drawing>
          <wp:inline distT="0" distB="0" distL="0" distR="0">
            <wp:extent cx="3448050" cy="2586038"/>
            <wp:effectExtent l="0" t="0" r="0" b="5080"/>
            <wp:docPr id="1" name="图片 1" descr="C:\Users\123\AppData\Local\Microsoft\Windows\INetCache\Content.Word\微信图片_20170905192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3\AppData\Local\Microsoft\Windows\INetCache\Content.Word\微信图片_20170905192025.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57870" cy="2593403"/>
                    </a:xfrm>
                    <a:prstGeom prst="rect">
                      <a:avLst/>
                    </a:prstGeom>
                    <a:noFill/>
                    <a:ln>
                      <a:noFill/>
                    </a:ln>
                  </pic:spPr>
                </pic:pic>
              </a:graphicData>
            </a:graphic>
          </wp:inline>
        </w:drawing>
      </w:r>
    </w:p>
    <w:p w:rsidR="00852C27" w:rsidRPr="00852C27" w:rsidRDefault="00852C27" w:rsidP="00852C27">
      <w:pPr>
        <w:pStyle w:val="a3"/>
        <w:numPr>
          <w:ilvl w:val="0"/>
          <w:numId w:val="3"/>
        </w:numPr>
        <w:ind w:firstLineChars="0"/>
        <w:jc w:val="left"/>
        <w:rPr>
          <w:rFonts w:ascii="方正仿宋简体" w:eastAsia="方正仿宋简体" w:hAnsi="Times New Roman"/>
          <w:sz w:val="28"/>
          <w:szCs w:val="24"/>
        </w:rPr>
      </w:pPr>
      <w:r w:rsidRPr="00852C27">
        <w:rPr>
          <w:rFonts w:ascii="方正仿宋简体" w:eastAsia="方正仿宋简体" w:hAnsi="Times New Roman" w:hint="eastAsia"/>
          <w:sz w:val="28"/>
          <w:szCs w:val="24"/>
        </w:rPr>
        <w:t>非平面</w:t>
      </w:r>
      <w:proofErr w:type="gramStart"/>
      <w:r w:rsidRPr="00852C27">
        <w:rPr>
          <w:rFonts w:ascii="方正仿宋简体" w:eastAsia="方正仿宋简体" w:hAnsi="Times New Roman" w:hint="eastAsia"/>
          <w:sz w:val="28"/>
          <w:szCs w:val="24"/>
        </w:rPr>
        <w:t>齿聚晶</w:t>
      </w:r>
      <w:proofErr w:type="gramEnd"/>
      <w:r w:rsidRPr="00852C27">
        <w:rPr>
          <w:rFonts w:ascii="方正仿宋简体" w:eastAsia="方正仿宋简体" w:hAnsi="Times New Roman" w:hint="eastAsia"/>
          <w:sz w:val="28"/>
          <w:szCs w:val="24"/>
        </w:rPr>
        <w:t>金刚石（PDC）钻头</w:t>
      </w:r>
    </w:p>
    <w:p w:rsidR="00852C27" w:rsidRPr="00852C27" w:rsidRDefault="00852C27" w:rsidP="00196FC5">
      <w:pPr>
        <w:pStyle w:val="a3"/>
        <w:ind w:firstLine="560"/>
        <w:rPr>
          <w:rFonts w:ascii="方正仿宋简体" w:eastAsia="方正仿宋简体" w:hAnsi="Times New Roman"/>
          <w:sz w:val="28"/>
          <w:szCs w:val="24"/>
        </w:rPr>
      </w:pPr>
      <w:r w:rsidRPr="00852C27">
        <w:rPr>
          <w:rFonts w:ascii="方正仿宋简体" w:eastAsia="方正仿宋简体" w:hAnsi="Times New Roman" w:hint="eastAsia"/>
          <w:sz w:val="28"/>
          <w:szCs w:val="24"/>
        </w:rPr>
        <w:t>中国石油采用非平面多晶金刚石切削</w:t>
      </w:r>
      <w:proofErr w:type="gramStart"/>
      <w:r w:rsidRPr="00852C27">
        <w:rPr>
          <w:rFonts w:ascii="方正仿宋简体" w:eastAsia="方正仿宋简体" w:hAnsi="Times New Roman" w:hint="eastAsia"/>
          <w:sz w:val="28"/>
          <w:szCs w:val="24"/>
        </w:rPr>
        <w:t>齿</w:t>
      </w:r>
      <w:proofErr w:type="gramEnd"/>
      <w:r w:rsidRPr="00852C27">
        <w:rPr>
          <w:rFonts w:ascii="方正仿宋简体" w:eastAsia="方正仿宋简体" w:hAnsi="Times New Roman" w:hint="eastAsia"/>
          <w:sz w:val="28"/>
          <w:szCs w:val="24"/>
        </w:rPr>
        <w:t>复合片结构，自主研发的高效PDC钻头，具有高抗压强度、高抗研磨性等特点，主要适用于非均质的巨厚砾岩、火山岩、燧石结核的白云岩、石英砂岩</w:t>
      </w:r>
      <w:proofErr w:type="gramStart"/>
      <w:r w:rsidRPr="00852C27">
        <w:rPr>
          <w:rFonts w:ascii="方正仿宋简体" w:eastAsia="方正仿宋简体" w:hAnsi="Times New Roman" w:hint="eastAsia"/>
          <w:sz w:val="28"/>
          <w:szCs w:val="24"/>
        </w:rPr>
        <w:t>等难钻地层</w:t>
      </w:r>
      <w:proofErr w:type="gramEnd"/>
      <w:r w:rsidRPr="00852C27">
        <w:rPr>
          <w:rFonts w:ascii="方正仿宋简体" w:eastAsia="方正仿宋简体" w:hAnsi="Times New Roman" w:hint="eastAsia"/>
          <w:sz w:val="28"/>
          <w:szCs w:val="24"/>
        </w:rPr>
        <w:t>，在国内和北美的现场应用创下了单只钻头进尺、钻头总进尺、平均机械钻速等多项记录，整体性能达到国际领先水平</w:t>
      </w:r>
      <w:r>
        <w:rPr>
          <w:rFonts w:ascii="方正仿宋简体" w:eastAsia="方正仿宋简体" w:hAnsi="Times New Roman" w:hint="eastAsia"/>
          <w:sz w:val="28"/>
          <w:szCs w:val="24"/>
        </w:rPr>
        <w:t>。</w:t>
      </w:r>
    </w:p>
    <w:p w:rsidR="00534D09" w:rsidRPr="00923956" w:rsidRDefault="00534D09" w:rsidP="00534D09">
      <w:pPr>
        <w:pStyle w:val="a3"/>
        <w:adjustRightInd w:val="0"/>
        <w:snapToGrid w:val="0"/>
        <w:spacing w:afterLines="50" w:after="156" w:line="360" w:lineRule="auto"/>
        <w:jc w:val="center"/>
        <w:rPr>
          <w:rFonts w:ascii="方正仿宋简体" w:eastAsia="方正仿宋简体" w:hAnsi="Times New Roman"/>
          <w:sz w:val="28"/>
          <w:szCs w:val="24"/>
        </w:rPr>
      </w:pPr>
      <w:r>
        <w:rPr>
          <w:noProof/>
        </w:rPr>
        <w:drawing>
          <wp:inline distT="0" distB="0" distL="0" distR="0">
            <wp:extent cx="2136934" cy="2849245"/>
            <wp:effectExtent l="0" t="0" r="0" b="8255"/>
            <wp:docPr id="3" name="图片 3" descr="C:\Users\123\AppData\Local\Microsoft\Windows\INetCache\Content.Word\微信图片_20170905192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23\AppData\Local\Microsoft\Windows\INetCache\Content.Word\微信图片_2017090519203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4047" cy="2858728"/>
                    </a:xfrm>
                    <a:prstGeom prst="rect">
                      <a:avLst/>
                    </a:prstGeom>
                    <a:noFill/>
                    <a:ln>
                      <a:noFill/>
                    </a:ln>
                  </pic:spPr>
                </pic:pic>
              </a:graphicData>
            </a:graphic>
          </wp:inline>
        </w:drawing>
      </w:r>
    </w:p>
    <w:p w:rsidR="00196FC5" w:rsidRPr="00196FC5" w:rsidRDefault="00196FC5" w:rsidP="00196FC5">
      <w:pPr>
        <w:pStyle w:val="a3"/>
        <w:numPr>
          <w:ilvl w:val="0"/>
          <w:numId w:val="3"/>
        </w:numPr>
        <w:ind w:firstLineChars="0"/>
        <w:jc w:val="left"/>
        <w:rPr>
          <w:rFonts w:ascii="方正仿宋简体" w:eastAsia="方正仿宋简体" w:hAnsi="Times New Roman"/>
          <w:sz w:val="28"/>
          <w:szCs w:val="24"/>
        </w:rPr>
      </w:pPr>
      <w:r w:rsidRPr="00196FC5">
        <w:rPr>
          <w:rFonts w:ascii="方正仿宋简体" w:eastAsia="方正仿宋简体" w:hAnsi="Times New Roman" w:hint="eastAsia"/>
          <w:sz w:val="28"/>
          <w:szCs w:val="24"/>
        </w:rPr>
        <w:t>碳纤维自行车</w:t>
      </w:r>
    </w:p>
    <w:p w:rsidR="00196FC5" w:rsidRDefault="00196FC5" w:rsidP="00196FC5">
      <w:pPr>
        <w:pStyle w:val="a3"/>
        <w:ind w:firstLine="560"/>
        <w:rPr>
          <w:rFonts w:ascii="方正仿宋简体" w:eastAsia="方正仿宋简体" w:hAnsi="Times New Roman"/>
          <w:sz w:val="28"/>
          <w:szCs w:val="24"/>
        </w:rPr>
      </w:pPr>
      <w:r w:rsidRPr="00196FC5">
        <w:rPr>
          <w:rFonts w:ascii="方正仿宋简体" w:eastAsia="方正仿宋简体" w:hAnsi="Times New Roman" w:hint="eastAsia"/>
          <w:sz w:val="28"/>
          <w:szCs w:val="24"/>
        </w:rPr>
        <w:lastRenderedPageBreak/>
        <w:t>利用自主研发的碳纤维材料生产的自行车，作为自行车发展史上的第四代产品，具有质量轻、刚性好、冲击吸收性好等优势，主要用作中高档竞赛类、休闲类用车，已成为自行车未来发展的主流。</w:t>
      </w:r>
      <w:bookmarkStart w:id="0" w:name="_GoBack"/>
      <w:bookmarkEnd w:id="0"/>
    </w:p>
    <w:p w:rsidR="00196FC5" w:rsidRPr="00196FC5" w:rsidRDefault="00196FC5" w:rsidP="00196FC5">
      <w:pPr>
        <w:pStyle w:val="a3"/>
        <w:ind w:firstLineChars="0" w:firstLine="0"/>
        <w:jc w:val="center"/>
        <w:rPr>
          <w:rFonts w:ascii="方正仿宋简体" w:eastAsia="方正仿宋简体" w:hAnsi="Times New Roman" w:hint="eastAsia"/>
          <w:sz w:val="28"/>
          <w:szCs w:val="24"/>
        </w:rPr>
      </w:pPr>
      <w:r w:rsidRPr="00196FC5">
        <w:rPr>
          <w:rFonts w:ascii="方正仿宋简体" w:eastAsia="方正仿宋简体" w:hAnsi="Times New Roman"/>
          <w:noProof/>
          <w:sz w:val="28"/>
          <w:szCs w:val="24"/>
        </w:rPr>
        <w:drawing>
          <wp:inline distT="0" distB="0" distL="0" distR="0">
            <wp:extent cx="4194386" cy="3145790"/>
            <wp:effectExtent l="0" t="0" r="0" b="0"/>
            <wp:docPr id="2" name="图片 2" descr="D:\工作\2017\2017央企创新成就展\实物\碳纤维自行车长160cm高90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工作\2017\2017央企创新成就展\实物\碳纤维自行车长160cm高90cm.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7417" cy="3148063"/>
                    </a:xfrm>
                    <a:prstGeom prst="rect">
                      <a:avLst/>
                    </a:prstGeom>
                    <a:noFill/>
                    <a:ln>
                      <a:noFill/>
                    </a:ln>
                  </pic:spPr>
                </pic:pic>
              </a:graphicData>
            </a:graphic>
          </wp:inline>
        </w:drawing>
      </w:r>
    </w:p>
    <w:p w:rsidR="00534D09" w:rsidRPr="00196FC5" w:rsidRDefault="00534D09" w:rsidP="00534D09">
      <w:pPr>
        <w:pStyle w:val="a3"/>
        <w:adjustRightInd w:val="0"/>
        <w:snapToGrid w:val="0"/>
        <w:spacing w:afterLines="50" w:after="156" w:line="360" w:lineRule="auto"/>
        <w:ind w:firstLineChars="0" w:firstLine="0"/>
        <w:jc w:val="center"/>
        <w:rPr>
          <w:rFonts w:ascii="方正仿宋简体" w:eastAsia="方正仿宋简体" w:hAnsi="Times New Roman"/>
          <w:sz w:val="28"/>
          <w:szCs w:val="24"/>
        </w:rPr>
      </w:pPr>
    </w:p>
    <w:p w:rsidR="00923956" w:rsidRPr="00923956" w:rsidRDefault="00923956" w:rsidP="00923956">
      <w:pPr>
        <w:pStyle w:val="a3"/>
        <w:adjustRightInd w:val="0"/>
        <w:snapToGrid w:val="0"/>
        <w:spacing w:afterLines="50" w:after="156" w:line="520" w:lineRule="exact"/>
        <w:ind w:firstLine="640"/>
        <w:rPr>
          <w:rFonts w:ascii="方正仿宋简体" w:eastAsia="方正仿宋简体" w:hAnsi="Times New Roman"/>
          <w:sz w:val="32"/>
          <w:szCs w:val="24"/>
        </w:rPr>
      </w:pPr>
    </w:p>
    <w:p w:rsidR="00923956" w:rsidRPr="00923956" w:rsidRDefault="00923956" w:rsidP="00923956">
      <w:pPr>
        <w:pStyle w:val="a3"/>
        <w:ind w:left="420" w:firstLineChars="0" w:firstLine="0"/>
        <w:jc w:val="left"/>
        <w:rPr>
          <w:rFonts w:ascii="方正仿宋简体" w:eastAsia="方正仿宋简体" w:hAnsi="Times New Roman"/>
          <w:sz w:val="32"/>
          <w:szCs w:val="24"/>
        </w:rPr>
      </w:pPr>
    </w:p>
    <w:sectPr w:rsidR="00923956" w:rsidRPr="00923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仿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27784A"/>
    <w:multiLevelType w:val="hybridMultilevel"/>
    <w:tmpl w:val="F91A0AA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9D6402B"/>
    <w:multiLevelType w:val="hybridMultilevel"/>
    <w:tmpl w:val="C750CBA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7EFB309B"/>
    <w:multiLevelType w:val="hybridMultilevel"/>
    <w:tmpl w:val="E280C5D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5C0"/>
    <w:rsid w:val="00196FC5"/>
    <w:rsid w:val="00381D8C"/>
    <w:rsid w:val="004D05C0"/>
    <w:rsid w:val="00534D09"/>
    <w:rsid w:val="0076696D"/>
    <w:rsid w:val="007C6EA0"/>
    <w:rsid w:val="00843AF8"/>
    <w:rsid w:val="00852C27"/>
    <w:rsid w:val="00890ED5"/>
    <w:rsid w:val="00923956"/>
    <w:rsid w:val="00A936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BB94A"/>
  <w15:chartTrackingRefBased/>
  <w15:docId w15:val="{6EB4368F-8F65-4281-B030-DAAD485BB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36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3</Pages>
  <Words>117</Words>
  <Characters>669</Characters>
  <Application>Microsoft Office Word</Application>
  <DocSecurity>0</DocSecurity>
  <Lines>5</Lines>
  <Paragraphs>1</Paragraphs>
  <ScaleCrop>false</ScaleCrop>
  <Company/>
  <LinksUpToDate>false</LinksUpToDate>
  <CharactersWithSpaces>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dc:creator>
  <cp:keywords/>
  <dc:description/>
  <cp:lastModifiedBy>123</cp:lastModifiedBy>
  <cp:revision>5</cp:revision>
  <dcterms:created xsi:type="dcterms:W3CDTF">2017-09-05T01:18:00Z</dcterms:created>
  <dcterms:modified xsi:type="dcterms:W3CDTF">2017-09-06T04:46:00Z</dcterms:modified>
</cp:coreProperties>
</file>