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4C" w:rsidRPr="001C18FC" w:rsidRDefault="00F03A4C" w:rsidP="00F03A4C">
      <w:pPr>
        <w:spacing w:afterLines="50" w:after="211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F03A4C">
      <w:pPr>
        <w:spacing w:afterLines="50" w:after="211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  <w:r>
        <w:rPr>
          <w:rFonts w:ascii="华文中宋" w:eastAsia="华文中宋" w:hAnsi="华文中宋" w:hint="eastAsia"/>
          <w:sz w:val="36"/>
          <w:szCs w:val="36"/>
        </w:rPr>
        <w:t>（范例及模板）</w:t>
      </w:r>
    </w:p>
    <w:tbl>
      <w:tblPr>
        <w:tblStyle w:val="a8"/>
        <w:tblW w:w="15324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F03A4C" w:rsidRPr="00EC294F" w:rsidTr="00EC294F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AC03F8" w:rsidRPr="00EC294F" w:rsidTr="00EC294F">
        <w:trPr>
          <w:trHeight w:val="2985"/>
          <w:jc w:val="center"/>
        </w:trPr>
        <w:tc>
          <w:tcPr>
            <w:tcW w:w="992" w:type="dxa"/>
          </w:tcPr>
          <w:p w:rsidR="00AC03F8" w:rsidRPr="00EC294F" w:rsidRDefault="00936A68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周守为</w:t>
            </w:r>
          </w:p>
        </w:tc>
        <w:tc>
          <w:tcPr>
            <w:tcW w:w="850" w:type="dxa"/>
          </w:tcPr>
          <w:p w:rsidR="00AC03F8" w:rsidRPr="00EC294F" w:rsidRDefault="00AC03F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936A68">
              <w:rPr>
                <w:rFonts w:ascii="仿宋_GB2312" w:eastAsia="仿宋_GB2312" w:hAnsi="宋体" w:hint="eastAsia"/>
                <w:sz w:val="21"/>
                <w:szCs w:val="21"/>
              </w:rPr>
              <w:t>50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  <w:r w:rsidR="00936A68">
              <w:rPr>
                <w:rFonts w:ascii="仿宋_GB2312" w:eastAsia="仿宋_GB2312" w:hAnsi="宋体" w:hint="eastAsia"/>
                <w:sz w:val="21"/>
                <w:szCs w:val="21"/>
              </w:rPr>
              <w:t>11月</w:t>
            </w:r>
          </w:p>
        </w:tc>
        <w:tc>
          <w:tcPr>
            <w:tcW w:w="1276" w:type="dxa"/>
          </w:tcPr>
          <w:p w:rsidR="00AC03F8" w:rsidRPr="00EC294F" w:rsidRDefault="00936A6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2009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</w:tcPr>
          <w:p w:rsidR="00AC03F8" w:rsidRPr="00EC294F" w:rsidRDefault="00936A6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能源与矿业工程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254" w:type="dxa"/>
          </w:tcPr>
          <w:p w:rsidR="00AC03F8" w:rsidRPr="00EC294F" w:rsidRDefault="00936A6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深水半潜式钻井平台981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项目技术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顾问；</w:t>
            </w:r>
          </w:p>
          <w:p w:rsidR="00AC03F8" w:rsidRPr="00EC294F" w:rsidRDefault="00936A6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海上油田高效开发国家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重点实验室学术委员会主任</w:t>
            </w:r>
          </w:p>
        </w:tc>
        <w:tc>
          <w:tcPr>
            <w:tcW w:w="992" w:type="dxa"/>
          </w:tcPr>
          <w:p w:rsidR="00AC03F8" w:rsidRPr="00EC294F" w:rsidRDefault="00936A6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海上油气开发工程</w:t>
            </w:r>
          </w:p>
        </w:tc>
        <w:tc>
          <w:tcPr>
            <w:tcW w:w="2693" w:type="dxa"/>
          </w:tcPr>
          <w:p w:rsidR="00AC03F8" w:rsidRPr="00EC294F" w:rsidRDefault="003D18F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2004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2011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年在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中国海洋石油总公司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担任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海上油田高效开发国家重点实验室主任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从事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海上油气提高采收率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研究，提出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海上油田整体加密技术、多枝导流适度出砂和海上化学驱油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技术设想。</w:t>
            </w:r>
          </w:p>
          <w:p w:rsidR="00D027F9" w:rsidRPr="00EC294F" w:rsidRDefault="003D18F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2011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年-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至今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年在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中国海洋石油总公司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担任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技术总顾问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职务，从事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天然气水合物固态流化开采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技术研究，提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出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固态流化试采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理论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并主持</w:t>
            </w:r>
            <w:r w:rsidR="00DE6C95">
              <w:rPr>
                <w:rFonts w:ascii="仿宋_GB2312" w:eastAsia="仿宋_GB2312" w:hAnsi="宋体" w:hint="eastAsia"/>
                <w:sz w:val="21"/>
                <w:szCs w:val="21"/>
              </w:rPr>
              <w:t>海上试采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1843" w:type="dxa"/>
          </w:tcPr>
          <w:p w:rsidR="00936A68" w:rsidRPr="00936A68" w:rsidRDefault="00936A68" w:rsidP="00936A68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936A68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长期工作在海洋石油生产科研第一线，在海上稠油油田开发、优快钻完井、边际油田开发及FPSO(浮式生产储油卸油装置)全海式油田开发等技术创新中做出了突出贡献， 21世纪以来，一直在推动公司深</w:t>
            </w:r>
            <w:r w:rsidRPr="00936A68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水战略的布局和深水技术的发展，为建立我国深海油田开发工程技术体系进行了深入探索。</w:t>
            </w:r>
          </w:p>
          <w:p w:rsidR="00AC03F8" w:rsidRPr="00936A68" w:rsidRDefault="00936A68" w:rsidP="00936A68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936A68">
              <w:rPr>
                <w:rFonts w:ascii="仿宋_GB2312" w:eastAsia="仿宋_GB2312" w:hAnsi="宋体" w:hint="eastAsia"/>
                <w:sz w:val="21"/>
                <w:szCs w:val="21"/>
              </w:rPr>
              <w:t>现在仍在主持深海天然气水合物开发等世界前沿技术领域的研究。</w:t>
            </w:r>
          </w:p>
        </w:tc>
        <w:tc>
          <w:tcPr>
            <w:tcW w:w="2126" w:type="dxa"/>
          </w:tcPr>
          <w:p w:rsidR="00AC03F8" w:rsidRPr="00EC294F" w:rsidRDefault="00AC03F8" w:rsidP="00D956A6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获得国家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科技进步奖特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等奖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1次、二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等奖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5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次、部级一等奖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8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次、二等奖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4次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，专利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15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项，发表论文</w:t>
            </w:r>
            <w:r w:rsidR="00D956A6">
              <w:rPr>
                <w:rFonts w:ascii="仿宋_GB2312" w:eastAsia="仿宋_GB2312" w:hAnsi="宋体" w:hint="eastAsia"/>
                <w:sz w:val="21"/>
                <w:szCs w:val="21"/>
              </w:rPr>
              <w:t>30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多篇</w:t>
            </w:r>
          </w:p>
        </w:tc>
        <w:tc>
          <w:tcPr>
            <w:tcW w:w="2026" w:type="dxa"/>
          </w:tcPr>
          <w:p w:rsidR="00AC03F8" w:rsidRPr="00EC294F" w:rsidRDefault="008951F7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8951F7">
              <w:rPr>
                <w:rFonts w:ascii="仿宋_GB2312" w:eastAsia="仿宋_GB2312" w:hAnsi="宋体" w:hint="eastAsia"/>
                <w:sz w:val="21"/>
                <w:szCs w:val="21"/>
              </w:rPr>
              <w:t>深水浅层天然气水合物固态流化绿色开采技术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="003D18FC">
              <w:rPr>
                <w:rFonts w:ascii="仿宋_GB2312" w:eastAsia="仿宋_GB2312" w:hAnsi="宋体" w:hint="eastAsia"/>
                <w:sz w:val="21"/>
                <w:szCs w:val="21"/>
              </w:rPr>
              <w:t>中国海上油气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，20</w:t>
            </w:r>
            <w:r w:rsidR="003D18FC">
              <w:rPr>
                <w:rFonts w:ascii="仿宋_GB2312" w:eastAsia="仿宋_GB2312" w:hAnsi="宋体" w:hint="eastAsia"/>
                <w:sz w:val="21"/>
                <w:szCs w:val="21"/>
              </w:rPr>
              <w:t>14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3D18FC">
              <w:rPr>
                <w:rFonts w:ascii="仿宋_GB2312" w:eastAsia="仿宋_GB2312" w:hAnsi="宋体" w:hint="eastAsia"/>
                <w:sz w:val="21"/>
                <w:szCs w:val="21"/>
              </w:rPr>
              <w:t>26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 w:rsidR="003D18FC">
              <w:rPr>
                <w:rFonts w:ascii="仿宋_GB2312" w:eastAsia="仿宋_GB2312" w:hAnsi="宋体" w:hint="eastAsia"/>
                <w:sz w:val="21"/>
                <w:szCs w:val="21"/>
              </w:rPr>
              <w:t>5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 w:rsidR="003D18FC">
              <w:rPr>
                <w:rFonts w:ascii="仿宋_GB2312" w:eastAsia="仿宋_GB2312" w:hAnsi="宋体" w:hint="eastAsia"/>
                <w:sz w:val="21"/>
                <w:szCs w:val="21"/>
              </w:rPr>
              <w:t>1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 w:rsidR="003D18FC">
              <w:rPr>
                <w:rFonts w:ascii="仿宋_GB2312" w:eastAsia="仿宋_GB2312" w:hAnsi="宋体" w:hint="eastAsia"/>
                <w:sz w:val="21"/>
                <w:szCs w:val="21"/>
              </w:rPr>
              <w:t>7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</w:p>
          <w:p w:rsidR="00EC294F" w:rsidRPr="00EC294F" w:rsidRDefault="00D956A6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深海海底浅层非成岩地层水合物绿色开采系统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[P].中国专利：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ZL201310595204X</w:t>
            </w:r>
            <w:r w:rsidR="00CE2129">
              <w:rPr>
                <w:rFonts w:ascii="仿宋_GB2312" w:eastAsia="仿宋_GB2312" w:hAnsi="宋体" w:hint="eastAsia"/>
                <w:sz w:val="21"/>
                <w:szCs w:val="21"/>
              </w:rPr>
              <w:t>（专利号）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2013-11-21</w:t>
            </w:r>
            <w:r w:rsidR="00EC294F"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</w:p>
        </w:tc>
      </w:tr>
      <w:tr w:rsidR="00AC03F8" w:rsidRPr="00EC294F" w:rsidTr="00EC294F">
        <w:trPr>
          <w:trHeight w:val="647"/>
          <w:jc w:val="center"/>
        </w:trPr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850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7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254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992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69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1843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1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  <w:tc>
          <w:tcPr>
            <w:tcW w:w="2026" w:type="dxa"/>
          </w:tcPr>
          <w:p w:rsidR="00AC03F8" w:rsidRPr="00EC294F" w:rsidRDefault="00AC03F8" w:rsidP="00EC294F">
            <w:pPr>
              <w:rPr>
                <w:rFonts w:ascii="仿宋_GB2312" w:eastAsia="仿宋_GB2312" w:hAnsi="华文中宋"/>
                <w:sz w:val="21"/>
                <w:szCs w:val="21"/>
              </w:rPr>
            </w:pP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</w:t>
      </w:r>
      <w:proofErr w:type="gramStart"/>
      <w:r w:rsidR="00F03A4C">
        <w:rPr>
          <w:rFonts w:ascii="仿宋_GB2312" w:eastAsia="仿宋_GB2312" w:hAnsi="华文中宋" w:hint="eastAsia"/>
          <w:sz w:val="32"/>
          <w:szCs w:val="36"/>
        </w:rPr>
        <w:t>随信息</w:t>
      </w:r>
      <w:proofErr w:type="gramEnd"/>
      <w:r w:rsidR="00F03A4C">
        <w:rPr>
          <w:rFonts w:ascii="仿宋_GB2312" w:eastAsia="仿宋_GB2312" w:hAnsi="华文中宋" w:hint="eastAsia"/>
          <w:sz w:val="32"/>
          <w:szCs w:val="36"/>
        </w:rPr>
        <w:t>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86A" w:rsidRDefault="009E486A" w:rsidP="00076476">
      <w:r>
        <w:separator/>
      </w:r>
    </w:p>
  </w:endnote>
  <w:endnote w:type="continuationSeparator" w:id="0">
    <w:p w:rsidR="009E486A" w:rsidRDefault="009E486A" w:rsidP="0007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86A" w:rsidRDefault="009E486A" w:rsidP="00076476">
      <w:r>
        <w:separator/>
      </w:r>
    </w:p>
  </w:footnote>
  <w:footnote w:type="continuationSeparator" w:id="0">
    <w:p w:rsidR="009E486A" w:rsidRDefault="009E486A" w:rsidP="0007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A7"/>
    <w:rsid w:val="0005015D"/>
    <w:rsid w:val="00076476"/>
    <w:rsid w:val="001B5846"/>
    <w:rsid w:val="001C18FC"/>
    <w:rsid w:val="002575D5"/>
    <w:rsid w:val="002A558D"/>
    <w:rsid w:val="00324FFD"/>
    <w:rsid w:val="00371475"/>
    <w:rsid w:val="003879A7"/>
    <w:rsid w:val="003C5956"/>
    <w:rsid w:val="003D18FC"/>
    <w:rsid w:val="003E25B9"/>
    <w:rsid w:val="00434D9B"/>
    <w:rsid w:val="004374C5"/>
    <w:rsid w:val="004E3EC8"/>
    <w:rsid w:val="005676C0"/>
    <w:rsid w:val="005F7D5B"/>
    <w:rsid w:val="006106BD"/>
    <w:rsid w:val="006C787D"/>
    <w:rsid w:val="006D45A9"/>
    <w:rsid w:val="0072194E"/>
    <w:rsid w:val="0075067D"/>
    <w:rsid w:val="007521A5"/>
    <w:rsid w:val="0078067E"/>
    <w:rsid w:val="008951F7"/>
    <w:rsid w:val="008B0840"/>
    <w:rsid w:val="008D730C"/>
    <w:rsid w:val="008E4715"/>
    <w:rsid w:val="00922150"/>
    <w:rsid w:val="00936A68"/>
    <w:rsid w:val="00950BC7"/>
    <w:rsid w:val="009929E7"/>
    <w:rsid w:val="009A4321"/>
    <w:rsid w:val="009C559D"/>
    <w:rsid w:val="009E159A"/>
    <w:rsid w:val="009E486A"/>
    <w:rsid w:val="00AC03F8"/>
    <w:rsid w:val="00B8500E"/>
    <w:rsid w:val="00BC22D0"/>
    <w:rsid w:val="00BE07A5"/>
    <w:rsid w:val="00C1532A"/>
    <w:rsid w:val="00C668E5"/>
    <w:rsid w:val="00C72296"/>
    <w:rsid w:val="00CE2129"/>
    <w:rsid w:val="00CF0988"/>
    <w:rsid w:val="00D027F9"/>
    <w:rsid w:val="00D26AFB"/>
    <w:rsid w:val="00D956A6"/>
    <w:rsid w:val="00DE6C95"/>
    <w:rsid w:val="00E97376"/>
    <w:rsid w:val="00EC294F"/>
    <w:rsid w:val="00F03A4C"/>
    <w:rsid w:val="00F458B1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2FA7D-63D1-424B-BA4B-B5661DEC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>Lenovo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匿名用户</cp:lastModifiedBy>
  <cp:revision>3</cp:revision>
  <cp:lastPrinted>2017-09-04T06:54:00Z</cp:lastPrinted>
  <dcterms:created xsi:type="dcterms:W3CDTF">2017-09-06T01:15:00Z</dcterms:created>
  <dcterms:modified xsi:type="dcterms:W3CDTF">2017-09-06T02:35:00Z</dcterms:modified>
</cp:coreProperties>
</file>