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Core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m="http://schemas.openxmlformats.org/officeDocument/2006/math" xmlns:mc="http://schemas.openxmlformats.org/markup-compatibility/2006" xmlns:ck="urn:clarkdown:docx" mc:Ignorable="ck">
  <w:body>
    <w:p>
      <w:pPr>
        <w:pStyle w:val="Heading1"/>
        <ck:id v="k"/>
      </w:pPr>
      <w:bookmarkStart w:id="0" w:name="k"/>
      <w:r>
        <w:t>K线逐根回放技术选型方案</w:t>
      </w:r>
      <w:bookmarkEnd w:id="0"/>
    </w:p>
    <w:p>
      <w:r>
        <w:rPr>
          <w:i/>
        </w:rPr>
        <w:t>金手指双盲测试系统 · 图表引擎技术验证 · 持续跟踪文档</w:t>
      </w:r>
    </w:p>
    <w:sdt>
      <w:sdtPr>
        <w:tag w:val="clarkdown:div"/>
        <ck:div v="|callout|type=info"/>
      </w:sdtPr>
      <w:sdtContent>
        <w:p>
          <w:pPr>
            <w:pStyle w:val="CkCallout"/>
          </w:pPr>
          <w:r>
            <w:t>本文档随demo一起迭代，每次新验证一项能力就补充一次记录，目标是最终选出一个最合适的图表库方案。当前版本覆盖：基础K线渲染、逐根回放交互、明暗主题、响应式布局、副图指标显示/隐藏。</w:t>
          </w:r>
        </w:p>
      </w:sdtContent>
    </w:sdt>
    <w:p>
      <w:pPr>
        <w:pStyle w:val="Heading2"/>
        <ck:id v="1"/>
      </w:pPr>
      <w:bookmarkStart w:id="1" w:name="_1"/>
      <w:r>
        <w:t>1. 背景与目标</w:t>
      </w:r>
      <w:bookmarkEnd w:id="1"/>
    </w:p>
    <w:p>
      <w:r>
        <w:t>金手指双盲测试系统需要在训练/复盘场景中，按用户点击"下一根"逐日显示K线，支持数十根到上千根不等的数据量，并要在成交量、MACD等副图指标基础上，进一步支持KDJ、BOLL、成交额等指标的按需显示/隐藏。界面需要在手机、平板、电脑三端自适应，并支持明暗两套主题。</w:t>
      </w:r>
    </w:p>
    <w:p>
      <w:r>
        <w:t xml:space="preserve">本轮技术验证的目标是从 </w:t>
      </w:r>
      <w:r>
        <w:rPr>
          <w:b/>
        </w:rPr>
        <w:t>klinecharts</w:t>
      </w:r>
      <w:r>
        <w:t>、</w:t>
      </w:r>
      <w:r>
        <w:rPr>
          <w:b/>
        </w:rPr>
        <w:t>ECharts</w:t>
      </w:r>
      <w:r>
        <w:t>、</w:t>
      </w:r>
      <w:r>
        <w:rPr>
          <w:b/>
        </w:rPr>
        <w:t>Lightweight Charts（TradingView开源版）</w:t>
      </w:r>
      <w:r>
        <w:t xml:space="preserve"> 三个候选图表库中，选出综合最合适的一个，或明确各自的适用场景。验证方式是搭建同一套demo，用完全相同的数据和交互逻辑，把三个库都实现一遍，横向对比。</w:t>
      </w:r>
    </w:p>
    <w:p>
      <w:pPr>
        <w:pStyle w:val="Heading2"/>
        <ck:id v="2"/>
      </w:pPr>
      <w:bookmarkStart w:id="2" w:name="_2"/>
      <w:r>
        <w:t>2. 三方案基础能力对比</w:t>
      </w:r>
      <w:bookmarkEnd w:id="2"/>
    </w:p>
    <w:tbl>
      <w:tblPr>
        <w:tblStyle w:val="CkTable"/>
        <w:tblW w:w="0" w:type="auto"/>
        <w:tblLayout w:type="autofit"/>
        <w:tblLook w:firstRow="1" w:lastRow="0" w:firstColumn="0" w:lastColumn="0" w:noHBand="0" w:noVBand="1"/>
      </w:tblPr>
      <w:tblGrid>
        <w:gridCol/>
        <w:gridCol/>
        <w:gridCol/>
        <w:gridCol/>
      </w:tblGrid>
      <w:tr>
        <w:trPr>
          <w:tblHeader/>
        </w:trPr>
        <w:tc>
          <w:tcPr/>
          <w:p>
            <w:r>
              <w:rPr>
                <w:b/>
              </w:rPr>
              <w:t>能力点</w:t>
            </w:r>
          </w:p>
        </w:tc>
        <w:tc>
          <w:tcPr/>
          <w:p>
            <w:r>
              <w:rPr>
                <w:b/>
              </w:rPr>
              <w:t>klinecharts v10</w:t>
            </w:r>
          </w:p>
        </w:tc>
        <w:tc>
          <w:tcPr/>
          <w:p>
            <w:r>
              <w:rPr>
                <w:b/>
              </w:rPr>
              <w:t>ECharts v6</w:t>
            </w:r>
          </w:p>
        </w:tc>
        <w:tc>
          <w:tcPr/>
          <w:p>
            <w:r>
              <w:rPr>
                <w:b/>
              </w:rPr>
              <w:t>Lightweight Charts v5</w:t>
            </w:r>
          </w:p>
        </w:tc>
      </w:tr>
      <w:tr>
        <w:tc>
          <w:tcPr/>
          <w:p>
            <w:r>
              <w:t>逐根追加K线</w:t>
            </w:r>
          </w:p>
        </w:tc>
        <w:tc>
          <w:tcPr/>
          <w:p>
            <w:r>
              <w:t xml:space="preserve">原生支持，但API和v9差异很大——v10改成了"拉取式"的 </w:t>
            </w:r>
            <w:r>
              <w:rPr>
                <w:rStyle w:val="CkCode"/>
              </w:rPr>
              <w:t>setDataLoader({getBars, subscribeBar})</w:t>
            </w:r>
            <w:r>
              <w:t xml:space="preserve"> 模式，图表主动向你要数据，不再是简单的 </w:t>
            </w:r>
            <w:r>
              <w:rPr>
                <w:rStyle w:val="CkCode"/>
              </w:rPr>
              <w:t>applyNewData()/updateData()</w:t>
            </w:r>
          </w:p>
        </w:tc>
        <w:tc>
          <w:tcPr/>
          <w:p>
            <w:r>
              <w:t xml:space="preserve">无原生"追加"语义，本demo每次点击对可见数组整体重建 </w:t>
            </w:r>
            <w:r>
              <w:rPr>
                <w:rStyle w:val="CkCode"/>
              </w:rPr>
              <w:t>setOption()</w:t>
            </w:r>
            <w:r>
              <w:t xml:space="preserve">，也有 </w:t>
            </w:r>
            <w:r>
              <w:rPr>
                <w:rStyle w:val="CkCode"/>
              </w:rPr>
              <w:t>appendData()</w:t>
            </w:r>
            <w:r>
              <w:t xml:space="preserve"> 但要自己同步维护类目轴数组，权衡后选了更稳妥的整体重建</w:t>
            </w:r>
          </w:p>
        </w:tc>
        <w:tc>
          <w:tcPr/>
          <w:p>
            <w:r>
              <w:t>原生支持，</w:t>
            </w:r>
            <w:r>
              <w:rPr>
                <w:rStyle w:val="CkCode"/>
              </w:rPr>
              <w:t>series.setData()</w:t>
            </w:r>
            <w:r>
              <w:t xml:space="preserve"> 铺初始数据、</w:t>
            </w:r>
            <w:r>
              <w:rPr>
                <w:rStyle w:val="CkCode"/>
              </w:rPr>
              <w:t>series.update(bar)</w:t>
            </w:r>
            <w:r>
              <w:t xml:space="preserve"> 追加一根，语义上是三个里最直观的</w:t>
            </w:r>
          </w:p>
        </w:tc>
      </w:tr>
      <w:tr>
        <w:tc>
          <w:tcPr/>
          <w:p>
            <w:r>
              <w:t>成交量/MACD 独立副图 + 联动</w:t>
            </w:r>
          </w:p>
        </w:tc>
        <w:tc>
          <w:tcPr/>
          <w:p>
            <w:r>
              <w:t>内置，</w:t>
            </w:r>
            <w:r>
              <w:rPr>
                <w:rStyle w:val="CkCode"/>
              </w:rPr>
              <w:t>createIndicator()</w:t>
            </w:r>
            <w:r>
              <w:t xml:space="preserve"> 自动生成新副图，同一chart实例天然联动</w:t>
            </w:r>
          </w:p>
        </w:tc>
        <w:tc>
          <w:tcPr/>
          <w:p>
            <w:r>
              <w:t xml:space="preserve">需要手工用多个grid堆叠 + </w:t>
            </w:r>
            <w:r>
              <w:rPr>
                <w:rStyle w:val="CkCode"/>
              </w:rPr>
              <w:t>axisPointer.link</w:t>
            </w:r>
            <w:r>
              <w:t xml:space="preserve"> + </w:t>
            </w:r>
            <w:r>
              <w:rPr>
                <w:rStyle w:val="CkCode"/>
              </w:rPr>
              <w:t>dataZoom</w:t>
            </w:r>
            <w:r>
              <w:t xml:space="preserve"> 实现联动，MACD无内置类型，DIF/DEA/柱子要自己算</w:t>
            </w:r>
          </w:p>
        </w:tc>
        <w:tc>
          <w:tcPr/>
          <w:p>
            <w:r>
              <w:t>v5起原生支持多pane（</w:t>
            </w:r>
            <w:r>
              <w:rPr>
                <w:rStyle w:val="CkCode"/>
              </w:rPr>
              <w:t>chart.addSeries(Type, options, paneIndex)</w:t>
            </w:r>
            <w:r>
              <w:t>），v4及更早版本不支持，是重要的版本依赖点</w:t>
            </w:r>
          </w:p>
        </w:tc>
      </w:tr>
      <w:tr>
        <w:tc>
          <w:tcPr/>
          <w:p>
            <w:r>
              <w:t>明暗主题切换</w:t>
            </w:r>
          </w:p>
        </w:tc>
        <w:tc>
          <w:tcPr/>
          <w:p>
            <w:r>
              <w:t xml:space="preserve">需要维护完整的明暗样式对象传给 </w:t>
            </w:r>
            <w:r>
              <w:rPr>
                <w:rStyle w:val="CkCode"/>
              </w:rPr>
              <w:t>setStyles()</w:t>
            </w:r>
            <w:r>
              <w:t>，v10相比v9改了不少字段名</w:t>
            </w:r>
          </w:p>
        </w:tc>
        <w:tc>
          <w:tcPr/>
          <w:p>
            <w:r>
              <w:t>本身无主题概念，</w:t>
            </w:r>
            <w:r>
              <w:rPr>
                <w:rStyle w:val="CkCode"/>
              </w:rPr>
              <w:t>setOption</w:t>
            </w:r>
            <w:r>
              <w:t xml:space="preserve"> 里传对应颜色即可，最灵活</w:t>
            </w:r>
          </w:p>
        </w:tc>
        <w:tc>
          <w:tcPr/>
          <w:p>
            <w:r>
              <w:rPr>
                <w:rStyle w:val="CkCode"/>
              </w:rPr>
              <w:t>chart.applyOptions({layout:{...}})</w:t>
            </w:r>
            <w:r>
              <w:t xml:space="preserve"> 局部更新，无需重建图表</w:t>
            </w:r>
          </w:p>
        </w:tc>
      </w:tr>
      <w:tr>
        <w:tc>
          <w:tcPr/>
          <w:p>
            <w:r>
              <w:t>移动端触摸+响应式</w:t>
            </w:r>
          </w:p>
        </w:tc>
        <w:tc>
          <w:tcPr/>
          <w:p>
            <w:r>
              <w:t>官方定位支持移动端，内置触摸手势</w:t>
            </w:r>
          </w:p>
        </w:tc>
        <w:tc>
          <w:tcPr/>
          <w:p>
            <w:r>
              <w:t xml:space="preserve">成熟稳定，缩放/拖动靠 </w:t>
            </w:r>
            <w:r>
              <w:rPr>
                <w:rStyle w:val="CkCode"/>
              </w:rPr>
              <w:t>dataZoom</w:t>
            </w:r>
            <w:r>
              <w:t xml:space="preserve"> 配置</w:t>
            </w:r>
          </w:p>
        </w:tc>
        <w:tc>
          <w:tcPr/>
          <w:p>
            <w:r>
              <w:t>TradingView官方出品，交互体验好</w:t>
            </w:r>
          </w:p>
        </w:tc>
      </w:tr>
      <w:tr>
        <w:tc>
          <w:tcPr/>
          <w:p>
            <w:r>
              <w:t>1000+根性能预期</w:t>
            </w:r>
          </w:p>
        </w:tc>
        <w:tc>
          <w:tcPr/>
          <w:p>
            <w:r>
              <w:t>Canvas渲染，官方宣称gzip约40k，轻量</w:t>
            </w:r>
          </w:p>
        </w:tc>
        <w:tc>
          <w:tcPr/>
          <w:p>
            <w:r>
              <w:t>Canvas渲染，够用，但整体重建option在高频操作下要留意开销</w:t>
            </w:r>
          </w:p>
        </w:tc>
        <w:tc>
          <w:tcPr/>
          <w:p>
            <w:r>
              <w:t>专为高频行情/大数据量设计，三者中性能上限最高</w:t>
            </w:r>
          </w:p>
        </w:tc>
      </w:tr>
    </w:tbl>
    <w:p>
      <w:pPr>
        <w:pStyle w:val="Heading2"/>
        <ck:id v="3"/>
      </w:pPr>
      <w:bookmarkStart w:id="3" w:name="_3"/>
      <w:r>
        <w:t>3. 副图指标显示/隐藏——难度评分（本轮新增验证，2026-08-14 因实测bug修订）</w:t>
      </w:r>
      <w:bookmarkEnd w:id="3"/>
    </w:p>
    <w:p>
      <w:r>
        <w:t>新需求：在成交量、MACD基础上，再加KDJ、BOLL、成交额，且都要支持点击显示/隐藏。评分标准统一为1-5分（5分=最省事），四个维度：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>内置支持度</w:t>
      </w:r>
      <w:r>
        <w:t>：库本身有没有现成的KDJ/BOLL/MACD计算逻辑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>显示/隐藏切换</w:t>
      </w:r>
      <w:r>
        <w:t>：做"点一下按钮显示或隐藏某个指标"这个交互，API是否天生支持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>自定义指标难度</w:t>
      </w:r>
      <w:r>
        <w:t>：成交额这种库里没有的指标，扩展机制好不好用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>布局自适应</w:t>
      </w:r>
      <w:r>
        <w:t>：副图数量变化时，图表高度/分区要不要手动重新计算</w:t>
      </w:r>
    </w:p>
    <w:tbl>
      <w:tblPr>
        <w:tblStyle w:val="CkTable"/>
        <w:tblW w:w="0" w:type="auto"/>
        <w:tblLayout w:type="autofit"/>
        <w:tblLook w:firstRow="1" w:lastRow="0" w:firstColumn="0" w:lastColumn="0" w:noHBand="0" w:noVBand="1"/>
      </w:tblPr>
      <w:tblGrid>
        <w:gridCol/>
        <w:gridCol/>
        <w:gridCol/>
        <w:gridCol/>
      </w:tblGrid>
      <w:tr>
        <w:trPr>
          <w:tblHeader/>
        </w:trPr>
        <w:tc>
          <w:tcPr/>
          <w:p>
            <w:r>
              <w:rPr>
                <w:b/>
              </w:rPr>
              <w:t>维度</w:t>
            </w:r>
          </w:p>
        </w:tc>
        <w:tc>
          <w:tcPr/>
          <w:p>
            <w:r>
              <w:rPr>
                <w:b/>
              </w:rPr>
              <w:t>klinecharts</w:t>
            </w:r>
          </w:p>
        </w:tc>
        <w:tc>
          <w:tcPr/>
          <w:p>
            <w:r>
              <w:rPr>
                <w:b/>
              </w:rPr>
              <w:t>ECharts</w:t>
            </w:r>
          </w:p>
        </w:tc>
        <w:tc>
          <w:tcPr/>
          <w:p>
            <w:r>
              <w:rPr>
                <w:b/>
              </w:rPr>
              <w:t>Lightweight Charts</w:t>
            </w:r>
          </w:p>
        </w:tc>
      </w:tr>
      <w:tr>
        <w:tc>
          <w:tcPr/>
          <w:p>
            <w:r>
              <w:t>内置支持度</w:t>
            </w:r>
          </w:p>
        </w:tc>
        <w:tc>
          <w:tcPr/>
          <w:p>
            <w:r>
              <w:rPr>
                <w:b/>
              </w:rPr>
              <w:t>5分</w:t>
            </w:r>
            <w:r>
              <w:t xml:space="preserve"> — MA/VOL/MACD/KDJ/BOLL全部内置</w:t>
            </w:r>
          </w:p>
        </w:tc>
        <w:tc>
          <w:tcPr/>
          <w:p>
            <w:r>
              <w:rPr>
                <w:b/>
              </w:rPr>
              <w:t>2分</w:t>
            </w:r>
            <w:r>
              <w:t xml:space="preserve"> — 全部要自己写公式</w:t>
            </w:r>
          </w:p>
        </w:tc>
        <w:tc>
          <w:tcPr/>
          <w:p>
            <w:r>
              <w:rPr>
                <w:b/>
              </w:rPr>
              <w:t>1分</w:t>
            </w:r>
            <w:r>
              <w:t xml:space="preserve"> — 零内置，连MA都要自己算</w:t>
            </w:r>
          </w:p>
        </w:tc>
      </w:tr>
      <w:tr>
        <w:tc>
          <w:tcPr/>
          <w:p>
            <w:r>
              <w:t>显示/隐藏切换</w:t>
            </w:r>
          </w:p>
        </w:tc>
        <w:tc>
          <w:tcPr/>
          <w:p>
            <w:r>
              <w:rPr>
                <w:b/>
              </w:rPr>
              <w:t>3分（实测踩过真实bug，已修复，详见第4节）</w:t>
            </w:r>
            <w:r>
              <w:t xml:space="preserve"> — 取消勾选任意一个指标会把全部副图一起清空，根因是 </w:t>
            </w:r>
            <w:r>
              <w:rPr>
                <w:rStyle w:val="CkCode"/>
              </w:rPr>
              <w:t>removeIndicator</w:t>
            </w:r>
            <w:r>
              <w:t xml:space="preserve"> 签名被误用成位置参数</w:t>
            </w:r>
          </w:p>
        </w:tc>
        <w:tc>
          <w:tcPr/>
          <w:p>
            <w:r>
              <w:rPr>
                <w:b/>
              </w:rPr>
              <w:t>3分</w:t>
            </w:r>
            <w:r>
              <w:t xml:space="preserve"> — 靠整体重建option，逻辑不难但要小心状态丢失（第4节有一次真实案例）</w:t>
            </w:r>
          </w:p>
        </w:tc>
        <w:tc>
          <w:tcPr/>
          <w:p>
            <w:r>
              <w:rPr>
                <w:b/>
              </w:rPr>
              <w:t>5分</w:t>
            </w:r>
            <w:r>
              <w:t xml:space="preserve"> — </w:t>
            </w:r>
            <w:r>
              <w:rPr>
                <w:rStyle w:val="CkCode"/>
              </w:rPr>
              <w:t>series.applyOptions({visible:false})</w:t>
            </w:r>
            <w:r>
              <w:t xml:space="preserve"> 一行搞定，三者中最简单</w:t>
            </w:r>
          </w:p>
        </w:tc>
      </w:tr>
      <w:tr>
        <w:tc>
          <w:tcPr/>
          <w:p>
            <w:r>
              <w:t>自定义指标难度</w:t>
            </w:r>
          </w:p>
        </w:tc>
        <w:tc>
          <w:tcPr/>
          <w:p>
            <w:r>
              <w:rPr>
                <w:b/>
              </w:rPr>
              <w:t>4分</w:t>
            </w:r>
            <w:r>
              <w:t xml:space="preserve"> — 官方 </w:t>
            </w:r>
            <w:r>
              <w:rPr>
                <w:rStyle w:val="CkCode"/>
              </w:rPr>
              <w:t>registerIndicator()</w:t>
            </w:r>
            <w:r>
              <w:t xml:space="preserve"> 扩展机制，但要学一套新配置格式</w:t>
            </w:r>
          </w:p>
        </w:tc>
        <w:tc>
          <w:tcPr/>
          <w:p>
            <w:r>
              <w:rPr>
                <w:b/>
              </w:rPr>
              <w:t>4分</w:t>
            </w:r>
            <w:r>
              <w:t xml:space="preserve"> — 再加一个bar系列即可，直白</w:t>
            </w:r>
          </w:p>
        </w:tc>
        <w:tc>
          <w:tcPr/>
          <w:p>
            <w:r>
              <w:rPr>
                <w:b/>
              </w:rPr>
              <w:t>4分</w:t>
            </w:r>
            <w:r>
              <w:t xml:space="preserve"> — 再加一个Histogram系列，与ECharts相当</w:t>
            </w:r>
          </w:p>
        </w:tc>
      </w:tr>
      <w:tr>
        <w:tc>
          <w:tcPr/>
          <w:p>
            <w:r>
              <w:t>布局自适应</w:t>
            </w:r>
          </w:p>
        </w:tc>
        <w:tc>
          <w:tcPr/>
          <w:p>
            <w:r>
              <w:rPr>
                <w:b/>
              </w:rPr>
              <w:t>5分</w:t>
            </w:r>
            <w:r>
              <w:t xml:space="preserve"> — 副图开关自动新增/移除pane，高度自动重分布</w:t>
            </w:r>
          </w:p>
        </w:tc>
        <w:tc>
          <w:tcPr/>
          <w:p>
            <w:r>
              <w:rPr>
                <w:b/>
              </w:rPr>
              <w:t>2分</w:t>
            </w:r>
            <w:r>
              <w:t xml:space="preserve"> — grid行数、xAxis/yAxis的gridIndex、dataZoom联动范围全部要重新计算，代码量最大</w:t>
            </w:r>
          </w:p>
        </w:tc>
        <w:tc>
          <w:tcPr/>
          <w:p>
            <w:r>
              <w:rPr>
                <w:b/>
              </w:rPr>
              <w:t>3分</w:t>
            </w:r>
            <w:r>
              <w:t xml:space="preserve"> — pane高度要手动分配；demo里选择"关闭的副图收起成一条窄条"而非真正移除pane，实现更简单但视觉不如klinecharts干净（官方有 </w:t>
            </w:r>
            <w:r>
              <w:rPr>
                <w:rStyle w:val="CkCode"/>
              </w:rPr>
              <w:t>removePane()</w:t>
            </w:r>
            <w:r>
              <w:t>，做到同等效果需要更多状态管理代码）</w:t>
            </w:r>
          </w:p>
        </w:tc>
      </w:tr>
      <w:tr>
        <w:tc>
          <w:tcPr/>
          <w:p>
            <w:r>
              <w:rPr>
                <w:b/>
              </w:rPr>
              <w:t>综合平均分</w:t>
            </w:r>
          </w:p>
        </w:tc>
        <w:tc>
          <w:tcPr/>
          <w:p>
            <w:r>
              <w:rPr>
                <w:b/>
              </w:rPr>
              <w:t>4.25</w:t>
            </w:r>
            <w:r>
              <w:t>（原4.5，因第4节新发现的真实bug下调）</w:t>
            </w:r>
          </w:p>
        </w:tc>
        <w:tc>
          <w:tcPr/>
          <w:p>
            <w:r>
              <w:rPr>
                <w:b/>
              </w:rPr>
              <w:t>2.75</w:t>
            </w:r>
          </w:p>
        </w:tc>
        <w:tc>
          <w:tcPr/>
          <w:p>
            <w:r>
              <w:rPr>
                <w:b/>
              </w:rPr>
              <w:t>3.25</w:t>
            </w:r>
          </w:p>
        </w:tc>
      </w:tr>
    </w:tbl>
    <w:p>
      <w:r>
        <w:rPr>
          <w:b/>
        </w:rPr>
        <w:t>结论</w:t>
      </w:r>
      <w:r>
        <w:t>：klinecharts在"指标持续增加"这件事上优势明显，且会随指标数量增加而进一步拉大差距；如果最看重"轻量交互的丝滑程度"，Lightweight Charts反而是三者中最简单的；ECharts两头都不占优，但最灵活可控，出问题时最容易排查定位。</w:t>
      </w:r>
    </w:p>
    <w:p>
      <w:r>
        <w:rPr>
          <w:b/>
        </w:rPr>
        <w:t>重要澄清（针对分数高≠没bug的问题）</w:t>
      </w:r>
      <w:r>
        <w:t>：klinecharts综合分最高，不代表它是三者中bug最少的——恰恰相反，截至目前</w:t>
      </w:r>
      <w:r>
        <w:rPr>
          <w:b/>
        </w:rPr>
        <w:t>三个方案里所有会导致功能整体损坏的真实bug，全部出在klinecharts身上</w:t>
      </w:r>
      <w:r>
        <w:t>（见第4节：CDN路径404、v9→v10数据接入API整体替换、以及这次的</w:t>
      </w:r>
      <w:r>
        <w:rPr>
          <w:rStyle w:val="CkCode"/>
        </w:rPr>
        <w:t>removeIndicator</w:t>
      </w:r>
      <w:r>
        <w:t>签名误用）。它分数仍然最高，是因为这些bug被发现后都能修复且修复成本不高，而"内置支持度"和"布局自适应"这两个维度的结构性优势依然成立。但这也说明，选klinecharts意味着要为"文档与实际API有出入"预留更多实测时间。</w:t>
      </w:r>
    </w:p>
    <w:p>
      <w:pPr>
        <w:pStyle w:val="Heading2"/>
        <ck:id v="4"/>
      </w:pPr>
      <w:bookmarkStart w:id="4" w:name="_4"/>
      <w:r>
        <w:t>4. 实测踩坑记录</w:t>
      </w:r>
      <w:bookmarkEnd w:id="4"/>
    </w:p>
    <w:p>
      <w:r>
        <w:t>这一节记录的是</w:t>
      </w:r>
      <w:r>
        <w:rPr>
          <w:b/>
        </w:rPr>
        <w:t>真实调试过程中遇到的问题</w:t>
      </w:r>
      <w:r>
        <w:t>，不是纸面推演，供后续团队自己实现时提前避坑。</w:t>
      </w:r>
    </w:p>
    <w:sdt>
      <w:sdtPr>
        <w:tag w:val="clarkdown:div"/>
        <ck:div v="|callout|type=warning"/>
      </w:sdtPr>
      <w:sdtContent>
        <w:p>
          <w:pPr>
            <w:pStyle w:val="CkCallout"/>
          </w:pPr>
          <w:r>
            <w:rPr>
              <w:b/>
            </w:rPr>
            <w:t>klinecharts CDN路径写错导致长期"加载失败"</w:t>
          </w:r>
          <w:r>
            <w:t xml:space="preserve">：v10的产物路径带了一层 </w:t>
          </w:r>
          <w:r>
            <w:rPr>
              <w:rStyle w:val="CkCode"/>
            </w:rPr>
            <w:t>/umd/</w:t>
          </w:r>
          <w:r>
            <w:t xml:space="preserve"> 目录（</w:t>
          </w:r>
          <w:r>
            <w:rPr>
              <w:rStyle w:val="CkCode"/>
            </w:rPr>
            <w:t>dist/umd/klinecharts.min.js</w:t>
          </w:r>
          <w:r>
            <w:t xml:space="preserve">），一开始误写成 </w:t>
          </w:r>
          <w:r>
            <w:rPr>
              <w:rStyle w:val="CkCode"/>
            </w:rPr>
            <w:t>dist/klinecharts.min.js</w:t>
          </w:r>
          <w:r>
            <w:t>，导致所有镜像源都404。表现出来是"三个库全部加载失败"的假象，容易被误判为网络/CSP问题，实际上和网络环境无关。</w:t>
          </w:r>
          <w:r>
            <w:rPr>
              <w:b/>
            </w:rPr>
            <w:t>结论：升级大版本时，务必用官方最新quick-start示例里的路径为准，不要沿用旧版本记忆里的路径。</w:t>
          </w:r>
        </w:p>
      </w:sdtContent>
    </w:sdt>
    <w:sdt>
      <w:sdtPr>
        <w:tag w:val="clarkdown:div"/>
        <ck:div v="|callout|type=warning"/>
      </w:sdtPr>
      <w:sdtContent>
        <w:p>
          <w:pPr>
            <w:pStyle w:val="CkCallout"/>
          </w:pPr>
          <w:r>
            <w:rPr>
              <w:b/>
            </w:rPr>
            <w:t>klinecharts v10数据接入API整体替换</w:t>
          </w:r>
          <w:r>
            <w:t xml:space="preserve">：v9的 </w:t>
          </w:r>
          <w:r>
            <w:rPr>
              <w:rStyle w:val="CkCode"/>
            </w:rPr>
            <w:t>chart.applyNewData()/chart.updateData()</w:t>
          </w:r>
          <w:r>
            <w:t xml:space="preserve"> 在v10已不存在，替换为 </w:t>
          </w:r>
          <w:r>
            <w:rPr>
              <w:rStyle w:val="CkCode"/>
            </w:rPr>
            <w:t>setDataLoader({getBars, subscribeBar, unsubscribeBar})</w:t>
          </w:r>
          <w:r>
            <w:t xml:space="preserve"> 这种"图表主动拉取数据"的模式。这是一次没有过渡期的破坏性变更，说明klinecharts虽然功能全，但版本升级的API稳定性不算好，采用前要评估团队能否接受这种升级成本。</w:t>
          </w:r>
        </w:p>
      </w:sdtContent>
    </w:sdt>
    <w:sdt>
      <w:sdtPr>
        <w:tag w:val="clarkdown:div"/>
        <ck:div v="|callout|type=warning"/>
      </w:sdtPr>
      <w:sdtContent>
        <w:p>
          <w:pPr>
            <w:pStyle w:val="CkCallout"/>
          </w:pPr>
          <w:r>
            <w:rPr>
              <w:b/>
            </w:rPr>
            <w:t>ECharts点"下一根"会把用户手动缩放的视图重置</w:t>
          </w:r>
          <w:r>
            <w:t xml:space="preserve">：因为每次追加新K线都用 </w:t>
          </w:r>
          <w:r>
            <w:rPr>
              <w:rStyle w:val="CkCode"/>
            </w:rPr>
            <w:t>setOption()</w:t>
          </w:r>
          <w:r>
            <w:t xml:space="preserve"> 整体重建配置，</w:t>
          </w:r>
          <w:r>
            <w:rPr>
              <w:rStyle w:val="CkCode"/>
            </w:rPr>
            <w:t>dataZoom</w:t>
          </w:r>
          <w:r>
            <w:t xml:space="preserve"> 的 </w:t>
          </w:r>
          <w:r>
            <w:rPr>
              <w:rStyle w:val="CkCode"/>
            </w:rPr>
            <w:t>start/end</w:t>
          </w:r>
          <w:r>
            <w:t xml:space="preserve"> 一开始写死成固定默认值，导致每次点击都把用户刚放大的画面弹回默认视图。</w:t>
          </w:r>
          <w:r>
            <w:rPr>
              <w:b/>
            </w:rPr>
            <w:t>修复方式</w:t>
          </w:r>
          <w:r>
            <w:t xml:space="preserve">：追加数据前先用 </w:t>
          </w:r>
          <w:r>
            <w:rPr>
              <w:rStyle w:val="CkCode"/>
            </w:rPr>
            <w:t>chart.getOption()</w:t>
          </w:r>
          <w:r>
            <w:t xml:space="preserve"> 读出当前实际缩放区间，重建时把这个区间原样传回去。这是"整体重建"这种实现方式天然的风险点，凡是采用类似思路（不止ECharts）都要注意保留用户交互状态。</w:t>
          </w:r>
        </w:p>
      </w:sdtContent>
    </w:sdt>
    <w:sdt>
      <w:sdtPr>
        <w:tag w:val="clarkdown:div"/>
        <ck:div v="|callout|type=warning"/>
      </w:sdtPr>
      <w:sdtContent>
        <w:p>
          <w:pPr>
            <w:pStyle w:val="CkCallout"/>
          </w:pPr>
          <w:r>
            <w:rPr>
              <w:b/>
            </w:rPr>
            <w:t>klinecharts：取消勾选任意一个副图指标，会把所有副图一起清空（2026-08-14 用户实机实测发现）</w:t>
          </w:r>
          <w:r>
            <w:t>：在demo里依次勾选成交量/MACD/KDJ/成交额/BOLL都能正常显示，但反选BOLL时，</w:t>
          </w:r>
          <w:r>
            <w:rPr>
              <w:b/>
            </w:rPr>
            <w:t>klinecharts方案的所有副图指标全部消失</w:t>
          </w:r>
          <w:r>
            <w:t xml:space="preserve">，ECharts和Lightweight Charts同样操作均正常。根因：klinecharts v10的 </w:t>
          </w:r>
          <w:r>
            <w:rPr>
              <w:rStyle w:val="CkCode"/>
            </w:rPr>
            <w:t>removeIndicator()</w:t>
          </w:r>
          <w:r>
            <w:t xml:space="preserve"> 真实签名是单个filter对象 </w:t>
          </w:r>
          <w:r>
            <w:rPr>
              <w:rStyle w:val="CkCode"/>
            </w:rPr>
            <w:t>{id?, name?, paneId?}</w:t>
          </w:r>
          <w:r>
            <w:t xml:space="preserve">，之前的代码按"想当然的常见风格"写成了 </w:t>
          </w:r>
          <w:r>
            <w:rPr>
              <w:rStyle w:val="CkCode"/>
            </w:rPr>
            <w:t>removeIndicator(paneId, name)</w:t>
          </w:r>
          <w:r>
            <w:t xml:space="preserve"> 两个位置参数——第一个字符串参数会被当成filter对象整体解构，id/name/paneId三个字段全读出undefined，等价于"不加任何过滤条件"，触发库内部"清空全部指标"的行为。</w:t>
          </w:r>
          <w:r>
            <w:rPr>
              <w:b/>
            </w:rPr>
            <w:t>修复方式</w:t>
          </w:r>
          <w:r>
            <w:t xml:space="preserve">：把 </w:t>
          </w:r>
          <w:r>
            <w:rPr>
              <w:rStyle w:val="CkCode"/>
            </w:rPr>
            <w:t>createIndicator</w:t>
          </w:r>
          <w:r>
            <w:t xml:space="preserve"> 的返回值（文档明确写的"indicator id"）保存下来，删除时改用 </w:t>
          </w:r>
          <w:r>
            <w:rPr>
              <w:rStyle w:val="CkCode"/>
            </w:rPr>
            <w:t>removeIndicator({id: 创建时返回的id})</w:t>
          </w:r>
          <w:r>
            <w:t xml:space="preserve"> 精确指定单个指标，不再依赖位置参数。已写一个模拟v10真实返回语义的单元测试验证：旧代码复现bug（取消BOLL后存活指标为空数组），新代码修复后只移除BOLL本身、其余四个指标完好保留。</w:t>
          </w:r>
          <w:r>
            <w:rPr>
              <w:b/>
            </w:rPr>
            <w:t>这是目前三个方案里唯一一个会导致"整个功能模块直接壎掉"的bug，已在第3节评分表中对应扣分。</w:t>
          </w:r>
        </w:p>
      </w:sdtContent>
    </w:sdt>
    <w:p>
      <w:r>
        <w:rPr>
          <w:b/>
        </w:rPr>
        <w:t>诚实反思</w:t>
      </w:r>
      <w:r>
        <w:t>：之前给klinecharts"显示/隐藏切换"打分时，备注里写了"v10的id/paneId获取方式没有100%确认，实测前留有一点不确定性"——但这只是提示了不确定性，没有真正拦住这个bug上线。说明**"看官方文档写代码"和"过一遍真实点击交互"之间必须要有实测这一步**，光凭读文档打分是不够的。后续任何新发现的真实bug，都会同样处理：先如实记录，再看是否需要调整对应维度的分数。</w:t>
      </w:r>
    </w:p>
    <w:p>
      <w:pPr>
        <w:pStyle w:val="Heading2"/>
        <ck:id v="5"/>
      </w:pPr>
      <w:bookmarkStart w:id="5" w:name="_5"/>
      <w:r>
        <w:t>5. 已知限制与尚待验证项</w:t>
      </w:r>
      <w:bookmarkEnd w:id="5"/>
    </w:p>
    <w:p>
      <w:pPr>
        <w:pStyle w:val="ListParagraph"/>
        <w:numPr>
          <w:ilvl w:val="0"/>
          <w:numId w:val="2"/>
        </w:numPr>
      </w:pPr>
      <w:r>
        <w:t>图表库通过CDN加载，三个库都需要外部网络连通性；已实现"多镜像自动重试+失败原因直接显示在图表区域"，缓解单一CDN不可达的问题，但无法完全消除对外部网络的依赖。</w:t>
      </w:r>
    </w:p>
    <w:p>
      <w:pPr>
        <w:pStyle w:val="ListParagraph"/>
        <w:numPr>
          <w:ilvl w:val="0"/>
          <w:numId w:val="2"/>
        </w:numPr>
      </w:pPr>
      <w:r>
        <w:t>"加载真实历史数据"功能（对接 stooq.com 公开CSV接口）目前在实测中失败（</w:t>
      </w:r>
      <w:r>
        <w:rPr>
          <w:rStyle w:val="CkCode"/>
        </w:rPr>
        <w:t>Load failed</w:t>
      </w:r>
      <w:r>
        <w:t>），大概率是该接口未对任意来源开放跨域访问（CORS），暂未验证替代数据源；当前demo默认仍使用本地模拟数据，不影响核心图表能力的验证。</w:t>
      </w:r>
    </w:p>
    <w:p>
      <w:pPr>
        <w:pStyle w:val="ListParagraph"/>
        <w:numPr>
          <w:ilvl w:val="0"/>
          <w:numId w:val="2"/>
        </w:numPr>
      </w:pPr>
      <w:r>
        <w:t xml:space="preserve">klinecharts的 </w:t>
      </w:r>
      <w:r>
        <w:rPr>
          <w:rStyle w:val="CkCode"/>
        </w:rPr>
        <w:t>removeIndicator</w:t>
      </w:r>
      <w:r>
        <w:t xml:space="preserve"> 具体参数（v10下 </w:t>
      </w:r>
      <w:r>
        <w:rPr>
          <w:rStyle w:val="CkCode"/>
        </w:rPr>
        <w:t>createIndicator</w:t>
      </w:r>
      <w:r>
        <w:t xml:space="preserve"> 返回值是否可直接作为 </w:t>
      </w:r>
      <w:r>
        <w:rPr>
          <w:rStyle w:val="CkCode"/>
        </w:rPr>
        <w:t>paneId</w:t>
      </w:r>
      <w:r>
        <w:t xml:space="preserve"> 使用）尚未在真实浏览器环境下100%验证，已做防御性try/catch，若有异常会在诊断日志中精确报出。</w:t>
      </w:r>
    </w:p>
    <w:p>
      <w:pPr>
        <w:pStyle w:val="ListParagraph"/>
        <w:numPr>
          <w:ilvl w:val="0"/>
          <w:numId w:val="2"/>
        </w:numPr>
      </w:pPr>
      <w:r>
        <w:t>移动端横竖屏适配目前是基于响应式CSS（</w:t>
      </w:r>
      <w:r>
        <w:rPr>
          <w:rStyle w:val="CkCode"/>
        </w:rPr>
        <w:t>clamp()</w:t>
      </w:r>
      <w:r>
        <w:t xml:space="preserve"> 尺寸 + 横屏专用媒体查询）设计完成，尚未在真实设备上逐一实测。</w:t>
      </w:r>
    </w:p>
    <w:p>
      <w:pPr>
        <w:pStyle w:val="Heading2"/>
        <ck:id v="6"/>
      </w:pPr>
      <w:bookmarkStart w:id="6" w:name="_6"/>
      <w:r>
        <w:t>6. 下一步建议</w:t>
      </w:r>
      <w:bookmarkEnd w:id="6"/>
    </w:p>
    <w:p>
      <w:pPr>
        <w:pStyle w:val="ListParagraph"/>
        <w:numPr>
          <w:ilvl w:val="0"/>
          <w:numId w:val="3"/>
        </w:numPr>
      </w:pPr>
      <w:r>
        <w:t>已将demo（</w:t>
      </w:r>
      <w:r>
        <w:rPr>
          <w:rStyle w:val="CkCode"/>
        </w:rPr>
        <w:t>index.html</w:t>
      </w:r>
      <w:r>
        <w:t>）同步到本地，在真实网络环境（而非受限沙箱）中完整测试三个方案的图表渲染、指标切换、1000根数据量下的性能表现。</w:t>
      </w:r>
    </w:p>
    <w:p>
      <w:pPr>
        <w:pStyle w:val="ListParagraph"/>
        <w:numPr>
          <w:ilvl w:val="0"/>
          <w:numId w:val="3"/>
        </w:numPr>
      </w:pPr>
      <w:r>
        <w:rPr>
          <w:strike/>
        </w:rPr>
        <w:t xml:space="preserve">针对klinecharts的 </w:t>
      </w:r>
      <w:r>
        <w:rPr>
          <w:rStyle w:val="CkCode"/>
          <w:strike/>
        </w:rPr>
        <w:t>removeIndicator</w:t>
      </w:r>
      <w:r>
        <w:rPr>
          <w:strike/>
        </w:rPr>
        <w:t xml:space="preserve"> 行为做一次专门验证</w:t>
      </w:r>
      <w:r>
        <w:t xml:space="preserve"> → </w:t>
      </w:r>
      <w:r>
        <w:rPr>
          <w:b/>
        </w:rPr>
        <w:t>已完成</w:t>
      </w:r>
      <w:r>
        <w:t>：2026-08-14 用户实机复现了这个问题（取消勾选BOLL导致所有副图消失），已定位根因并修复，详见第4节。</w:t>
      </w:r>
    </w:p>
    <w:p>
      <w:pPr>
        <w:pStyle w:val="ListParagraph"/>
        <w:numPr>
          <w:ilvl w:val="0"/>
          <w:numId w:val="3"/>
        </w:numPr>
      </w:pPr>
      <w:r>
        <w:t>新增：在本地真实浏览器中重新验证一遍副图指标开关栏的完整行为（依次勾选/取消每一个指标，三个方案各跑一遍），确认不再有类似的隐藏性bug。</w:t>
      </w:r>
    </w:p>
    <w:p>
      <w:pPr>
        <w:pStyle w:val="ListParagraph"/>
        <w:numPr>
          <w:ilvl w:val="0"/>
          <w:numId w:val="3"/>
        </w:numPr>
      </w:pPr>
      <w:r>
        <w:t>如果团队决定采用klinecharts，建议提前评估其版本升级频率和breaking change历史，制定后续大版本升级的测试规范；同时建议对其他已实现的API调用也补一轮官方文档比对，避免同类问题重复出现。</w:t>
      </w:r>
    </w:p>
    <w:p>
      <w:pPr>
        <w:pStyle w:val="ListParagraph"/>
        <w:numPr>
          <w:ilvl w:val="0"/>
          <w:numId w:val="3"/>
        </w:numPr>
      </w:pPr>
      <w:r>
        <w:t>新增：如果最终选型Lightweight Charts，需要产品/法务确认能否接受其强制属名条款（详见第7节）——这个确认建议在正式选型前就启动，避免到上线前斕发现无法接受。</w:t>
      </w:r>
    </w:p>
    <w:p>
      <w:pPr>
        <w:pStyle w:val="ListParagraph"/>
        <w:numPr>
          <w:ilvl w:val="0"/>
          <w:numId w:val="3"/>
        </w:numPr>
      </w:pPr>
      <w:r>
        <w:t>待以上验证完成后，在本文档"结论"部分给出最终选型建议。</w:t>
      </w:r>
    </w:p>
    <w:p>
      <w:pPr>
        <w:pStyle w:val="Heading2"/>
        <ck:id v="7"/>
      </w:pPr>
      <w:bookmarkStart w:id="7" w:name="_7"/>
      <w:r>
        <w:t>7. 性能与知识产权授权评估（面向本地化部署场景，2026-08-14新增）</w:t>
      </w:r>
      <w:bookmarkEnd w:id="7"/>
    </w:p>
    <w:p>
      <w:r>
        <w:rPr>
          <w:b/>
        </w:rPr>
        <w:t>前提说明</w:t>
      </w:r>
      <w:r>
        <w:t>：本节评估假设最终产品采用</w:t>
      </w:r>
      <w:r>
        <w:rPr>
          <w:b/>
        </w:rPr>
        <w:t>本地化部署</w:t>
      </w:r>
      <w:r>
        <w:t xml:space="preserve">（自建服务器/内网环境，非依赖外部CDN）：图表库以 </w:t>
      </w:r>
      <w:r>
        <w:rPr>
          <w:rStyle w:val="CkCode"/>
        </w:rPr>
        <w:t>npm install</w:t>
      </w:r>
      <w:r>
        <w:t xml:space="preserve"> 依赖形式打包进自己的前端构建产物，不再像本 demo 那样依赖运行时动态加载多镜像 CDN。这意味着前面章节记录的"CDN镜像加载失败"这类风险，在正式生产环境中基本不存在（import 后随应用一起打包即可）；但也意味着包体积会直接计入自家应用的构建产物体积，需要一并评估。</w:t>
      </w:r>
    </w:p>
    <w:p>
      <w:pPr>
        <w:pStyle w:val="Heading3"/>
        <ck:id v="71-license"/>
      </w:pPr>
      <w:bookmarkStart w:id="8" w:name="_71_license"/>
      <w:r>
        <w:t>7.1 开源许可证（License）对比</w:t>
      </w:r>
      <w:bookmarkEnd w:id="8"/>
    </w:p>
    <w:p>
      <w:r>
        <w:t>三者在核心代码许可上</w:t>
      </w:r>
      <w:r>
        <w:rPr>
          <w:b/>
        </w:rPr>
        <w:t>都是 Apache License 2.0</w:t>
      </w:r>
      <w:r>
        <w:t>（允许商用、允许修改和分发、需保留版权声明，不属于强传染式开源协议，不要求开放使用方自己的代码），</w:t>
      </w:r>
      <w:r>
        <w:rPr>
          <w:b/>
        </w:rPr>
        <w:t>但实操作层面有一个关键差异</w:t>
      </w:r>
      <w:r>
        <w:t>：</w:t>
      </w:r>
    </w:p>
    <w:tbl>
      <w:tblPr>
        <w:tblStyle w:val="CkTable"/>
        <w:tblW w:w="0" w:type="auto"/>
        <w:tblLayout w:type="autofit"/>
        <w:tblLook w:firstRow="1" w:lastRow="0" w:firstColumn="0" w:lastColumn="0" w:noHBand="0" w:noVBand="1"/>
      </w:tblPr>
      <w:tblGrid>
        <w:gridCol/>
        <w:gridCol/>
        <w:gridCol/>
        <w:gridCol/>
      </w:tblGrid>
      <w:tr>
        <w:trPr>
          <w:tblHeader/>
        </w:trPr>
        <w:tc>
          <w:tcPr/>
          <w:p/>
        </w:tc>
        <w:tc>
          <w:tcPr/>
          <w:p>
            <w:r>
              <w:rPr>
                <w:b/>
              </w:rPr>
              <w:t>klinecharts</w:t>
            </w:r>
          </w:p>
        </w:tc>
        <w:tc>
          <w:tcPr/>
          <w:p>
            <w:r>
              <w:rPr>
                <w:b/>
              </w:rPr>
              <w:t>ECharts</w:t>
            </w:r>
          </w:p>
        </w:tc>
        <w:tc>
          <w:tcPr/>
          <w:p>
            <w:r>
              <w:rPr>
                <w:b/>
              </w:rPr>
              <w:t>Lightweight Charts</w:t>
            </w:r>
          </w:p>
        </w:tc>
      </w:tr>
      <w:tr>
        <w:tc>
          <w:tcPr/>
          <w:p>
            <w:r>
              <w:t>开源许可证</w:t>
            </w:r>
          </w:p>
        </w:tc>
        <w:tc>
          <w:tcPr/>
          <w:p>
            <w:r>
              <w:t>Apache-2.0</w:t>
            </w:r>
          </w:p>
        </w:tc>
        <w:tc>
          <w:tcPr/>
          <w:p>
            <w:r>
              <w:t>Apache-2.0（Apache软件基金会顶级项目）</w:t>
            </w:r>
          </w:p>
        </w:tc>
        <w:tc>
          <w:tcPr/>
          <w:p>
            <w:r>
              <w:t>Apache-2.0</w:t>
            </w:r>
          </w:p>
        </w:tc>
      </w:tr>
      <w:tr>
        <w:tc>
          <w:tcPr/>
          <w:p>
            <w:r>
              <w:t>商用是否需付费</w:t>
            </w:r>
          </w:p>
        </w:tc>
        <w:tc>
          <w:tcPr/>
          <w:p>
            <w:r>
              <w:t>否</w:t>
            </w:r>
          </w:p>
        </w:tc>
        <w:tc>
          <w:tcPr/>
          <w:p>
            <w:r>
              <w:t>否</w:t>
            </w:r>
          </w:p>
        </w:tc>
        <w:tc>
          <w:tcPr/>
          <w:p>
            <w:r>
              <w:t>否</w:t>
            </w:r>
          </w:p>
        </w:tc>
      </w:tr>
      <w:tr>
        <w:tc>
          <w:tcPr/>
          <w:p>
            <w:r>
              <w:t>附加UI归属要求</w:t>
            </w:r>
          </w:p>
        </w:tc>
        <w:tc>
          <w:tcPr/>
          <w:p>
            <w:r>
              <w:rPr>
                <w:b/>
              </w:rPr>
              <w:t>无</w:t>
            </w:r>
            <w:r>
              <w:t>，官方README仅说明"Apache License V2"，未提到需在界面上显示水印或商用授权费</w:t>
            </w:r>
          </w:p>
        </w:tc>
        <w:tc>
          <w:tcPr/>
          <w:p>
            <w:r>
              <w:rPr>
                <w:b/>
              </w:rPr>
              <w:t>无</w:t>
            </w:r>
            <w:r>
              <w:t>，三者中协议最"干净"，不需要任何运行时UI展示</w:t>
            </w:r>
          </w:p>
        </w:tc>
        <w:tc>
          <w:tcPr/>
          <w:p>
            <w:r>
              <w:rPr>
                <w:b/>
              </w:rPr>
              <w:t>有（重点！）</w:t>
            </w:r>
            <w:r>
              <w:t xml:space="preserve">——官方LICENSE明确要求：必须在用户可见的页面/App中添加"由 TradingView 提供技术支持"的归属声明，并附 tradingview.com 链接（可用官方提供的 </w:t>
            </w:r>
            <w:r>
              <w:rPr>
                <w:rStyle w:val="CkCode"/>
              </w:rPr>
              <w:t>attributionLogo</w:t>
            </w:r>
            <w:r>
              <w:t xml:space="preserve"> 图表选项在图表本身展示来满足此要求）</w:t>
            </w:r>
          </w:p>
        </w:tc>
      </w:tr>
    </w:tbl>
    <w:p>
      <w:r>
        <w:rPr>
          <w:b/>
        </w:rPr>
        <w:t>对金手指这类双盲测试训练平台的实际影响</w:t>
      </w:r>
      <w:r>
        <w:t>：如果选 Lightweight Charts，产品面需要接受在训练界面上永久展示"TradingView"字样/链接这个硬性要求——这不是可选项，而是开源许可证的一部分，不显示就算违反许可证。如果产品/品牌方向不希望在自家训练工具里暴露第三方工具来源（比如担心泄露测试工具技术栈、或与自身品牌调性冲突），需要联系TradingView单独洽谈商业授权以免除该义务，这会带来额外成本和沿谈周期。klinecharts 和 ECharts 则没有这个问题，可以完全"静默"地集成到产品里。</w:t>
      </w:r>
    </w:p>
    <w:p>
      <w:pPr>
        <w:pStyle w:val="Quote"/>
        <w:ind w:left="720"/>
      </w:pPr>
      <w:r>
        <w:t>注：以上信息根据2026年8月官方仓库 LICENSE/README 整理，</w:t>
      </w:r>
      <w:r>
        <w:rPr>
          <w:b/>
        </w:rPr>
        <w:t>不构成法律意见</w:t>
      </w:r>
      <w:r>
        <w:t>，正式采用前建议由法务/知识产权同事复核一道最新版本的许可条款（许可条款可能随版本变化）。</w:t>
      </w:r>
    </w:p>
    <w:p>
      <w:pPr>
        <w:pStyle w:val="Heading3"/>
        <ck:id v="72"/>
      </w:pPr>
      <w:bookmarkStart w:id="9" w:name="_72"/>
      <w:r>
        <w:t>7.2 性能对比（本地部署视角）</w:t>
      </w:r>
      <w:bookmarkEnd w:id="9"/>
    </w:p>
    <w:tbl>
      <w:tblPr>
        <w:tblStyle w:val="CkTable"/>
        <w:tblW w:w="0" w:type="auto"/>
        <w:tblLayout w:type="autofit"/>
        <w:tblLook w:firstRow="1" w:lastRow="0" w:firstColumn="0" w:lastColumn="0" w:noHBand="0" w:noVBand="1"/>
      </w:tblPr>
      <w:tblGrid>
        <w:gridCol/>
        <w:gridCol/>
        <w:gridCol/>
        <w:gridCol/>
      </w:tblGrid>
      <w:tr>
        <w:trPr>
          <w:tblHeader/>
        </w:trPr>
        <w:tc>
          <w:tcPr/>
          <w:p/>
        </w:tc>
        <w:tc>
          <w:tcPr/>
          <w:p>
            <w:r>
              <w:rPr>
                <w:b/>
              </w:rPr>
              <w:t>klinecharts</w:t>
            </w:r>
          </w:p>
        </w:tc>
        <w:tc>
          <w:tcPr/>
          <w:p>
            <w:r>
              <w:rPr>
                <w:b/>
              </w:rPr>
              <w:t>ECharts</w:t>
            </w:r>
          </w:p>
        </w:tc>
        <w:tc>
          <w:tcPr/>
          <w:p>
            <w:r>
              <w:rPr>
                <w:b/>
              </w:rPr>
              <w:t>Lightweight Charts</w:t>
            </w:r>
          </w:p>
        </w:tc>
      </w:tr>
      <w:tr>
        <w:tc>
          <w:tcPr/>
          <w:p>
            <w:r>
              <w:t>包体积（gzip，打包后计入产品体积）</w:t>
            </w:r>
          </w:p>
        </w:tc>
        <w:tc>
          <w:tcPr/>
          <w:p>
            <w:r>
              <w:t>较小，官方宣称约 40KB，专为K线场景设计，天然轻量</w:t>
            </w:r>
          </w:p>
        </w:tc>
        <w:tc>
          <w:tcPr/>
          <w:p>
            <w:r>
              <w:t>全量引入较大（300-400KB+），但支持按需引入（只打包Canvas渲染器+K线/柱状/折线系列+Grid+DataZoom等），实际项目中通常能压到100KB量级，但需要团队自己维护按需引入清单</w:t>
            </w:r>
          </w:p>
        </w:tc>
        <w:tc>
          <w:tcPr/>
          <w:p>
            <w:r>
              <w:t>最小，官方宣称约45KB，专为金融图表设计，三者中"每 KB 换金融图表能力"性价比最高</w:t>
            </w:r>
          </w:p>
        </w:tc>
      </w:tr>
      <w:tr>
        <w:tc>
          <w:tcPr/>
          <w:p>
            <w:r>
              <w:t>渲染引擎</w:t>
            </w:r>
          </w:p>
        </w:tc>
        <w:tc>
          <w:tcPr/>
          <w:p>
            <w:r>
              <w:t>Canvas，专为K线场景优化</w:t>
            </w:r>
          </w:p>
        </w:tc>
        <w:tc>
          <w:tcPr/>
          <w:p>
            <w:r>
              <w:t>Canvas（也支持SVG），通用图表引擎，为通用性做了更多抽象层</w:t>
            </w:r>
          </w:p>
        </w:tc>
        <w:tc>
          <w:tcPr/>
          <w:p>
            <w:r>
              <w:t>Canvas，专为实时行情高频更新场景优化（TradingView自家产品同源技术）</w:t>
            </w:r>
          </w:p>
        </w:tc>
      </w:tr>
      <w:tr>
        <w:tc>
          <w:tcPr/>
          <w:p>
            <w:r>
              <w:t>1000根量级静态渲染</w:t>
            </w:r>
          </w:p>
        </w:tc>
        <w:tc>
          <w:tcPr/>
          <w:p>
            <w:r>
              <w:t>没问题</w:t>
            </w:r>
          </w:p>
        </w:tc>
        <w:tc>
          <w:tcPr/>
          <w:p>
            <w:r>
              <w:t>没问题</w:t>
            </w:r>
          </w:p>
        </w:tc>
        <w:tc>
          <w:tcPr/>
          <w:p>
            <w:r>
              <w:t>没问题</w:t>
            </w:r>
          </w:p>
        </w:tc>
      </w:tr>
      <w:tr>
        <w:tc>
          <w:tcPr/>
          <w:p>
            <w:r>
              <w:t>高频逐根/逐tick推送更新（如未来实盘行情接入）</w:t>
            </w:r>
          </w:p>
        </w:tc>
        <w:tc>
          <w:tcPr/>
          <w:p>
            <w:r>
              <w:t>较好，但本 demo 中 klinecharts 的推送式 API 相对新，长期高频推送稳定性尚缺乏大规模生产验证</w:t>
            </w:r>
          </w:p>
        </w:tc>
        <w:tc>
          <w:tcPr/>
          <w:p>
            <w:r>
              <w:t>较弱，本 demo 采用的"每次</w:t>
            </w:r>
            <w:r>
              <w:rPr>
                <w:rStyle w:val="CkCode"/>
              </w:rPr>
              <w:t>setOption</w:t>
            </w:r>
            <w:r>
              <w:t>全量重建"策略在数据量/更新频率上去会性能下降，生产环境必须换成增量更新API，需要额外工程投入</w:t>
            </w:r>
          </w:p>
        </w:tc>
        <w:tc>
          <w:tcPr/>
          <w:p>
            <w:r>
              <w:rPr>
                <w:b/>
              </w:rPr>
              <w:t>最强</w:t>
            </w:r>
            <w:r>
              <w:t>，TradingView自家实盘行情场景专门优化，支持十万级数据点+高频更新不卡顿是其设计目标本身</w:t>
            </w:r>
          </w:p>
        </w:tc>
      </w:tr>
      <w:tr>
        <w:tc>
          <w:tcPr/>
          <w:p>
            <w:r>
              <w:t>移动端触摸手感</w:t>
            </w:r>
          </w:p>
        </w:tc>
        <w:tc>
          <w:tcPr/>
          <w:p>
            <w:r>
              <w:t>官方宣称支持，未单独深入对比过</w:t>
            </w:r>
          </w:p>
        </w:tc>
        <w:tc>
          <w:tcPr/>
          <w:p>
            <w:r>
              <w:t>官方宣称支持，未单独深入对比过</w:t>
            </w:r>
          </w:p>
        </w:tc>
        <w:tc>
          <w:tcPr/>
          <w:p>
            <w:r>
              <w:t>官方宣称支持且打磨最细致（TradingView自家产品长期打磨经验积累），但三者都还没有在本项目真机上实测过，仅基于官方定位描述，</w:t>
            </w:r>
            <w:r>
              <w:rPr>
                <w:b/>
              </w:rPr>
              <w:t>需列入下一轮真机实测计划</w:t>
            </w:r>
          </w:p>
        </w:tc>
      </w:tr>
    </w:tbl>
    <w:p>
      <w:pPr>
        <w:pStyle w:val="Heading3"/>
        <ck:id v="73"/>
      </w:pPr>
      <w:bookmarkStart w:id="10" w:name="_73"/>
      <w:r>
        <w:t>7.3 本节结论</w:t>
      </w:r>
      <w:bookmarkEnd w:id="10"/>
    </w:p>
    <w:p>
      <w:r>
        <w:t>三者许可证都允许免费商用，不存在"用了就要交授权费"的问题，</w:t>
      </w:r>
      <w:r>
        <w:rPr>
          <w:b/>
        </w:rPr>
        <w:t>主要差异集中在 Lightweight Charts 的强制品牌展示条款上</w:t>
      </w:r>
      <w:r>
        <w:t>：</w:t>
      </w:r>
    </w:p>
    <w:p>
      <w:pPr>
        <w:pStyle w:val="ListParagraph"/>
        <w:numPr>
          <w:ilvl w:val="0"/>
          <w:numId w:val="4"/>
        </w:numPr>
      </w:pPr>
      <w:r>
        <w:t>如果本地部署非常看重"零第三方品牌暴露、法务最干净"：klinecharts 和 ECharts 都没有这个问题，Lightweight Charts 需要产品线确认能否接受展示条款。</w:t>
      </w:r>
    </w:p>
    <w:p>
      <w:pPr>
        <w:pStyle w:val="ListParagraph"/>
        <w:numPr>
          <w:ilvl w:val="0"/>
          <w:numId w:val="4"/>
        </w:numPr>
      </w:pPr>
      <w:r>
        <w:t>如果最看重"逐根/逐tick实时推送场景下的极限性能"（比如未来接入真实行情）：Lightweight Charts 原生最强。</w:t>
      </w:r>
    </w:p>
    <w:p>
      <w:pPr>
        <w:pStyle w:val="ListParagraph"/>
        <w:numPr>
          <w:ilvl w:val="0"/>
          <w:numId w:val="4"/>
        </w:numPr>
      </w:pPr>
      <w:r>
        <w:t>当前阶段需求（点击逐根回放，非高频实盘）下，三者性能均足够，性能不是当前阶段的选型瓶颈，真正需要认真权衡的是 License 条款能否被产品/法务接受，以及前面章节记录的各自工程实现成本。</w:t>
      </w:r>
    </w:p>
    <w:p>
      <w:fldSimple w:instr="TOC \o &quot;1-3&quot; \h \z \u" w:dirty="true">
        <w:r>
          <w:t>Table of Contents</w:t>
        </w:r>
      </w:fldSimple>
    </w:p>
    <w:sectPr>
      <w:pgSz w:w="12240" w:h="15840"/>
      <w:pgMar w:top="1440" w:right="1440" w:bottom="1440" w:left="1440" w:header="720" w:footer="720" w:gutter="0"/>
    </w:sectPr>
  </w:body>
</w:document>
</file>

<file path=word/fontTable.xml><?xml version="1.0" encoding="utf-8"?>
<w:fonts xmlns:w="http://schemas.openxmlformats.org/wordprocessingml/2006/main">
  <w:font w:name="Calibri">
    <w:family w:val="swiss"/>
  </w:font>
  <w:font w:name="Calibri Light">
    <w:family w:val="swiss"/>
  </w:font>
  <w:font w:name="Consolas">
    <w:family w:val="modern"/>
  </w:font>
</w:fonts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1."/>
      <w:lvlJc w:val="left"/>
      <w:pPr>
        <w:ind w:left="2880" w:hanging="360"/>
      </w:pPr>
    </w:lvl>
    <w:lvl w:ilvl="4">
      <w:start w:val="1"/>
      <w:numFmt w:val="decimal"/>
      <w:lvlText w:val="%2."/>
      <w:lvlJc w:val="left"/>
      <w:pPr>
        <w:ind w:left="3600" w:hanging="360"/>
      </w:pPr>
    </w:lvl>
    <w:lvl w:ilvl="5">
      <w:start w:val="1"/>
      <w:numFmt w:val="decimal"/>
      <w:lvlText w:val="%3."/>
      <w:lvlJc w:val="left"/>
      <w:pPr>
        <w:ind w:left="4320" w:hanging="360"/>
      </w:pPr>
    </w:lvl>
    <w:lvl w:ilvl="6">
      <w:start w:val="1"/>
      <w:numFmt w:val="decimal"/>
      <w:lvlText w:val="%1."/>
      <w:lvlJc w:val="left"/>
      <w:pPr>
        <w:ind w:left="5040" w:hanging="360"/>
      </w:pPr>
    </w:lvl>
    <w:lvl w:ilvl="7">
      <w:start w:val="1"/>
      <w:numFmt w:val="decimal"/>
      <w:lvlText w:val="%2."/>
      <w:lvlJc w:val="left"/>
      <w:pPr>
        <w:ind w:left="5760" w:hanging="360"/>
      </w:pPr>
    </w:lvl>
    <w:lvl w:ilvl="8">
      <w:start w:val="1"/>
      <w:numFmt w:val="decimal"/>
      <w:lvlText w:val="%3."/>
      <w:lvlJc w:val="left"/>
      <w:pPr>
        <w:ind w:left="6480" w:hanging="360"/>
      </w:pPr>
    </w:lvl>
  </w:abstractNum>
  <w:abstractNum w:abstractNumId="3">
    <w:multiLevelType w:val="hybridMultilevel"/>
    <w:lvl w:ilvl="0">
      <w:start w:val="1"/>
      <w:numFmt w:val="bullet"/>
      <w:lvlText w:val="☐"/>
      <w:lvlJc w:val="left"/>
      <w:pPr>
        <w:ind w:left="720" w:hanging="360"/>
      </w:pPr>
    </w:lvl>
    <w:lvl w:ilvl="1">
      <w:start w:val="1"/>
      <w:numFmt w:val="bullet"/>
      <w:lvlText w:val="☐"/>
      <w:lvlJc w:val="left"/>
      <w:pPr>
        <w:ind w:left="1440" w:hanging="360"/>
      </w:pPr>
    </w:lvl>
    <w:lvl w:ilvl="2">
      <w:start w:val="1"/>
      <w:numFmt w:val="bullet"/>
      <w:lvlText w:val="☐"/>
      <w:lvlJc w:val="left"/>
      <w:pPr>
        <w:ind w:left="2160" w:hanging="360"/>
      </w:pPr>
    </w:lvl>
    <w:lvl w:ilvl="3">
      <w:start w:val="1"/>
      <w:numFmt w:val="bullet"/>
      <w:lvlText w:val="☐"/>
      <w:lvlJc w:val="left"/>
      <w:pPr>
        <w:ind w:left="2880" w:hanging="360"/>
      </w:pPr>
    </w:lvl>
    <w:lvl w:ilvl="4">
      <w:start w:val="1"/>
      <w:numFmt w:val="bullet"/>
      <w:lvlText w:val="☐"/>
      <w:lvlJc w:val="left"/>
      <w:pPr>
        <w:ind w:left="3600" w:hanging="360"/>
      </w:pPr>
    </w:lvl>
    <w:lvl w:ilvl="5">
      <w:start w:val="1"/>
      <w:numFmt w:val="bullet"/>
      <w:lvlText w:val="☐"/>
      <w:lvlJc w:val="left"/>
      <w:pPr>
        <w:ind w:left="4320" w:hanging="360"/>
      </w:pPr>
    </w:lvl>
    <w:lvl w:ilvl="6">
      <w:start w:val="1"/>
      <w:numFmt w:val="bullet"/>
      <w:lvlText w:val="☐"/>
      <w:lvlJc w:val="left"/>
      <w:pPr>
        <w:ind w:left="5040" w:hanging="360"/>
      </w:pPr>
    </w:lvl>
    <w:lvl w:ilvl="7">
      <w:start w:val="1"/>
      <w:numFmt w:val="bullet"/>
      <w:lvlText w:val="☐"/>
      <w:lvlJc w:val="left"/>
      <w:pPr>
        <w:ind w:left="5760" w:hanging="360"/>
      </w:pPr>
    </w:lvl>
    <w:lvl w:ilvl="8">
      <w:start w:val="1"/>
      <w:numFmt w:val="bullet"/>
      <w:lvlText w:val="☐"/>
      <w:lvlJc w:val="left"/>
      <w:pPr>
        <w:ind w:left="6480" w:hanging="360"/>
      </w:pPr>
    </w:lvl>
  </w:abstractNum>
  <w:abstractNum w:abstractNumId="4">
    <w:multiLevelType w:val="hybridMultilevel"/>
    <w:lvl w:ilvl="0">
      <w:start w:val="1"/>
      <w:numFmt w:val="bullet"/>
      <w:lvlText w:val="☑"/>
      <w:lvlJc w:val="left"/>
      <w:pPr>
        <w:ind w:left="720" w:hanging="360"/>
      </w:pPr>
    </w:lvl>
    <w:lvl w:ilvl="1">
      <w:start w:val="1"/>
      <w:numFmt w:val="bullet"/>
      <w:lvlText w:val="☑"/>
      <w:lvlJc w:val="left"/>
      <w:pPr>
        <w:ind w:left="1440" w:hanging="360"/>
      </w:pPr>
    </w:lvl>
    <w:lvl w:ilvl="2">
      <w:start w:val="1"/>
      <w:numFmt w:val="bullet"/>
      <w:lvlText w:val="☑"/>
      <w:lvlJc w:val="left"/>
      <w:pPr>
        <w:ind w:left="2160" w:hanging="360"/>
      </w:pPr>
    </w:lvl>
    <w:lvl w:ilvl="3">
      <w:start w:val="1"/>
      <w:numFmt w:val="bullet"/>
      <w:lvlText w:val="☑"/>
      <w:lvlJc w:val="left"/>
      <w:pPr>
        <w:ind w:left="2880" w:hanging="360"/>
      </w:pPr>
    </w:lvl>
    <w:lvl w:ilvl="4">
      <w:start w:val="1"/>
      <w:numFmt w:val="bullet"/>
      <w:lvlText w:val="☑"/>
      <w:lvlJc w:val="left"/>
      <w:pPr>
        <w:ind w:left="3600" w:hanging="360"/>
      </w:pPr>
    </w:lvl>
    <w:lvl w:ilvl="5">
      <w:start w:val="1"/>
      <w:numFmt w:val="bullet"/>
      <w:lvlText w:val="☑"/>
      <w:lvlJc w:val="left"/>
      <w:pPr>
        <w:ind w:left="4320" w:hanging="360"/>
      </w:pPr>
    </w:lvl>
    <w:lvl w:ilvl="6">
      <w:start w:val="1"/>
      <w:numFmt w:val="bullet"/>
      <w:lvlText w:val="☑"/>
      <w:lvlJc w:val="left"/>
      <w:pPr>
        <w:ind w:left="5040" w:hanging="360"/>
      </w:pPr>
    </w:lvl>
    <w:lvl w:ilvl="7">
      <w:start w:val="1"/>
      <w:numFmt w:val="bullet"/>
      <w:lvlText w:val="☑"/>
      <w:lvlJc w:val="left"/>
      <w:pPr>
        <w:ind w:left="5760" w:hanging="360"/>
      </w:pPr>
    </w:lvl>
    <w:lvl w:ilvl="8">
      <w:start w:val="1"/>
      <w:numFmt w:val="bullet"/>
      <w:lvlText w:val="☑"/>
      <w:lvlJc w:val="left"/>
      <w:pPr>
        <w:ind w:left="6480" w:hanging="360"/>
      </w:pPr>
    </w:lvl>
  </w:abstractNum>
  <w:num w:numId="1">
    <w:abstractNumId w:val="1"/>
  </w:num>
  <w:num w:numId="2">
    <w:abstractNumId w:val="1"/>
  </w:num>
  <w:num w:numId="3">
    <w:abstractNumId w:val="2"/>
    <w:lvlOverride w:ilvl="0">
      <w:startOverride w:val="1"/>
    </w:lvlOverride>
  </w:num>
  <w:num w:numId="4">
    <w:abstractNumId w:val="1"/>
  </w:num>
</w:numbering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lang w:val="en-US"/>
      </w:rPr>
    </w:rPrDefault>
    <w:pPrDefault>
      <w:pPr>
        <w:spacing w:after="160" w:line="312" w:lineRule="auto"/>
      </w:pPr>
    </w:pPrDefault>
  </w:docDefaults>
  <w:style w:type="paragraph" w:styleId="Normal" w:default="1">
    <w:name w:val="Normal"/>
  </w:style>
  <w:style w:type="paragraph" w:styleId="Heading1" w:default="0">
    <w:name w:val="heading 1"/>
    <w:basedOn w:val="Normal"/>
    <w:next w:val="Normal"/>
    <w:pPr>
      <w:keepNext/>
      <w:keepLines/>
      <w:spacing w:before="320" w:line="264" w:lineRule="auto"/>
      <w:outlineLvl w:val="0"/>
    </w:pPr>
    <w:rPr>
      <w:rFonts w:ascii="Calibri Light" w:hAnsi="Calibri Light"/>
      <w:b/>
      <w:color w:val="1A1A1A"/>
      <w:sz w:val="43"/>
      <w:szCs w:val="43"/>
    </w:rPr>
  </w:style>
  <w:style w:type="paragraph" w:styleId="Heading2" w:default="0">
    <w:name w:val="heading 2"/>
    <w:basedOn w:val="Normal"/>
    <w:next w:val="Normal"/>
    <w:pPr>
      <w:keepNext/>
      <w:keepLines/>
      <w:spacing w:before="320" w:line="264" w:lineRule="auto"/>
      <w:outlineLvl w:val="1"/>
    </w:pPr>
    <w:rPr>
      <w:rFonts w:ascii="Calibri Light" w:hAnsi="Calibri Light"/>
      <w:b/>
      <w:sz w:val="34"/>
      <w:szCs w:val="34"/>
    </w:rPr>
  </w:style>
  <w:style w:type="paragraph" w:styleId="Heading3" w:default="0">
    <w:name w:val="heading 3"/>
    <w:basedOn w:val="Normal"/>
    <w:next w:val="Normal"/>
    <w:pPr>
      <w:keepNext/>
      <w:keepLines/>
      <w:spacing w:before="160" w:line="264" w:lineRule="auto"/>
      <w:outlineLvl w:val="2"/>
    </w:pPr>
    <w:rPr>
      <w:rFonts w:ascii="Calibri Light" w:hAnsi="Calibri Light"/>
      <w:b/>
      <w:sz w:val="28"/>
      <w:szCs w:val="28"/>
    </w:rPr>
  </w:style>
  <w:style w:type="paragraph" w:styleId="Heading4" w:default="0">
    <w:name w:val="heading 4"/>
    <w:basedOn w:val="Normal"/>
    <w:next w:val="Normal"/>
    <w:pPr>
      <w:keepNext/>
      <w:keepLines/>
      <w:spacing w:before="160" w:line="264" w:lineRule="auto"/>
      <w:outlineLvl w:val="3"/>
    </w:pPr>
    <w:rPr>
      <w:rFonts w:ascii="Calibri Light" w:hAnsi="Calibri Light"/>
      <w:b/>
      <w:sz w:val="22"/>
      <w:szCs w:val="22"/>
    </w:rPr>
  </w:style>
  <w:style w:type="paragraph" w:styleId="Heading5" w:default="0">
    <w:name w:val="heading 5"/>
    <w:basedOn w:val="Normal"/>
    <w:next w:val="Normal"/>
    <w:pPr>
      <w:keepNext/>
      <w:keepLines/>
      <w:spacing w:before="160" w:line="264" w:lineRule="auto"/>
      <w:outlineLvl w:val="4"/>
    </w:pPr>
    <w:rPr>
      <w:rFonts w:ascii="Calibri Light" w:hAnsi="Calibri Light"/>
      <w:b/>
      <w:sz w:val="22"/>
      <w:szCs w:val="22"/>
    </w:rPr>
  </w:style>
  <w:style w:type="paragraph" w:styleId="Heading6" w:default="0">
    <w:name w:val="heading 6"/>
    <w:basedOn w:val="Normal"/>
    <w:next w:val="Normal"/>
    <w:pPr>
      <w:keepNext/>
      <w:keepLines/>
      <w:spacing w:before="160" w:line="264" w:lineRule="auto"/>
      <w:outlineLvl w:val="5"/>
    </w:pPr>
    <w:rPr>
      <w:rFonts w:ascii="Calibri Light" w:hAnsi="Calibri Light"/>
      <w:b/>
      <w:sz w:val="22"/>
      <w:szCs w:val="22"/>
    </w:rPr>
  </w:style>
  <w:style w:type="paragraph" w:styleId="Quote" w:default="0">
    <w:name w:val="Quote"/>
    <w:basedOn w:val="Normal"/>
    <w:pPr>
      <w:ind w:left="320"/>
      <w:pBdr>
        <w:left w:val="single" w:sz="24" w:space="12" w:color="BFBFBF"/>
      </w:pBdr>
    </w:pPr>
    <w:rPr>
      <w:i/>
      <w:color w:val="595959"/>
    </w:rPr>
  </w:style>
  <w:style w:type="character" w:styleId="CkHighlight">
    <w:name w:val="Clarkdown Highlight"/>
    <w:rPr>
      <w:shd w:val="clear" w:fill="FFF2A8"/>
    </w:rPr>
  </w:style>
  <w:style w:type="character" w:styleId="CkSmallcaps">
    <w:name w:val="Clarkdown Smallcaps"/>
    <w:rPr>
      <w:smallCaps/>
    </w:rPr>
  </w:style>
  <w:style w:type="character" w:styleId="CkUnderline">
    <w:name w:val="Clarkdown Underline"/>
    <w:rPr>
      <w:u w:val="single"/>
    </w:rPr>
  </w:style>
  <w:style w:type="character" w:styleId="CkMuted">
    <w:name w:val="Clarkdown Muted"/>
    <w:rPr>
      <w:color w:val="595959"/>
    </w:rPr>
  </w:style>
  <w:style w:type="character" w:styleId="CkAccent">
    <w:name w:val="Clarkdown Accent"/>
    <w:rPr>
      <w:color w:val="1A1A1A"/>
    </w:rPr>
  </w:style>
  <w:style w:type="character" w:styleId="CkCaption">
    <w:name w:val="Clarkdown Caption"/>
    <w:rPr>
      <w:i/>
      <w:color w:val="595959"/>
      <w:sz w:val="20"/>
      <w:szCs w:val="20"/>
    </w:rPr>
  </w:style>
  <w:style w:type="paragraph" w:styleId="CkDisplay" w:default="0">
    <w:name w:val="Clarkdown Display"/>
    <w:basedOn w:val="Normal"/>
    <w:next w:val="Normal"/>
    <w:pPr>
      <w:keepNext/>
      <w:keepLines/>
      <w:spacing w:after="240" w:line="264" w:lineRule="auto"/>
    </w:pPr>
    <w:rPr>
      <w:rFonts w:ascii="Calibri Light" w:hAnsi="Calibri Light"/>
      <w:b/>
      <w:color w:val="1A1A1A"/>
      <w:sz w:val="132"/>
      <w:szCs w:val="132"/>
    </w:rPr>
  </w:style>
  <w:style w:type="character" w:styleId="CkKicker">
    <w:name w:val="Clarkdown Kicker"/>
    <w:rPr>
      <w:smallCaps/>
      <w:spacing w:val="18"/>
      <w:color w:val="595959"/>
    </w:rPr>
  </w:style>
  <w:style w:type="paragraph" w:styleId="CkTrackedCaps" w:default="0">
    <w:name w:val="Clarkdown Tracked Caps"/>
    <w:basedOn w:val="Normal"/>
    <w:next w:val="Normal"/>
    <w:rPr>
      <w:smallCaps/>
      <w:spacing w:val="18"/>
    </w:rPr>
  </w:style>
  <w:style w:type="paragraph" w:styleId="Title" w:default="0">
    <w:name w:val="Title"/>
    <w:basedOn w:val="Normal"/>
    <w:next w:val="Normal"/>
    <w:pPr>
      <w:keepNext/>
      <w:keepLines/>
      <w:spacing w:after="240" w:line="264" w:lineRule="auto"/>
    </w:pPr>
    <w:rPr>
      <w:rFonts w:ascii="Calibri Light" w:hAnsi="Calibri Light"/>
      <w:b/>
      <w:sz w:val="54"/>
      <w:szCs w:val="54"/>
    </w:rPr>
  </w:style>
  <w:style w:type="character" w:styleId="Hyperlink">
    <w:name w:val="Hyperlink"/>
    <w:rPr>
      <w:color w:val="1A1A1A"/>
      <w:u w:val="single"/>
    </w:rPr>
  </w:style>
  <w:style w:type="paragraph" w:styleId="CkCodeBlock" w:default="0">
    <w:name w:val="Clarkdown Code Block"/>
    <w:basedOn w:val="Normal"/>
    <w:pPr>
      <w:shd w:val="clear" w:fill="EDEDED"/>
      <w:spacing w:after="0" w:line="240" w:lineRule="auto"/>
    </w:pPr>
    <w:rPr>
      <w:rFonts w:ascii="Consolas" w:hAnsi="Consolas"/>
      <w:noProof/>
      <w:sz w:val="20"/>
    </w:rPr>
  </w:style>
  <w:style w:type="character" w:styleId="CkCode">
    <w:name w:val="Clarkdown Code"/>
    <w:rPr>
      <w:rFonts w:ascii="Consolas" w:hAnsi="Consolas"/>
      <w:shd w:val="clear" w:fill="EDEDED"/>
      <w:sz w:val="20"/>
    </w:rPr>
  </w:style>
  <w:style w:type="paragraph" w:styleId="Caption" w:default="0">
    <w:name w:val="caption"/>
    <w:basedOn w:val="Normal"/>
    <w:rPr>
      <w:i/>
      <w:sz w:val="18"/>
    </w:rPr>
  </w:style>
  <w:style w:type="paragraph" w:styleId="ListParagraph" w:default="0">
    <w:name w:val="List Paragraph"/>
    <w:basedOn w:val="Normal"/>
    <w:pPr>
      <w:ind w:left="320"/>
    </w:pPr>
  </w:style>
  <w:style w:type="paragraph" w:styleId="CkUnknown" w:default="0">
    <w:name w:val="Clarkdown Unknown"/>
    <w:basedOn w:val="Normal"/>
    <w:pPr>
      <w:shd w:val="clear" w:fill="FFEEEE"/>
    </w:pPr>
  </w:style>
  <w:style w:type="paragraph" w:styleId="FootnoteText" w:default="0">
    <w:name w:val="footnote text"/>
    <w:basedOn w:val="Normal"/>
    <w:rPr>
      <w:sz w:val="18"/>
    </w:rPr>
  </w:style>
  <w:style w:type="character" w:styleId="FootnoteReference">
    <w:name w:val="footnote reference"/>
    <w:rPr>
      <w:vertAlign w:val="superscript"/>
    </w:rPr>
  </w:style>
  <w:style w:type="table" w:styleId="CkTable">
    <w:name w:val="Clarkdown Table"/>
    <w:tblPr>
      <w:tblBorders>
        <w:top w:val="single" w:sz="4" w:color="BFBFBF"/>
        <w:left w:val="single" w:sz="4" w:color="BFBFBF"/>
        <w:bottom w:val="single" w:sz="4" w:color="BFBFBF"/>
        <w:right w:val="single" w:sz="4" w:color="BFBFBF"/>
        <w:insideH w:val="single" w:sz="4" w:color="BFBFBF"/>
        <w:insideV w:val="single" w:sz="4" w:color="BFBFBF"/>
      </w:tblBorders>
      <w:tblCellMar>
        <w:top w:w="80" w:type="dxa"/>
        <w:left w:w="80" w:type="dxa"/>
        <w:bottom w:w="80" w:type="dxa"/>
        <w:right w:w="80" w:type="dxa"/>
      </w:tblCellMar>
    </w:tblPr>
  </w:style>
  <w:style w:type="table" w:styleId="CkLayout">
    <w:name w:val="Clarkdown Layout"/>
    <w:tblPr>
      <w:tblBorders>
        <w:top w:val="none"/>
        <w:left w:val="none"/>
        <w:bottom w:val="none"/>
        <w:right w:val="none"/>
        <w:insideH w:val="none"/>
        <w:insideV w:val="none"/>
      </w:tblBorders>
    </w:tblPr>
  </w:style>
  <w:style w:type="paragraph" w:styleId="CkNote" w:default="0">
    <w:name w:val="Clarkdown Note"/>
    <w:basedOn w:val="Normal"/>
    <w:pPr>
      <w:pBdr>
        <w:left w:val="single" w:sz="24" w:space="8" w:color="2F6FEB"/>
      </w:pBdr>
      <w:ind w:left="240"/>
    </w:pPr>
  </w:style>
  <w:style w:type="paragraph" w:styleId="CkTip" w:default="0">
    <w:name w:val="Clarkdown Tip"/>
    <w:basedOn w:val="Normal"/>
    <w:pPr>
      <w:pBdr>
        <w:left w:val="single" w:sz="24" w:space="8" w:color="1A7F37"/>
      </w:pBdr>
      <w:ind w:left="240"/>
    </w:pPr>
  </w:style>
  <w:style w:type="paragraph" w:styleId="CkWarning" w:default="0">
    <w:name w:val="Clarkdown Warning"/>
    <w:basedOn w:val="Normal"/>
    <w:pPr>
      <w:pBdr>
        <w:left w:val="single" w:sz="24" w:space="8" w:color="9A6700"/>
      </w:pBdr>
      <w:ind w:left="240"/>
    </w:pPr>
  </w:style>
  <w:style w:type="paragraph" w:styleId="CkImportant" w:default="0">
    <w:name w:val="Clarkdown Important"/>
    <w:basedOn w:val="Normal"/>
    <w:pPr>
      <w:pBdr>
        <w:left w:val="single" w:sz="24" w:space="8" w:color="8250DF"/>
      </w:pBdr>
      <w:ind w:left="240"/>
    </w:pPr>
  </w:style>
  <w:style w:type="paragraph" w:styleId="CkCaution" w:default="0">
    <w:name w:val="Clarkdown Caution"/>
    <w:basedOn w:val="Normal"/>
    <w:pPr>
      <w:pBdr>
        <w:left w:val="single" w:sz="24" w:space="8" w:color="CF222E"/>
      </w:pBdr>
      <w:ind w:left="240"/>
    </w:pPr>
  </w:style>
  <w:style w:type="paragraph" w:styleId="CkCallout" w:default="0">
    <w:name w:val="CkCallout"/>
    <w:basedOn w:val="Normal"/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Numbering" Type="http://schemas.openxmlformats.org/officeDocument/2006/relationships/numbering" Target="numbering.xml"/><Relationship Id="rIdFonts" Type="http://schemas.openxmlformats.org/officeDocument/2006/relationships/fontTable" Target="fontTable.xml"/><Relationship Id="rIdSettings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