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2BBA6"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</w:p>
    <w:p w14:paraId="73A16A85"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美欧贸易保护主义措施对上海外贸的影响及对策</w:t>
      </w:r>
    </w:p>
    <w:p w14:paraId="13796FF5">
      <w:pPr>
        <w:adjustRightInd w:val="0"/>
        <w:snapToGrid w:val="0"/>
        <w:spacing w:line="360" w:lineRule="auto"/>
        <w:ind w:firstLine="560"/>
        <w:rPr>
          <w:sz w:val="28"/>
          <w:szCs w:val="28"/>
        </w:rPr>
      </w:pPr>
    </w:p>
    <w:p w14:paraId="642D440B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</w:t>
      </w:r>
      <w:r>
        <w:rPr>
          <w:rFonts w:ascii="仿宋" w:hAnsi="仿宋" w:eastAsia="仿宋" w:cs="仿宋"/>
          <w:sz w:val="32"/>
          <w:szCs w:val="32"/>
        </w:rPr>
        <w:t>美欧贸易保护主义措施</w:t>
      </w:r>
      <w:r>
        <w:rPr>
          <w:rFonts w:hint="eastAsia" w:ascii="仿宋" w:hAnsi="仿宋" w:eastAsia="仿宋" w:cs="仿宋"/>
          <w:sz w:val="32"/>
          <w:szCs w:val="32"/>
        </w:rPr>
        <w:t>不断的形势下，本市外贸进出口受外部限制政策的负面影响加大。为促进本市外贸稳定和高质量发展，建议围绕新能源汽车产业链和生物医药等重点领域</w:t>
      </w:r>
      <w:r>
        <w:rPr>
          <w:rFonts w:ascii="仿宋" w:hAnsi="仿宋" w:eastAsia="仿宋" w:cs="仿宋"/>
          <w:sz w:val="32"/>
          <w:szCs w:val="32"/>
        </w:rPr>
        <w:t>加快培育</w:t>
      </w:r>
      <w:r>
        <w:rPr>
          <w:rFonts w:hint="eastAsia" w:ascii="仿宋" w:hAnsi="仿宋" w:eastAsia="仿宋" w:cs="仿宋"/>
          <w:sz w:val="32"/>
          <w:szCs w:val="32"/>
        </w:rPr>
        <w:t>上海</w:t>
      </w:r>
      <w:r>
        <w:rPr>
          <w:rFonts w:ascii="仿宋" w:hAnsi="仿宋" w:eastAsia="仿宋" w:cs="仿宋"/>
          <w:sz w:val="32"/>
          <w:szCs w:val="32"/>
        </w:rPr>
        <w:t>外贸新动能</w:t>
      </w:r>
      <w:r>
        <w:rPr>
          <w:rFonts w:hint="eastAsia" w:ascii="仿宋" w:hAnsi="仿宋" w:eastAsia="仿宋" w:cs="仿宋"/>
          <w:sz w:val="32"/>
          <w:szCs w:val="32"/>
        </w:rPr>
        <w:t>，形成新的贸易增长点。</w:t>
      </w:r>
    </w:p>
    <w:p w14:paraId="34C64976">
      <w:pPr>
        <w:adjustRightInd w:val="0"/>
        <w:snapToGrid w:val="0"/>
        <w:spacing w:line="360" w:lineRule="auto"/>
        <w:ind w:firstLine="56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一、2024年以来的上海外贸进出口情况</w:t>
      </w:r>
    </w:p>
    <w:p w14:paraId="35EC4BAA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，本市外贸进出口总额</w:t>
      </w:r>
      <w:r>
        <w:rPr>
          <w:rFonts w:ascii="仿宋" w:hAnsi="仿宋" w:eastAsia="仿宋" w:cs="仿宋"/>
          <w:sz w:val="32"/>
          <w:szCs w:val="32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81</w:t>
      </w:r>
      <w:r>
        <w:rPr>
          <w:rFonts w:hint="eastAsia" w:ascii="仿宋" w:hAnsi="仿宋" w:eastAsia="仿宋" w:cs="仿宋"/>
          <w:sz w:val="32"/>
          <w:szCs w:val="32"/>
        </w:rPr>
        <w:t>万亿元，比去年同期增长0.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%，增速低于全国约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5.4</w:t>
      </w:r>
      <w:r>
        <w:rPr>
          <w:rFonts w:hint="eastAsia" w:ascii="仿宋" w:hAnsi="仿宋" w:eastAsia="仿宋" w:cs="仿宋"/>
          <w:sz w:val="32"/>
          <w:szCs w:val="32"/>
        </w:rPr>
        <w:t>个百分点（全国平均为6.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%）。其中，出口11705.7亿元，同比增长2.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 xml:space="preserve"> %，比全国平均水平低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个百分点（全国出口为6.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>%）；进口16365.3亿元，同比降低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1.1</w:t>
      </w:r>
      <w:r>
        <w:rPr>
          <w:rFonts w:hint="eastAsia" w:ascii="仿宋" w:hAnsi="仿宋" w:eastAsia="仿宋" w:cs="仿宋"/>
          <w:sz w:val="32"/>
          <w:szCs w:val="32"/>
        </w:rPr>
        <w:t>%，比全国平均水平低5.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个百分点（全国进口为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4.7%</w:t>
      </w:r>
      <w:r>
        <w:rPr>
          <w:rFonts w:hint="eastAsia" w:ascii="仿宋" w:hAnsi="仿宋" w:eastAsia="仿宋" w:cs="仿宋"/>
          <w:sz w:val="32"/>
          <w:szCs w:val="32"/>
        </w:rPr>
        <w:t>）。总体看，本市今年1-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的进出口形势不容乐观。</w:t>
      </w:r>
    </w:p>
    <w:p w14:paraId="443BAFC6">
      <w:pPr>
        <w:adjustRightInd w:val="0"/>
        <w:snapToGrid w:val="0"/>
        <w:spacing w:line="360" w:lineRule="auto"/>
        <w:jc w:val="center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表1 本市和全国1-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累计进出口及同比变化</w:t>
      </w:r>
    </w:p>
    <w:tbl>
      <w:tblPr>
        <w:tblStyle w:val="2"/>
        <w:tblW w:w="4998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689"/>
        <w:gridCol w:w="1389"/>
        <w:gridCol w:w="1755"/>
        <w:gridCol w:w="1231"/>
      </w:tblGrid>
      <w:tr w14:paraId="781E1A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8CAF35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进出口/国家</w:t>
            </w:r>
          </w:p>
          <w:p w14:paraId="7A39EF91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（地区）</w:t>
            </w:r>
          </w:p>
        </w:tc>
        <w:tc>
          <w:tcPr>
            <w:tcW w:w="180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CA92BD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本市</w:t>
            </w:r>
          </w:p>
        </w:tc>
        <w:tc>
          <w:tcPr>
            <w:tcW w:w="17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DB1F34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全国</w:t>
            </w:r>
          </w:p>
        </w:tc>
      </w:tr>
      <w:tr w14:paraId="676A33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48EC95">
            <w:pPr>
              <w:jc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BA407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5EA8D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00BCC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97A0F5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</w:tr>
      <w:tr w14:paraId="4BD30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621A6C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进出口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80DE70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28071.1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DF7819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0.6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BEFE5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285838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E543D5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6.0</w:t>
            </w:r>
          </w:p>
        </w:tc>
      </w:tr>
      <w:tr w14:paraId="33822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01783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出口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4F32AB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11705.7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D94E25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2.9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DEF3D1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164552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86DE3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6.9</w:t>
            </w:r>
          </w:p>
        </w:tc>
      </w:tr>
      <w:tr w14:paraId="626BF4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ABB99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进口</w:t>
            </w:r>
          </w:p>
        </w:tc>
        <w:tc>
          <w:tcPr>
            <w:tcW w:w="9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4A74EE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16365.3</w:t>
            </w:r>
          </w:p>
        </w:tc>
        <w:tc>
          <w:tcPr>
            <w:tcW w:w="8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367224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1.1</w:t>
            </w:r>
          </w:p>
        </w:tc>
        <w:tc>
          <w:tcPr>
            <w:tcW w:w="10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6F6BC4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121286</w:t>
            </w:r>
          </w:p>
        </w:tc>
        <w:tc>
          <w:tcPr>
            <w:tcW w:w="7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9DF045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4.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</w:tr>
    </w:tbl>
    <w:p w14:paraId="70AF3F53">
      <w:pPr>
        <w:adjustRightInd w:val="0"/>
        <w:snapToGrid w:val="0"/>
        <w:spacing w:line="360" w:lineRule="auto"/>
        <w:ind w:firstLine="56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数据来源：中国海关、上海海关。</w:t>
      </w:r>
    </w:p>
    <w:p w14:paraId="5E5205BD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从出口重点商品来看</w:t>
      </w:r>
      <w:r>
        <w:rPr>
          <w:rFonts w:hint="eastAsia" w:ascii="仿宋" w:hAnsi="仿宋" w:eastAsia="仿宋" w:cs="仿宋"/>
          <w:sz w:val="32"/>
          <w:szCs w:val="32"/>
        </w:rPr>
        <w:t>，本市1-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电动载人汽车、锂电池、笔记本电脑、手机等重点产品出口额分别为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651.9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240.1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364.6</w:t>
      </w:r>
      <w:r>
        <w:rPr>
          <w:rFonts w:hint="eastAsia" w:ascii="仿宋" w:hAnsi="仿宋" w:eastAsia="仿宋" w:cs="仿宋"/>
          <w:sz w:val="32"/>
          <w:szCs w:val="32"/>
        </w:rPr>
        <w:t>亿元和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205.7</w:t>
      </w:r>
      <w:r>
        <w:rPr>
          <w:rFonts w:hint="eastAsia" w:ascii="仿宋" w:hAnsi="仿宋" w:eastAsia="仿宋" w:cs="仿宋"/>
          <w:sz w:val="32"/>
          <w:szCs w:val="32"/>
        </w:rPr>
        <w:t>亿元，同比分别下降</w:t>
      </w:r>
      <w:r>
        <w:rPr>
          <w:rFonts w:ascii="仿宋" w:hAnsi="仿宋" w:eastAsia="仿宋" w:cs="仿宋"/>
          <w:sz w:val="32"/>
          <w:szCs w:val="32"/>
        </w:rPr>
        <w:t>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6.8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ascii="仿宋" w:hAnsi="仿宋" w:eastAsia="仿宋" w:cs="仿宋"/>
          <w:sz w:val="32"/>
          <w:szCs w:val="32"/>
        </w:rPr>
        <w:t>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%和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38</w:t>
      </w:r>
      <w:r>
        <w:rPr>
          <w:rFonts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%，成为拖累本市出口增长的主要因素。电动载人汽车和锂电池出口出现同比出现负增长，是</w:t>
      </w:r>
      <w:r>
        <w:rPr>
          <w:rFonts w:hint="eastAsia" w:ascii="黑体" w:hAnsi="黑体" w:eastAsia="黑体" w:cs="黑体"/>
          <w:sz w:val="32"/>
          <w:szCs w:val="32"/>
        </w:rPr>
        <w:t>欧盟市场主体对反补贴调查措施作出的提前反应</w:t>
      </w:r>
      <w:r>
        <w:rPr>
          <w:rFonts w:hint="eastAsia" w:ascii="仿宋" w:hAnsi="仿宋" w:eastAsia="仿宋" w:cs="仿宋"/>
          <w:sz w:val="32"/>
          <w:szCs w:val="32"/>
        </w:rPr>
        <w:t>。而手机、笔记本电脑等产品出口的大幅下滑，则主要因为受劳动力成本和土地成本上升的影响，手机代工商——</w:t>
      </w:r>
      <w:r>
        <w:rPr>
          <w:rFonts w:hint="eastAsia" w:ascii="黑体" w:hAnsi="黑体" w:eastAsia="黑体" w:cs="黑体"/>
          <w:sz w:val="32"/>
          <w:szCs w:val="32"/>
        </w:rPr>
        <w:t>昌硕公司将组装生产线转移到昆山，</w:t>
      </w:r>
      <w:r>
        <w:rPr>
          <w:rFonts w:hint="eastAsia" w:ascii="仿宋" w:hAnsi="仿宋" w:eastAsia="仿宋" w:cs="仿宋"/>
          <w:sz w:val="32"/>
          <w:szCs w:val="32"/>
        </w:rPr>
        <w:t>原有这部分出口的空缺，必然短期内对上海的出口增速带来一定的负面影响。</w:t>
      </w:r>
    </w:p>
    <w:p w14:paraId="33E03B4E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表2 本市1-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累计出口、进口重点商品金额和同比</w:t>
      </w:r>
    </w:p>
    <w:tbl>
      <w:tblPr>
        <w:tblStyle w:val="2"/>
        <w:tblW w:w="86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1011"/>
        <w:gridCol w:w="854"/>
        <w:gridCol w:w="2440"/>
        <w:gridCol w:w="1004"/>
        <w:gridCol w:w="877"/>
      </w:tblGrid>
      <w:tr w14:paraId="31A1E0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AF728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出口重点产品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62BEB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)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3A9E9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(%)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022753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进口重点产品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E0621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)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057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6"/>
                <w:rFonts w:hint="eastAsia" w:ascii="仿宋" w:hAnsi="仿宋" w:eastAsia="仿宋" w:cs="仿宋"/>
                <w:sz w:val="24"/>
                <w:szCs w:val="24"/>
                <w:lang w:bidi="ar"/>
              </w:rPr>
              <w:t>(%)</w:t>
            </w:r>
          </w:p>
        </w:tc>
      </w:tr>
      <w:tr w14:paraId="3A41CB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4C69A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3314322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8035.4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 w14:paraId="274ACFE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2.4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9DD524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0C0F020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6961.9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F3E16E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0.7</w:t>
            </w:r>
          </w:p>
        </w:tc>
      </w:tr>
      <w:tr w14:paraId="63039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B98E0B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11BB462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3678.3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1262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-1.8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903906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F99FDE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4936.5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76FE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4.8</w:t>
            </w:r>
          </w:p>
        </w:tc>
      </w:tr>
      <w:tr w14:paraId="0776C9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73891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5A09B70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1198.7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A7377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2.0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C2A72A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47C562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1777.6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00B987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-1.6</w:t>
            </w:r>
          </w:p>
        </w:tc>
      </w:tr>
      <w:tr w14:paraId="33A4D1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36461A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电动载人汽车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72D5387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651.9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479BDE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-22.5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0C1AE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农产品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D410D86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1318.5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26798C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-11.7</w:t>
            </w:r>
          </w:p>
        </w:tc>
      </w:tr>
      <w:tr w14:paraId="26B1C6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55816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笔记本电脑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1D7522CC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364.6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A07D7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-10.6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26689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食品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CBB212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1126.0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ADC92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-12.7</w:t>
            </w:r>
          </w:p>
        </w:tc>
      </w:tr>
      <w:tr w14:paraId="5C1012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D480A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手机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0E71E962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205.7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97E0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-38.1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CB6180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金属矿及矿砂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E93656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1286.3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8B350B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13.1</w:t>
            </w:r>
          </w:p>
        </w:tc>
      </w:tr>
      <w:tr w14:paraId="3572AE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DE6F9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锂离子蓄电池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AEBCA8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240.1 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21E48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-6.8 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EB5E7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352C1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917.0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6DECE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-7.4</w:t>
            </w:r>
          </w:p>
        </w:tc>
      </w:tr>
      <w:tr w14:paraId="203C6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FE71C1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太阳能电池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 w14:paraId="66862144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36.6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61468A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-48.6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43761F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美容化妆品及洗护用品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40BE05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305.4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8C823F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-6.4</w:t>
            </w:r>
          </w:p>
        </w:tc>
      </w:tr>
      <w:tr w14:paraId="59926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F2E7A9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 w14:paraId="471F8504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277.3</w:t>
            </w: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0D1AB9"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8.6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60412A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</w:rPr>
              <w:t>乘用车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535BE5E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 xml:space="preserve">411.5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CCBB0"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-21.5</w:t>
            </w:r>
          </w:p>
        </w:tc>
      </w:tr>
    </w:tbl>
    <w:p w14:paraId="260DC03F">
      <w:pPr>
        <w:adjustRightInd w:val="0"/>
        <w:snapToGrid w:val="0"/>
        <w:spacing w:line="360" w:lineRule="auto"/>
        <w:ind w:firstLine="56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数据来源：上海海关。</w:t>
      </w:r>
    </w:p>
    <w:p w14:paraId="75C0CC6A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从进口重点商品来看</w:t>
      </w:r>
      <w:r>
        <w:rPr>
          <w:rFonts w:hint="eastAsia" w:ascii="仿宋" w:hAnsi="仿宋" w:eastAsia="仿宋" w:cs="仿宋"/>
          <w:sz w:val="32"/>
          <w:szCs w:val="32"/>
        </w:rPr>
        <w:t>，1-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，本市农产品、食品、乘用车、生命科学技术等重点产品进口额分别为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1318.5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1126.0</w:t>
      </w:r>
      <w:r>
        <w:rPr>
          <w:rFonts w:hint="eastAsia" w:ascii="仿宋" w:hAnsi="仿宋" w:eastAsia="仿宋" w:cs="仿宋"/>
          <w:sz w:val="32"/>
          <w:szCs w:val="32"/>
        </w:rPr>
        <w:t>亿元、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411.5</w:t>
      </w:r>
      <w:r>
        <w:rPr>
          <w:rFonts w:hint="eastAsia" w:ascii="仿宋" w:hAnsi="仿宋" w:eastAsia="仿宋" w:cs="仿宋"/>
          <w:sz w:val="32"/>
          <w:szCs w:val="32"/>
        </w:rPr>
        <w:t>亿元和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917.0</w:t>
      </w:r>
      <w:r>
        <w:rPr>
          <w:rFonts w:hint="eastAsia" w:ascii="仿宋" w:hAnsi="仿宋" w:eastAsia="仿宋" w:cs="仿宋"/>
          <w:sz w:val="32"/>
          <w:szCs w:val="32"/>
        </w:rPr>
        <w:t>亿元，同比分别下降1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%、1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21.5</w:t>
      </w:r>
      <w:r>
        <w:rPr>
          <w:rFonts w:hint="eastAsia" w:ascii="仿宋" w:hAnsi="仿宋" w:eastAsia="仿宋" w:cs="仿宋"/>
          <w:sz w:val="32"/>
          <w:szCs w:val="32"/>
        </w:rPr>
        <w:t>%、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7.4</w:t>
      </w:r>
      <w:r>
        <w:rPr>
          <w:rFonts w:hint="eastAsia" w:ascii="仿宋" w:hAnsi="仿宋" w:eastAsia="仿宋" w:cs="仿宋"/>
          <w:sz w:val="32"/>
          <w:szCs w:val="32"/>
        </w:rPr>
        <w:t>%。农产品、食品等消费品的进口下滑，反映了当前国内需求端的相对不足。乘用车进口数据表现不佳，除需求乏力之外，还与国产汽车对进口汽车的市场替代有关。生命科学技术产品的进口负增长，则主要受美国在该领域对华贸易限制政策的影响。</w:t>
      </w:r>
    </w:p>
    <w:p w14:paraId="7723BC62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从贸易伙伴结构来看，</w:t>
      </w:r>
      <w:r>
        <w:rPr>
          <w:rFonts w:hint="eastAsia" w:ascii="仿宋" w:hAnsi="仿宋" w:eastAsia="仿宋" w:cs="仿宋"/>
          <w:sz w:val="32"/>
          <w:szCs w:val="32"/>
        </w:rPr>
        <w:t>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，欧盟继续保持上海第一大进出口贸易伙伴地位，占上海进出口的比重为18.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>%，与2023年相比，占比下降了1.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个百分点。东盟为上海的第二大贸易伙伴，占比为13.2%，与2023年相比，占比提高了0.3个百分点。与2023年相比，本市1-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的前十大单个经济体贸易伙伴中，美国、日本、德国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</w:t>
      </w:r>
      <w:r>
        <w:rPr>
          <w:rFonts w:hint="eastAsia" w:ascii="仿宋" w:hAnsi="仿宋" w:eastAsia="仿宋" w:cs="仿宋"/>
          <w:sz w:val="32"/>
          <w:szCs w:val="32"/>
        </w:rPr>
        <w:t>澳大利亚的占比出现下降，而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瑞士、</w:t>
      </w:r>
      <w:r>
        <w:rPr>
          <w:rFonts w:hint="eastAsia" w:ascii="仿宋" w:hAnsi="仿宋" w:eastAsia="仿宋" w:cs="仿宋"/>
          <w:sz w:val="32"/>
          <w:szCs w:val="32"/>
        </w:rPr>
        <w:t>韩国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中国台湾、新加坡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</w:t>
      </w:r>
      <w:r>
        <w:rPr>
          <w:rFonts w:hint="eastAsia" w:ascii="仿宋" w:hAnsi="仿宋" w:eastAsia="仿宋" w:cs="仿宋"/>
          <w:sz w:val="32"/>
          <w:szCs w:val="32"/>
        </w:rPr>
        <w:t>越南的占比有所上升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中国香港占比不变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 w14:paraId="1682808F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从市场主体结构来看，</w:t>
      </w:r>
      <w:r>
        <w:rPr>
          <w:rFonts w:hint="eastAsia" w:ascii="仿宋" w:hAnsi="仿宋" w:eastAsia="仿宋" w:cs="仿宋"/>
          <w:sz w:val="32"/>
          <w:szCs w:val="32"/>
        </w:rPr>
        <w:t>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外资企业实现进出口额1.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60</w:t>
      </w:r>
      <w:r>
        <w:rPr>
          <w:rFonts w:hint="eastAsia" w:ascii="仿宋" w:hAnsi="仿宋" w:eastAsia="仿宋" w:cs="仿宋"/>
          <w:sz w:val="32"/>
          <w:szCs w:val="32"/>
        </w:rPr>
        <w:t>万亿元，同比下降2.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%；占比为57.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%，与2023年全年相比，外资企业的进出口占比下降了1.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个百分点；本市1-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，民营企业和国有企业的进出口额分别为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9094.6</w:t>
      </w:r>
      <w:r>
        <w:rPr>
          <w:rFonts w:hint="eastAsia" w:ascii="仿宋" w:hAnsi="仿宋" w:eastAsia="仿宋" w:cs="仿宋"/>
          <w:sz w:val="32"/>
          <w:szCs w:val="32"/>
        </w:rPr>
        <w:t>亿元和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2926.2</w:t>
      </w:r>
      <w:r>
        <w:rPr>
          <w:rFonts w:hint="eastAsia" w:ascii="仿宋" w:hAnsi="仿宋" w:eastAsia="仿宋" w:cs="仿宋"/>
          <w:sz w:val="32"/>
          <w:szCs w:val="32"/>
        </w:rPr>
        <w:t>亿元，同比分别增长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%和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5.7</w:t>
      </w:r>
      <w:r>
        <w:rPr>
          <w:rFonts w:hint="eastAsia" w:ascii="仿宋" w:hAnsi="仿宋" w:eastAsia="仿宋" w:cs="仿宋"/>
          <w:sz w:val="32"/>
          <w:szCs w:val="32"/>
        </w:rPr>
        <w:t>%；二者占比分别为3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%和1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sz w:val="32"/>
          <w:szCs w:val="32"/>
        </w:rPr>
        <w:t>%，与2023年全年相比，二者的进出口占比分别提高了0.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和0.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个百分点。</w:t>
      </w:r>
    </w:p>
    <w:p w14:paraId="3F9F5250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3FA6B33B">
      <w:pPr>
        <w:adjustRightInd w:val="0"/>
        <w:snapToGrid w:val="0"/>
        <w:spacing w:line="360" w:lineRule="auto"/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二、美欧贸易保护主义措施对上海外贸的影响</w:t>
      </w:r>
    </w:p>
    <w:p w14:paraId="734642B2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最近以来，美欧对华贸易保护主义措施不断，且主要集中在半导体、汽车、生物医药等上海重点发展产业，这势必对上海外贸进出口带来较大负面影响。</w:t>
      </w:r>
    </w:p>
    <w:p w14:paraId="7AB6E424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1.美对华半导体、生物医药行业贸易限制措施不断加码</w:t>
      </w:r>
    </w:p>
    <w:p w14:paraId="7803B360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半导体领域，</w:t>
      </w:r>
      <w:r>
        <w:rPr>
          <w:rFonts w:ascii="仿宋" w:hAnsi="仿宋" w:eastAsia="仿宋" w:cs="仿宋"/>
          <w:sz w:val="32"/>
          <w:szCs w:val="32"/>
        </w:rPr>
        <w:t>美对华限制</w:t>
      </w:r>
      <w:r>
        <w:rPr>
          <w:rFonts w:hint="eastAsia" w:ascii="仿宋" w:hAnsi="仿宋" w:eastAsia="仿宋" w:cs="仿宋"/>
          <w:sz w:val="32"/>
          <w:szCs w:val="32"/>
        </w:rPr>
        <w:t>措施</w:t>
      </w:r>
      <w:r>
        <w:rPr>
          <w:rFonts w:ascii="仿宋" w:hAnsi="仿宋" w:eastAsia="仿宋" w:cs="仿宋"/>
          <w:sz w:val="32"/>
          <w:szCs w:val="32"/>
        </w:rPr>
        <w:t>包括：BIS实体清单和出口管制、施压盟国对华出口管制、财政部“特别指定国民名单”（SDN）制裁、加征半导体产品进口关税、与外国对手的信息通讯技术与服务交易（ICTS）审查等。</w:t>
      </w:r>
      <w:r>
        <w:rPr>
          <w:rFonts w:hint="eastAsia" w:ascii="仿宋" w:hAnsi="仿宋" w:eastAsia="仿宋" w:cs="仿宋"/>
          <w:sz w:val="32"/>
          <w:szCs w:val="32"/>
        </w:rPr>
        <w:t>由于这些限制措施</w:t>
      </w:r>
      <w:r>
        <w:rPr>
          <w:rFonts w:ascii="仿宋" w:hAnsi="仿宋" w:eastAsia="仿宋" w:cs="仿宋"/>
          <w:sz w:val="32"/>
          <w:szCs w:val="32"/>
        </w:rPr>
        <w:t>涉及半导体原材料、芯片设计、半导体设备、芯片制造、技术人才流动等多个领域</w:t>
      </w:r>
      <w:r>
        <w:rPr>
          <w:rFonts w:hint="eastAsia" w:ascii="仿宋" w:hAnsi="仿宋" w:eastAsia="仿宋" w:cs="仿宋"/>
          <w:sz w:val="32"/>
          <w:szCs w:val="32"/>
        </w:rPr>
        <w:t>，因此对上海的半导体上下游产业链进出口贸易带来长期影响。</w:t>
      </w:r>
    </w:p>
    <w:p w14:paraId="1445682B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生物医药领域</w:t>
      </w:r>
      <w:r>
        <w:rPr>
          <w:rFonts w:hint="eastAsia" w:ascii="仿宋" w:hAnsi="仿宋" w:eastAsia="仿宋" w:cs="仿宋"/>
          <w:sz w:val="32"/>
          <w:szCs w:val="32"/>
        </w:rPr>
        <w:t>，2024年5月15日，美国众议院通过新版《生物安全法》草案（编号H.R.8333），对包括药明生物、药明康德在内的5家中国公司，要求美国国内公司在8年内（2032年1月前），与这些中国公司脱钩，以</w:t>
      </w:r>
      <w:r>
        <w:rPr>
          <w:rFonts w:ascii="仿宋" w:hAnsi="仿宋" w:eastAsia="仿宋" w:cs="仿宋"/>
          <w:sz w:val="32"/>
          <w:szCs w:val="32"/>
        </w:rPr>
        <w:t>迫使美国制药和医疗保健企业减少对中国</w:t>
      </w:r>
      <w:r>
        <w:rPr>
          <w:rFonts w:hint="eastAsia" w:ascii="仿宋" w:hAnsi="仿宋" w:eastAsia="仿宋" w:cs="仿宋"/>
          <w:sz w:val="32"/>
          <w:szCs w:val="32"/>
        </w:rPr>
        <w:t>生物医药研发</w:t>
      </w:r>
      <w:r>
        <w:rPr>
          <w:rFonts w:ascii="仿宋" w:hAnsi="仿宋" w:eastAsia="仿宋" w:cs="仿宋"/>
          <w:sz w:val="32"/>
          <w:szCs w:val="32"/>
        </w:rPr>
        <w:t>和制造的依赖。尽管，该法案</w:t>
      </w:r>
      <w:r>
        <w:rPr>
          <w:rFonts w:hint="eastAsia" w:ascii="仿宋" w:hAnsi="仿宋" w:eastAsia="仿宋" w:cs="仿宋"/>
          <w:sz w:val="32"/>
          <w:szCs w:val="32"/>
        </w:rPr>
        <w:t>暂</w:t>
      </w:r>
      <w:r>
        <w:rPr>
          <w:rFonts w:ascii="仿宋" w:hAnsi="仿宋" w:eastAsia="仿宋" w:cs="仿宋"/>
          <w:sz w:val="32"/>
          <w:szCs w:val="32"/>
        </w:rPr>
        <w:t>未获美国众议院规则委员会批准</w:t>
      </w:r>
      <w:r>
        <w:rPr>
          <w:rFonts w:hint="eastAsia" w:ascii="仿宋" w:hAnsi="仿宋" w:eastAsia="仿宋" w:cs="仿宋"/>
          <w:sz w:val="32"/>
          <w:szCs w:val="32"/>
        </w:rPr>
        <w:t>，但后续立法的路径仍有待明确，这对上海生物医药研发制造产品的进出口带来较大的不确定性。</w:t>
      </w:r>
    </w:p>
    <w:p w14:paraId="6846F4E8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2.欧盟拟对进口中国电动汽车征收临时反补贴税</w:t>
      </w:r>
    </w:p>
    <w:p w14:paraId="41D7C89A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欧盟委员会于6月12日发布了针对中国电动车的反补贴调查初裁结果，拟于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4日起对中国电动汽车征收临时反补贴税，上汽集团的电动车出口欧盟将被加征38.1%的反补贴税，中国产的特斯拉将被加征21%的反补贴税（可能另行制定标准）。</w:t>
      </w:r>
    </w:p>
    <w:p w14:paraId="79582BE6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从2023年全年出口数据来看，欧洲市场是上海电动汽车出口的主要目的地，占比达到65%；比利时、英国、西班牙是上海电动汽车出口的前三大目的地，三者合计比重超过53%。2024年1-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，上海电动车对比利时、英国、西班牙的出口同比分别下降了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20.7</w:t>
      </w:r>
      <w:r>
        <w:rPr>
          <w:rFonts w:hint="eastAsia" w:ascii="仿宋" w:hAnsi="仿宋" w:eastAsia="仿宋" w:cs="仿宋"/>
          <w:sz w:val="32"/>
          <w:szCs w:val="32"/>
        </w:rPr>
        <w:t>%、3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%和6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</w:rPr>
        <w:t>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%，成为拖累上海电动汽车出口的主要因素。由于短期内难以找到大规模的替代出口市场（此前美国已针对电动汽车的关税由从25%提升至100%），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8月</w:t>
      </w:r>
      <w:r>
        <w:rPr>
          <w:rFonts w:hint="eastAsia" w:ascii="仿宋" w:hAnsi="仿宋" w:eastAsia="仿宋" w:cs="仿宋"/>
          <w:sz w:val="32"/>
          <w:szCs w:val="32"/>
        </w:rPr>
        <w:t>份欧盟正式征收对华临时反补贴税后，上海电动汽车出口额可能延续同比较大幅度下降的态势，对上海外贸出口的稳定发展带来不利影响。</w:t>
      </w:r>
    </w:p>
    <w:p w14:paraId="1FA8CE0A">
      <w:pPr>
        <w:adjustRightInd w:val="0"/>
        <w:snapToGrid w:val="0"/>
        <w:spacing w:line="360" w:lineRule="auto"/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</w:p>
    <w:p w14:paraId="2531F21E">
      <w:pPr>
        <w:adjustRightInd w:val="0"/>
        <w:snapToGrid w:val="0"/>
        <w:spacing w:line="360" w:lineRule="auto"/>
        <w:ind w:firstLine="640" w:firstLineChars="200"/>
        <w:rPr>
          <w:sz w:val="28"/>
          <w:szCs w:val="28"/>
        </w:rPr>
      </w:pPr>
      <w:r>
        <w:rPr>
          <w:rFonts w:hint="eastAsia" w:ascii="黑体" w:hAnsi="黑体" w:eastAsia="黑体" w:cs="黑体"/>
          <w:sz w:val="32"/>
          <w:szCs w:val="32"/>
        </w:rPr>
        <w:t>三、政策建议</w:t>
      </w:r>
    </w:p>
    <w:p w14:paraId="696E2517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</w:t>
      </w:r>
      <w:r>
        <w:rPr>
          <w:rFonts w:ascii="仿宋" w:hAnsi="仿宋" w:eastAsia="仿宋" w:cs="仿宋"/>
          <w:sz w:val="32"/>
          <w:szCs w:val="32"/>
        </w:rPr>
        <w:t>美欧贸易保护主义措施</w:t>
      </w:r>
      <w:r>
        <w:rPr>
          <w:rFonts w:hint="eastAsia" w:ascii="仿宋" w:hAnsi="仿宋" w:eastAsia="仿宋" w:cs="仿宋"/>
          <w:sz w:val="32"/>
          <w:szCs w:val="32"/>
        </w:rPr>
        <w:t>不断的形势下，应围绕新能源汽车、生物医药等领域</w:t>
      </w:r>
      <w:r>
        <w:rPr>
          <w:rFonts w:ascii="仿宋" w:hAnsi="仿宋" w:eastAsia="仿宋" w:cs="仿宋"/>
          <w:sz w:val="32"/>
          <w:szCs w:val="32"/>
        </w:rPr>
        <w:t>加快培育</w:t>
      </w:r>
      <w:r>
        <w:rPr>
          <w:rFonts w:hint="eastAsia" w:ascii="仿宋" w:hAnsi="仿宋" w:eastAsia="仿宋" w:cs="仿宋"/>
          <w:sz w:val="32"/>
          <w:szCs w:val="32"/>
        </w:rPr>
        <w:t>上海</w:t>
      </w:r>
      <w:r>
        <w:rPr>
          <w:rFonts w:ascii="仿宋" w:hAnsi="仿宋" w:eastAsia="仿宋" w:cs="仿宋"/>
          <w:sz w:val="32"/>
          <w:szCs w:val="32"/>
        </w:rPr>
        <w:t>外贸新动能</w:t>
      </w:r>
      <w:r>
        <w:rPr>
          <w:rFonts w:hint="eastAsia" w:ascii="仿宋" w:hAnsi="仿宋" w:eastAsia="仿宋" w:cs="仿宋"/>
          <w:sz w:val="32"/>
          <w:szCs w:val="32"/>
        </w:rPr>
        <w:t>，形成新的增长点。</w:t>
      </w:r>
    </w:p>
    <w:p w14:paraId="5D2FF001">
      <w:pPr>
        <w:adjustRightInd w:val="0"/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（一）</w:t>
      </w:r>
      <w:r>
        <w:rPr>
          <w:rFonts w:ascii="仿宋" w:hAnsi="仿宋" w:eastAsia="仿宋" w:cs="仿宋"/>
          <w:b/>
          <w:bCs/>
          <w:sz w:val="32"/>
          <w:szCs w:val="32"/>
        </w:rPr>
        <w:t>促进上海电动车出口市场多元化，支持电动车整车和零部件企业对外投资，以投资带动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中间品</w:t>
      </w:r>
      <w:r>
        <w:rPr>
          <w:rFonts w:ascii="仿宋" w:hAnsi="仿宋" w:eastAsia="仿宋" w:cs="仿宋"/>
          <w:b/>
          <w:bCs/>
          <w:sz w:val="32"/>
          <w:szCs w:val="32"/>
        </w:rPr>
        <w:t>贸易出口。</w:t>
      </w:r>
      <w:r>
        <w:rPr>
          <w:rFonts w:ascii="仿宋" w:hAnsi="仿宋" w:eastAsia="仿宋" w:cs="仿宋"/>
          <w:sz w:val="32"/>
          <w:szCs w:val="32"/>
        </w:rPr>
        <w:t>一是</w:t>
      </w:r>
      <w:r>
        <w:rPr>
          <w:rFonts w:hint="eastAsia" w:ascii="仿宋" w:hAnsi="仿宋" w:eastAsia="仿宋" w:cs="仿宋"/>
          <w:sz w:val="32"/>
          <w:szCs w:val="32"/>
        </w:rPr>
        <w:t>积极发挥</w:t>
      </w:r>
      <w:r>
        <w:rPr>
          <w:rFonts w:ascii="仿宋" w:hAnsi="仿宋" w:eastAsia="仿宋" w:cs="仿宋"/>
          <w:sz w:val="32"/>
          <w:szCs w:val="32"/>
        </w:rPr>
        <w:t>行业协会等中介机构</w:t>
      </w:r>
      <w:r>
        <w:rPr>
          <w:rFonts w:hint="eastAsia" w:ascii="仿宋" w:hAnsi="仿宋" w:eastAsia="仿宋" w:cs="仿宋"/>
          <w:sz w:val="32"/>
          <w:szCs w:val="32"/>
        </w:rPr>
        <w:t>的作用</w:t>
      </w:r>
      <w:r>
        <w:rPr>
          <w:rFonts w:ascii="仿宋" w:hAnsi="仿宋" w:eastAsia="仿宋" w:cs="仿宋"/>
          <w:sz w:val="32"/>
          <w:szCs w:val="32"/>
        </w:rPr>
        <w:t>，支持企业拓展印尼、巴西、阿联酋等重点区域市场的出口，降低集中于欧盟单一市场的出口风险；二是支持上海电动车整车和零部件企业对外投资，</w:t>
      </w:r>
      <w:r>
        <w:rPr>
          <w:rFonts w:hint="eastAsia" w:ascii="仿宋" w:hAnsi="仿宋" w:eastAsia="仿宋" w:cs="仿宋"/>
          <w:sz w:val="32"/>
          <w:szCs w:val="32"/>
        </w:rPr>
        <w:t>围绕</w:t>
      </w:r>
      <w:r>
        <w:rPr>
          <w:rFonts w:ascii="仿宋" w:hAnsi="仿宋" w:eastAsia="仿宋" w:cs="仿宋"/>
          <w:sz w:val="32"/>
          <w:szCs w:val="32"/>
        </w:rPr>
        <w:t>企业“走出去”的</w:t>
      </w:r>
      <w:r>
        <w:rPr>
          <w:rFonts w:hint="eastAsia" w:ascii="仿宋" w:hAnsi="仿宋" w:eastAsia="仿宋" w:cs="仿宋"/>
          <w:sz w:val="32"/>
          <w:szCs w:val="32"/>
        </w:rPr>
        <w:t>离岸贸易结算、</w:t>
      </w:r>
      <w:r>
        <w:rPr>
          <w:rFonts w:ascii="仿宋" w:hAnsi="仿宋" w:eastAsia="仿宋" w:cs="仿宋"/>
          <w:sz w:val="32"/>
          <w:szCs w:val="32"/>
        </w:rPr>
        <w:t>资金汇回、税制设计及人员进出等问题先行先试，优化全球电动车供应链布局，以投资带动</w:t>
      </w:r>
      <w:r>
        <w:rPr>
          <w:rFonts w:hint="eastAsia" w:ascii="仿宋" w:hAnsi="仿宋" w:eastAsia="仿宋" w:cs="仿宋"/>
          <w:sz w:val="32"/>
          <w:szCs w:val="32"/>
        </w:rPr>
        <w:t>汽车产业链的中间品</w:t>
      </w:r>
      <w:r>
        <w:rPr>
          <w:rFonts w:ascii="仿宋" w:hAnsi="仿宋" w:eastAsia="仿宋" w:cs="仿宋"/>
          <w:sz w:val="32"/>
          <w:szCs w:val="32"/>
        </w:rPr>
        <w:t>贸易出口。</w:t>
      </w:r>
    </w:p>
    <w:p w14:paraId="274985AE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（二）积极布局“两头在外”的新能源车“三电系统”维修和再制造业务，培育进出口贸易新增长点</w:t>
      </w:r>
      <w:r>
        <w:rPr>
          <w:rFonts w:hint="eastAsia" w:ascii="仿宋" w:hAnsi="仿宋" w:eastAsia="仿宋" w:cs="仿宋"/>
          <w:sz w:val="32"/>
          <w:szCs w:val="32"/>
        </w:rPr>
        <w:t>。电动汽车出口消费使用一段时间后，将很快面临核心部件的维修和再制造问题。对此建议，在上海自贸试验区及临港新片区试点将</w:t>
      </w:r>
      <w:r>
        <w:rPr>
          <w:rFonts w:ascii="仿宋" w:hAnsi="仿宋" w:eastAsia="仿宋" w:cs="仿宋"/>
          <w:sz w:val="32"/>
          <w:szCs w:val="32"/>
        </w:rPr>
        <w:t>电动机、动力电池、电控系统</w:t>
      </w:r>
      <w:r>
        <w:rPr>
          <w:rFonts w:hint="eastAsia" w:ascii="仿宋" w:hAnsi="仿宋" w:eastAsia="仿宋" w:cs="仿宋"/>
          <w:sz w:val="32"/>
          <w:szCs w:val="32"/>
        </w:rPr>
        <w:t>旧件纳入允许进口目录，从风险可控的角度看，先行试点特斯拉国产和上汽集团国产新能源车的“三电系统”旧件进口，抢先布局“两头在外”的新能源车维修和再制造业务，通过做大做强新能源汽车供应链贸易，培育进出口贸易新增长点。</w:t>
      </w:r>
    </w:p>
    <w:p w14:paraId="124341ED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（三）</w:t>
      </w:r>
      <w:r>
        <w:rPr>
          <w:rFonts w:ascii="仿宋" w:hAnsi="仿宋" w:eastAsia="仿宋" w:cs="仿宋"/>
          <w:b/>
          <w:bCs/>
          <w:sz w:val="32"/>
          <w:szCs w:val="32"/>
        </w:rPr>
        <w:t>拓展生物医药等新兴产业对东盟等国家的出口，培育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生物医药产品</w:t>
      </w:r>
      <w:r>
        <w:rPr>
          <w:rFonts w:ascii="仿宋" w:hAnsi="仿宋" w:eastAsia="仿宋" w:cs="仿宋"/>
          <w:b/>
          <w:bCs/>
          <w:sz w:val="32"/>
          <w:szCs w:val="32"/>
        </w:rPr>
        <w:t>的出口竞争优势。</w:t>
      </w:r>
      <w:r>
        <w:rPr>
          <w:rFonts w:ascii="仿宋" w:hAnsi="仿宋" w:eastAsia="仿宋" w:cs="仿宋"/>
          <w:sz w:val="32"/>
          <w:szCs w:val="32"/>
        </w:rPr>
        <w:t>上海的生物医药产业</w:t>
      </w:r>
      <w:r>
        <w:rPr>
          <w:rFonts w:hint="eastAsia" w:ascii="仿宋" w:hAnsi="仿宋" w:eastAsia="仿宋" w:cs="仿宋"/>
          <w:sz w:val="32"/>
          <w:szCs w:val="32"/>
        </w:rPr>
        <w:t>基础雄厚</w:t>
      </w:r>
      <w:r>
        <w:rPr>
          <w:rFonts w:ascii="仿宋" w:hAnsi="仿宋" w:eastAsia="仿宋" w:cs="仿宋"/>
          <w:sz w:val="32"/>
          <w:szCs w:val="32"/>
        </w:rPr>
        <w:t>，且生命科学技术</w:t>
      </w:r>
      <w:r>
        <w:rPr>
          <w:rFonts w:hint="eastAsia" w:ascii="仿宋" w:hAnsi="仿宋" w:eastAsia="仿宋" w:cs="仿宋"/>
          <w:sz w:val="32"/>
          <w:szCs w:val="32"/>
        </w:rPr>
        <w:t>产品</w:t>
      </w:r>
      <w:r>
        <w:rPr>
          <w:rFonts w:ascii="仿宋" w:hAnsi="仿宋" w:eastAsia="仿宋" w:cs="仿宋"/>
          <w:sz w:val="32"/>
          <w:szCs w:val="32"/>
        </w:rPr>
        <w:t>出口在上海和全国的占比均呈现为不断上升的趋势，但从绝对数上看，其占上海出口的比重仅为2.6%，仍有较大提升空间。从课题组的调研来看，</w:t>
      </w:r>
      <w:r>
        <w:rPr>
          <w:rFonts w:hint="eastAsia" w:ascii="仿宋" w:hAnsi="仿宋" w:eastAsia="仿宋" w:cs="仿宋"/>
          <w:sz w:val="32"/>
          <w:szCs w:val="32"/>
        </w:rPr>
        <w:t>东盟等</w:t>
      </w:r>
      <w:r>
        <w:rPr>
          <w:rFonts w:ascii="仿宋" w:hAnsi="仿宋" w:eastAsia="仿宋" w:cs="仿宋"/>
          <w:sz w:val="32"/>
          <w:szCs w:val="32"/>
        </w:rPr>
        <w:t>周边国家</w:t>
      </w:r>
      <w:r>
        <w:rPr>
          <w:rFonts w:hint="eastAsia" w:ascii="仿宋" w:hAnsi="仿宋" w:eastAsia="仿宋" w:cs="仿宋"/>
          <w:sz w:val="32"/>
          <w:szCs w:val="32"/>
        </w:rPr>
        <w:t>的</w:t>
      </w:r>
      <w:r>
        <w:rPr>
          <w:rFonts w:ascii="仿宋" w:hAnsi="仿宋" w:eastAsia="仿宋" w:cs="仿宋"/>
          <w:sz w:val="32"/>
          <w:szCs w:val="32"/>
        </w:rPr>
        <w:t>部分高收入人群对中国生物医药产品有较大需求，</w:t>
      </w:r>
      <w:r>
        <w:rPr>
          <w:rFonts w:hint="eastAsia" w:ascii="仿宋" w:hAnsi="仿宋" w:eastAsia="仿宋" w:cs="仿宋"/>
          <w:sz w:val="32"/>
          <w:szCs w:val="32"/>
        </w:rPr>
        <w:t>建议支持国内商业保险公司拓展国际合作，争取将国产生物医药产品纳入与东盟等国家的商业保险目录，培育上海生物医药产品出口贸易新增长点。</w:t>
      </w:r>
    </w:p>
    <w:p w14:paraId="6709F15E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5C1BD634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1B0EFB25">
      <w:pPr>
        <w:adjustRightInd w:val="0"/>
        <w:snapToGrid w:val="0"/>
        <w:spacing w:line="360" w:lineRule="auto"/>
        <w:rPr>
          <w:rFonts w:hint="eastAsia" w:ascii="仿宋" w:hAnsi="仿宋" w:eastAsia="仿宋" w:cs="仿宋"/>
          <w:sz w:val="32"/>
          <w:szCs w:val="32"/>
        </w:rPr>
      </w:pPr>
    </w:p>
    <w:p w14:paraId="258A4E51">
      <w:pPr>
        <w:adjustRightInd w:val="0"/>
        <w:snapToGrid w:val="0"/>
        <w:spacing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执笔：</w:t>
      </w:r>
    </w:p>
    <w:p w14:paraId="05B04898">
      <w:pPr>
        <w:adjustRightInd w:val="0"/>
        <w:snapToGrid w:val="0"/>
        <w:spacing w:line="360" w:lineRule="auto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彭羽  上海社会科学院世界经济研究所研究员</w:t>
      </w:r>
    </w:p>
    <w:p w14:paraId="72C7A91D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44B7DDBB">
      <w:pPr>
        <w:adjustRightInd w:val="0"/>
        <w:snapToGrid w:val="0"/>
        <w:spacing w:line="360" w:lineRule="auto"/>
        <w:ind w:firstLine="560"/>
        <w:rPr>
          <w:rFonts w:hint="eastAsia" w:ascii="仿宋" w:hAnsi="仿宋" w:eastAsia="仿宋" w:cs="仿宋"/>
          <w:sz w:val="32"/>
          <w:szCs w:val="32"/>
        </w:rPr>
      </w:pPr>
    </w:p>
    <w:p w14:paraId="0182A308">
      <w:pPr>
        <w:ind w:firstLine="560" w:firstLineChars="200"/>
        <w:rPr>
          <w:sz w:val="28"/>
          <w:szCs w:val="28"/>
        </w:rPr>
      </w:pPr>
    </w:p>
    <w:p w14:paraId="393BB8A3"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1ODdhZWE5NDI2MmY3MDdmODk3YTYwNTJmYjgxOTcifQ=="/>
  </w:docVars>
  <w:rsids>
    <w:rsidRoot w:val="7C9B0546"/>
    <w:rsid w:val="000053B1"/>
    <w:rsid w:val="00014547"/>
    <w:rsid w:val="000971F0"/>
    <w:rsid w:val="002B45A4"/>
    <w:rsid w:val="0031045B"/>
    <w:rsid w:val="00325662"/>
    <w:rsid w:val="0039271C"/>
    <w:rsid w:val="003F207E"/>
    <w:rsid w:val="005263C3"/>
    <w:rsid w:val="005D5B75"/>
    <w:rsid w:val="00662CB5"/>
    <w:rsid w:val="00783602"/>
    <w:rsid w:val="007C6FA7"/>
    <w:rsid w:val="00843B5C"/>
    <w:rsid w:val="00920C5B"/>
    <w:rsid w:val="009D1FAE"/>
    <w:rsid w:val="00BC31F7"/>
    <w:rsid w:val="00C32501"/>
    <w:rsid w:val="00DA5900"/>
    <w:rsid w:val="00DE34AB"/>
    <w:rsid w:val="00E6689C"/>
    <w:rsid w:val="00F37BB0"/>
    <w:rsid w:val="03E9678C"/>
    <w:rsid w:val="04F03750"/>
    <w:rsid w:val="0789466C"/>
    <w:rsid w:val="09D2224A"/>
    <w:rsid w:val="0DB03D8F"/>
    <w:rsid w:val="0E63756D"/>
    <w:rsid w:val="11816889"/>
    <w:rsid w:val="11D861DF"/>
    <w:rsid w:val="1D3D1E31"/>
    <w:rsid w:val="1EDB10BC"/>
    <w:rsid w:val="20BF02FD"/>
    <w:rsid w:val="22FA6437"/>
    <w:rsid w:val="24FE5AC4"/>
    <w:rsid w:val="2538060A"/>
    <w:rsid w:val="25A63ADB"/>
    <w:rsid w:val="26971D6D"/>
    <w:rsid w:val="28E446F2"/>
    <w:rsid w:val="29253660"/>
    <w:rsid w:val="2E9A08DD"/>
    <w:rsid w:val="2EBE07DF"/>
    <w:rsid w:val="2F07582D"/>
    <w:rsid w:val="30FF1B3D"/>
    <w:rsid w:val="32FE615B"/>
    <w:rsid w:val="343C772B"/>
    <w:rsid w:val="373E5A03"/>
    <w:rsid w:val="384F0EE0"/>
    <w:rsid w:val="3863428F"/>
    <w:rsid w:val="3A105C66"/>
    <w:rsid w:val="3CE06912"/>
    <w:rsid w:val="40A57BC8"/>
    <w:rsid w:val="442E1B0B"/>
    <w:rsid w:val="4BAB2CB2"/>
    <w:rsid w:val="50D35F99"/>
    <w:rsid w:val="530103EA"/>
    <w:rsid w:val="54D1580A"/>
    <w:rsid w:val="565E29AE"/>
    <w:rsid w:val="631B72A6"/>
    <w:rsid w:val="6721570C"/>
    <w:rsid w:val="6917003F"/>
    <w:rsid w:val="6AAB7162"/>
    <w:rsid w:val="6F243E7C"/>
    <w:rsid w:val="74687E72"/>
    <w:rsid w:val="783E5D09"/>
    <w:rsid w:val="7C9B0546"/>
    <w:rsid w:val="7F7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basedOn w:val="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6">
    <w:name w:val="font31"/>
    <w:basedOn w:val="3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2844</Words>
  <Characters>3287</Characters>
  <Lines>24</Lines>
  <Paragraphs>6</Paragraphs>
  <TotalTime>54</TotalTime>
  <ScaleCrop>false</ScaleCrop>
  <LinksUpToDate>false</LinksUpToDate>
  <CharactersWithSpaces>3313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2024-07-24T06:50:00Z</dcterms:created>
  <dc:creator>彭羽</dc:creator>
  <cp:lastModifiedBy>Yallon</cp:lastModifiedBy>
  <dcterms:modified xsi:type="dcterms:W3CDTF">2024-09-20T06:41:04Z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7D9E553B62DB4918BEAC80CE2642743F_11</vt:lpwstr>
  </property>
</Properties>
</file>