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7A585">
      <w:pPr>
        <w:pStyle w:val="2"/>
        <w:jc w:val="left"/>
        <w:rPr>
          <w:rFonts w:hint="eastAsia" w:eastAsia="minorEastAsia"/>
          <w:lang w:val="en-US" w:eastAsia="zh-CN"/>
        </w:rPr>
      </w:pPr>
      <w:r>
        <w:rPr>
          <w:rFonts w:hint="eastAsia"/>
        </w:rPr>
        <w:t xml:space="preserve">久车GO </w:t>
      </w:r>
      <w:r>
        <w:rPr>
          <w:rFonts w:hint="eastAsia"/>
          <w:lang w:val="en-US" w:eastAsia="zh-CN"/>
        </w:rPr>
        <w:t>海外业务官网</w:t>
      </w:r>
    </w:p>
    <w:tbl>
      <w:tblPr>
        <w:tblStyle w:val="4"/>
        <w:tblpPr w:leftFromText="180" w:rightFromText="180" w:vertAnchor="text" w:horzAnchor="page" w:tblpX="115" w:tblpY="790"/>
        <w:tblOverlap w:val="never"/>
        <w:tblW w:w="1285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1557"/>
        <w:gridCol w:w="9762"/>
      </w:tblGrid>
      <w:tr w14:paraId="5F8EE123">
        <w:trPr>
          <w:trHeight w:val="0" w:hRule="atLeast"/>
        </w:trPr>
        <w:tc>
          <w:tcPr>
            <w:tcW w:w="1533" w:type="dxa"/>
            <w:shd w:val="clear" w:color="auto" w:fill="485368"/>
            <w:vAlign w:val="center"/>
          </w:tcPr>
          <w:p w14:paraId="1888A755">
            <w:pPr>
              <w:jc w:val="center"/>
              <w:rPr>
                <w:rFonts w:ascii="兰亭黑-简" w:hAnsi="兰亭黑-简" w:eastAsia="兰亭黑-简" w:cs="兰亭黑-简"/>
                <w:b w:val="0"/>
                <w:color w:val="FFFFFF"/>
                <w:sz w:val="30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30"/>
              </w:rPr>
              <w:t>栏目页面</w:t>
            </w:r>
          </w:p>
        </w:tc>
        <w:tc>
          <w:tcPr>
            <w:tcW w:w="1557" w:type="dxa"/>
            <w:shd w:val="clear" w:color="auto" w:fill="485368"/>
            <w:vAlign w:val="center"/>
          </w:tcPr>
          <w:p w14:paraId="5E888555">
            <w:pPr>
              <w:jc w:val="center"/>
              <w:rPr>
                <w:rFonts w:ascii="兰亭黑-简" w:hAnsi="兰亭黑-简" w:eastAsia="兰亭黑-简" w:cs="兰亭黑-简"/>
                <w:b w:val="0"/>
                <w:color w:val="FFFFFF"/>
                <w:sz w:val="30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30"/>
              </w:rPr>
              <w:t>模块</w:t>
            </w:r>
          </w:p>
        </w:tc>
        <w:tc>
          <w:tcPr>
            <w:tcW w:w="9762" w:type="dxa"/>
            <w:shd w:val="clear" w:color="auto" w:fill="485368"/>
            <w:vAlign w:val="center"/>
          </w:tcPr>
          <w:p w14:paraId="7643CF51">
            <w:pPr>
              <w:jc w:val="center"/>
              <w:rPr>
                <w:rFonts w:ascii="兰亭黑-简" w:hAnsi="兰亭黑-简" w:eastAsia="兰亭黑-简" w:cs="兰亭黑-简"/>
                <w:b w:val="0"/>
                <w:color w:val="FFFFFF"/>
                <w:sz w:val="30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30"/>
              </w:rPr>
              <w:t>文案</w:t>
            </w:r>
          </w:p>
        </w:tc>
      </w:tr>
      <w:tr w14:paraId="7CBFB6B8">
        <w:trPr>
          <w:trHeight w:val="0" w:hRule="atLeast"/>
        </w:trPr>
        <w:tc>
          <w:tcPr>
            <w:tcW w:w="1533" w:type="dxa"/>
            <w:vMerge w:val="restart"/>
            <w:vAlign w:val="center"/>
          </w:tcPr>
          <w:p w14:paraId="0696AD28">
            <w:pPr>
              <w:jc w:val="center"/>
              <w:rPr>
                <w:rFonts w:hint="eastAsia"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首页</w:t>
            </w:r>
          </w:p>
          <w:p w14:paraId="08F0372B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2F4FBFFC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LOGO</w:t>
            </w:r>
          </w:p>
        </w:tc>
        <w:tc>
          <w:tcPr>
            <w:tcW w:w="9762" w:type="dxa"/>
            <w:vAlign w:val="center"/>
          </w:tcPr>
          <w:p w14:paraId="67788662">
            <w:pPr>
              <w:jc w:val="left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 xml:space="preserve">久车GO  LOGO </w:t>
            </w:r>
            <w:r>
              <w:drawing>
                <wp:inline distT="0" distB="0" distL="0" distR="0">
                  <wp:extent cx="2918460" cy="432435"/>
                  <wp:effectExtent l="0" t="0" r="2540" b="24765"/>
                  <wp:docPr id="8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escript" descr="descript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034" cy="43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2F6399">
        <w:trPr>
          <w:trHeight w:val="349" w:hRule="atLeast"/>
        </w:trPr>
        <w:tc>
          <w:tcPr>
            <w:tcW w:w="1533" w:type="dxa"/>
            <w:vMerge w:val="continue"/>
            <w:vAlign w:val="center"/>
          </w:tcPr>
          <w:p w14:paraId="2DCF679C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000058D2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首页导航栏</w:t>
            </w:r>
          </w:p>
        </w:tc>
        <w:tc>
          <w:tcPr>
            <w:tcW w:w="9762" w:type="dxa"/>
            <w:vAlign w:val="center"/>
          </w:tcPr>
          <w:p w14:paraId="6A05C709">
            <w:pPr>
              <w:jc w:val="left"/>
              <w:rPr>
                <w:rFonts w:hint="eastAsia" w:ascii="兰亭黑-简" w:hAnsi="兰亭黑-简" w:eastAsia="兰亭黑-简" w:cs="兰亭黑-简"/>
                <w:sz w:val="24"/>
                <w:lang w:val="en-US" w:eastAsia="zh-CN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关于我们、海外业务、车型目录、联系我们</w:t>
            </w:r>
            <w:r>
              <w:rPr>
                <w:rFonts w:hint="eastAsia" w:ascii="兰亭黑-简" w:hAnsi="兰亭黑-简" w:eastAsia="兰亭黑-简" w:cs="兰亭黑-简"/>
                <w:sz w:val="24"/>
                <w:shd w:val="clear" w:color="auto" w:fill="auto"/>
              </w:rPr>
              <w:t>、</w:t>
            </w:r>
            <w:r>
              <w:rPr>
                <w:rFonts w:hint="eastAsia" w:ascii="兰亭黑-简" w:hAnsi="兰亭黑-简" w:eastAsia="兰亭黑-简" w:cs="兰亭黑-简"/>
                <w:sz w:val="24"/>
              </w:rPr>
              <w:t>多语种</w:t>
            </w:r>
            <w:r>
              <w:rPr>
                <w:rFonts w:hint="eastAsia" w:ascii="兰亭黑-简" w:hAnsi="兰亭黑-简" w:eastAsia="兰亭黑-简" w:cs="兰亭黑-简"/>
                <w:sz w:val="24"/>
                <w:lang w:val="en-US" w:eastAsia="zh-CN"/>
              </w:rPr>
              <w:t>切换（中、俄、英）</w:t>
            </w:r>
          </w:p>
        </w:tc>
      </w:tr>
      <w:tr w14:paraId="0885C0F5">
        <w:trPr>
          <w:trHeight w:val="356" w:hRule="atLeast"/>
        </w:trPr>
        <w:tc>
          <w:tcPr>
            <w:tcW w:w="1533" w:type="dxa"/>
            <w:vMerge w:val="continue"/>
            <w:vAlign w:val="center"/>
          </w:tcPr>
          <w:p w14:paraId="5CED68F2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38248F33">
            <w:pPr>
              <w:pBdr>
                <w:bottom w:val="none" w:color="auto" w:sz="0" w:space="0"/>
              </w:pBd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轮播图/10S小视频</w:t>
            </w:r>
          </w:p>
        </w:tc>
        <w:tc>
          <w:tcPr>
            <w:tcW w:w="9762" w:type="dxa"/>
            <w:vAlign w:val="center"/>
          </w:tcPr>
          <w:p w14:paraId="4BB18A62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ascii="兰亭黑-简" w:hAnsi="兰亭黑-简" w:eastAsia="兰亭黑-简" w:cs="兰亭黑-简"/>
                <w:b w:val="0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i w:val="0"/>
                <w:strike w:val="0"/>
                <w:spacing w:val="0"/>
                <w:sz w:val="24"/>
                <w:u w:val="none"/>
              </w:rPr>
              <w:t>定位：</w:t>
            </w:r>
            <w:r>
              <w:rPr>
                <w:rFonts w:hint="eastAsia" w:ascii="兰亭黑-简" w:hAnsi="兰亭黑-简" w:eastAsia="兰亭黑-简" w:cs="兰亭黑-简"/>
                <w:b w:val="0"/>
                <w:i w:val="0"/>
                <w:strike w:val="0"/>
                <w:color w:val="C00000"/>
                <w:spacing w:val="0"/>
                <w:sz w:val="24"/>
                <w:u w:val="none"/>
              </w:rPr>
              <w:t>来久车GO，买中国车</w:t>
            </w:r>
          </w:p>
        </w:tc>
      </w:tr>
      <w:tr w14:paraId="003D44EC">
        <w:trPr>
          <w:trHeight w:val="0" w:hRule="atLeast"/>
        </w:trPr>
        <w:tc>
          <w:tcPr>
            <w:tcW w:w="1533" w:type="dxa"/>
            <w:vMerge w:val="continue"/>
            <w:vAlign w:val="center"/>
          </w:tcPr>
          <w:p w14:paraId="0C5B1BE3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2DC8C1AF">
            <w:pPr>
              <w:jc w:val="center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海外业务</w:t>
            </w:r>
          </w:p>
          <w:p w14:paraId="6E8A8028">
            <w:pPr>
              <w:jc w:val="center"/>
              <w:rPr>
                <w:rFonts w:hint="eastAsia"/>
                <w:b w:val="0"/>
                <w:sz w:val="20"/>
              </w:rPr>
            </w:pPr>
            <w:r>
              <w:rPr>
                <w:rFonts w:hint="eastAsia"/>
                <w:b w:val="0"/>
                <w:sz w:val="20"/>
              </w:rPr>
              <w:t>(模块/UI参考下图)</w:t>
            </w:r>
          </w:p>
          <w:p w14:paraId="74BB7BEA">
            <w:pPr>
              <w:pBdr>
                <w:bottom w:val="none" w:color="auto" w:sz="0" w:space="0"/>
              </w:pBdr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drawing>
                <wp:inline distT="0" distB="0" distL="0" distR="0">
                  <wp:extent cx="1127760" cy="429260"/>
                  <wp:effectExtent l="0" t="0" r="15240" b="2540"/>
                  <wp:docPr id="11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escript" descr="descript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429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2" w:type="dxa"/>
            <w:shd w:val="clear" w:color="auto" w:fill="auto"/>
            <w:vAlign w:val="center"/>
          </w:tcPr>
          <w:p w14:paraId="4F0BF2E8">
            <w:pPr>
              <w:ind w:left="0"/>
              <w:jc w:val="left"/>
              <w:rPr>
                <w:b w:val="0"/>
                <w:sz w:val="22"/>
              </w:rPr>
            </w:pPr>
            <w:r>
              <w:rPr>
                <w:rFonts w:hint="eastAsia"/>
                <w:b w:val="0"/>
                <w:color w:val="FFFFFF"/>
                <w:sz w:val="22"/>
                <w:shd w:val="clear" w:color="auto" w:fill="3F3F3F"/>
              </w:rPr>
              <w:t xml:space="preserve"> 模块1 </w:t>
            </w:r>
            <w:r>
              <w:rPr>
                <w:rFonts w:hint="eastAsia"/>
                <w:b w:val="0"/>
                <w:sz w:val="22"/>
              </w:rPr>
              <w:t xml:space="preserve"> 业务概况</w:t>
            </w:r>
          </w:p>
          <w:p w14:paraId="03344131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262626"/>
                <w:sz w:val="20"/>
                <w:u w:val="none"/>
              </w:rPr>
              <w:t xml:space="preserve">        </w:t>
            </w:r>
            <w:r>
              <w:rPr>
                <w:i w:val="0"/>
                <w:strike w:val="0"/>
                <w:color w:val="000000"/>
                <w:u w:val="none"/>
              </w:rPr>
              <w:t>成熟的本地化运营团队，经验丰富、合作稳定的海外合作伙伴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，</w:t>
            </w:r>
            <w:r>
              <w:rPr>
                <w:i w:val="0"/>
                <w:strike w:val="0"/>
                <w:color w:val="000000"/>
                <w:u w:val="none"/>
              </w:rPr>
              <w:t>为客户提供整车出口、跨境物流、清关配套等一站式全链路服务。</w:t>
            </w:r>
          </w:p>
          <w:p w14:paraId="69A19EC0">
            <w:pPr>
              <w:snapToGrid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【查看更多→】</w:t>
            </w:r>
            <w:bookmarkStart w:id="0" w:name="_GoBack"/>
            <w:bookmarkEnd w:id="0"/>
          </w:p>
          <w:p w14:paraId="71014F3A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/>
              </w:rPr>
            </w:pPr>
          </w:p>
          <w:p w14:paraId="2B1E11C7">
            <w:pPr>
              <w:snapToGrid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（页面总述）</w:t>
            </w:r>
          </w:p>
          <w:p w14:paraId="5D0CF221">
            <w:pP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4"/>
                <w:u w:val="none"/>
              </w:rPr>
              <w:t>海外业务概况</w:t>
            </w:r>
          </w:p>
          <w:p w14:paraId="202DDFB1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       </w:t>
            </w:r>
            <w:r>
              <w:rPr>
                <w:i w:val="0"/>
                <w:strike w:val="0"/>
                <w:color w:val="000000"/>
                <w:u w:val="none"/>
              </w:rPr>
              <w:t>依托集团深厚积淀，整合供应链、国际业务及汽车经销商运营体系，搭建多元化海外销售资源网络，打造专业渠道服务能力。 我们配备成熟的本地化运营团队，拥有经验丰富、合作稳定的海外合作伙伴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，</w:t>
            </w:r>
            <w:r>
              <w:rPr>
                <w:i w:val="0"/>
                <w:strike w:val="0"/>
                <w:color w:val="000000"/>
                <w:u w:val="none"/>
              </w:rPr>
              <w:t>可为客户提供整车出口、跨境物流、清关配套等一站式全链路服务。</w:t>
            </w:r>
          </w:p>
          <w:p w14:paraId="595CEE70">
            <w:pPr>
              <w:snapToGrid/>
              <w:spacing w:line="240" w:lineRule="auto"/>
              <w:rPr>
                <w:rFonts w:hint="eastAsia"/>
              </w:rPr>
            </w:pPr>
          </w:p>
          <w:p w14:paraId="2E22C323">
            <w:pPr>
              <w:snapToGrid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（卡片文案）</w:t>
            </w:r>
          </w:p>
          <w:p w14:paraId="3006BB4A">
            <w:pPr>
              <w:snapToGrid/>
              <w:spacing w:line="240" w:lineRule="auto"/>
              <w:rPr>
                <w:rFonts w:hint="eastAsia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1.强大的物流能力</w:t>
            </w:r>
          </w:p>
          <w:p w14:paraId="27BBF410">
            <w:pPr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年均发运量近300万台</w:t>
            </w:r>
          </w:p>
          <w:p w14:paraId="5039F9E4">
            <w:pPr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自有轿运车超2000辆</w:t>
            </w:r>
          </w:p>
          <w:p w14:paraId="4DBACF00">
            <w:pPr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可控船只10艘</w:t>
            </w:r>
          </w:p>
          <w:p w14:paraId="2293130F">
            <w:pPr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国内、国际公铁水多式联运方案</w:t>
            </w:r>
          </w:p>
          <w:p w14:paraId="7A3BDDEC">
            <w:pPr>
              <w:snapToGrid/>
              <w:spacing w:line="240" w:lineRule="auto"/>
              <w:rPr>
                <w:rFonts w:hint="eastAsia"/>
                <w:sz w:val="20"/>
              </w:rPr>
            </w:pPr>
          </w:p>
          <w:p w14:paraId="759D3361">
            <w:pPr>
              <w:snapToGrid/>
              <w:spacing w:line="240" w:lineRule="auto"/>
              <w:rPr>
                <w:rFonts w:hint="eastAsia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2.国际事业增值</w:t>
            </w:r>
          </w:p>
          <w:p w14:paraId="37AD4EDC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000000"/>
                <w:spacing w:val="20"/>
                <w:sz w:val="20"/>
                <w:u w:val="none"/>
              </w:rPr>
              <w:t>为中国及国际汽车品牌客户</w:t>
            </w:r>
          </w:p>
          <w:p w14:paraId="1F9010D2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000000"/>
                <w:spacing w:val="20"/>
                <w:sz w:val="20"/>
                <w:u w:val="none"/>
              </w:rPr>
              <w:t xml:space="preserve">提供KD运包一体化服务 、 </w:t>
            </w:r>
          </w:p>
          <w:p w14:paraId="0F31E081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000000"/>
                <w:spacing w:val="20"/>
                <w:sz w:val="20"/>
                <w:u w:val="none"/>
              </w:rPr>
              <w:t xml:space="preserve">汽车商贸及物流一体化服务 、 </w:t>
            </w:r>
          </w:p>
          <w:p w14:paraId="04EA24FB">
            <w:pPr>
              <w:snapToGrid/>
              <w:spacing w:before="0" w:after="0" w:line="240" w:lineRule="auto"/>
              <w:ind w:left="0"/>
              <w:jc w:val="left"/>
              <w:rPr>
                <w:i w:val="0"/>
                <w:strike w:val="0"/>
                <w:color w:val="000000"/>
                <w:spacing w:val="2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spacing w:val="20"/>
                <w:sz w:val="20"/>
                <w:u w:val="none"/>
              </w:rPr>
              <w:t>境外代理 ，以及器具租赁等服务</w:t>
            </w:r>
          </w:p>
          <w:p w14:paraId="19914274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</w:p>
          <w:p w14:paraId="72B09E71">
            <w:pPr>
              <w:snapToGrid/>
              <w:spacing w:before="0" w:after="0" w:line="240" w:lineRule="auto"/>
              <w:ind w:left="0"/>
              <w:jc w:val="left"/>
              <w:rPr>
                <w:b/>
                <w:sz w:val="20"/>
              </w:rPr>
            </w:pPr>
          </w:p>
          <w:p w14:paraId="7ED83FBE">
            <w:pPr>
              <w:snapToGrid/>
              <w:spacing w:before="0" w:after="0" w:line="240" w:lineRule="auto"/>
              <w:ind w:left="0"/>
              <w:jc w:val="left"/>
              <w:rPr>
                <w:rFonts w:hint="eastAsia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3.70家汽车4S店</w:t>
            </w:r>
          </w:p>
          <w:p w14:paraId="683C9FB7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262626"/>
                <w:spacing w:val="20"/>
                <w:sz w:val="20"/>
                <w:u w:val="none"/>
              </w:rPr>
              <w:t>经营捷豹路虎、一汽奥迪、</w:t>
            </w:r>
          </w:p>
          <w:p w14:paraId="151F0923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262626"/>
                <w:spacing w:val="20"/>
                <w:sz w:val="20"/>
                <w:u w:val="none"/>
              </w:rPr>
              <w:t>一汽大众、一汽丰田、奔驰、</w:t>
            </w:r>
          </w:p>
          <w:p w14:paraId="69A06217">
            <w:pPr>
              <w:snapToGrid/>
              <w:spacing w:before="0" w:after="0" w:line="240" w:lineRule="auto"/>
              <w:ind w:left="0"/>
              <w:jc w:val="left"/>
              <w:rPr>
                <w:sz w:val="20"/>
              </w:rPr>
            </w:pPr>
            <w:r>
              <w:rPr>
                <w:i w:val="0"/>
                <w:strike w:val="0"/>
                <w:color w:val="262626"/>
                <w:spacing w:val="20"/>
                <w:sz w:val="20"/>
                <w:u w:val="none"/>
              </w:rPr>
              <w:t>沃尔沃等14个主流汽车品牌、</w:t>
            </w:r>
          </w:p>
          <w:p w14:paraId="0518E5D7">
            <w:pPr>
              <w:snapToGrid/>
              <w:spacing w:before="0" w:after="0" w:line="240" w:lineRule="auto"/>
              <w:ind w:left="0"/>
              <w:jc w:val="left"/>
              <w:rPr>
                <w:sz w:val="22"/>
              </w:rPr>
            </w:pPr>
            <w:r>
              <w:rPr>
                <w:i w:val="0"/>
                <w:strike w:val="0"/>
                <w:color w:val="262626"/>
                <w:spacing w:val="20"/>
                <w:sz w:val="20"/>
                <w:u w:val="none"/>
              </w:rPr>
              <w:t>汽车资源丰富多样</w:t>
            </w:r>
          </w:p>
          <w:p w14:paraId="43B10F32">
            <w:pPr>
              <w:pBdr>
                <w:bottom w:val="none" w:color="auto" w:sz="0" w:space="0"/>
              </w:pBdr>
              <w:snapToGrid/>
              <w:spacing w:line="240" w:lineRule="auto"/>
            </w:pPr>
          </w:p>
          <w:p w14:paraId="3311C111">
            <w:pPr>
              <w:ind w:left="0"/>
              <w:jc w:val="left"/>
              <w:rPr>
                <w:sz w:val="22"/>
              </w:rPr>
            </w:pPr>
            <w:r>
              <w:rPr>
                <w:rFonts w:hint="eastAsia"/>
                <w:b/>
                <w:color w:val="FFFFFF"/>
                <w:sz w:val="22"/>
                <w:shd w:val="clear" w:color="auto" w:fill="3F3F3F"/>
              </w:rPr>
              <w:t xml:space="preserve"> </w:t>
            </w:r>
            <w:r>
              <w:rPr>
                <w:rFonts w:hint="eastAsia"/>
                <w:b w:val="0"/>
                <w:color w:val="FFFFFF"/>
                <w:sz w:val="22"/>
                <w:shd w:val="clear" w:color="auto" w:fill="3F3F3F"/>
              </w:rPr>
              <w:t xml:space="preserve">模块2 </w:t>
            </w:r>
            <w:r>
              <w:rPr>
                <w:rFonts w:hint="eastAsia"/>
                <w:b w:val="0"/>
                <w:sz w:val="22"/>
              </w:rPr>
              <w:t xml:space="preserve"> 合作品牌及模式</w:t>
            </w:r>
          </w:p>
          <w:p w14:paraId="5FB07E35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       </w:t>
            </w:r>
            <w:r>
              <w:rPr>
                <w:i w:val="0"/>
                <w:strike w:val="0"/>
                <w:color w:val="000000"/>
                <w:u w:val="none"/>
              </w:rPr>
              <w:t>拥有多元化整车出海业务模式，覆盖多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家</w:t>
            </w:r>
            <w:r>
              <w:rPr>
                <w:i w:val="0"/>
                <w:strike w:val="0"/>
                <w:color w:val="000000"/>
                <w:u w:val="none"/>
              </w:rPr>
              <w:t>主流汽车品牌，服务辐射俄罗斯、中亚、中东、非洲等海外市场。</w:t>
            </w:r>
          </w:p>
          <w:p w14:paraId="03214887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【查看更多→】</w:t>
            </w:r>
          </w:p>
          <w:p w14:paraId="4A5B0289">
            <w:pPr>
              <w:pBdr>
                <w:bottom w:val="none" w:color="auto" w:sz="0" w:space="0"/>
              </w:pBd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</w:p>
          <w:p w14:paraId="24C8E10C">
            <w:pPr>
              <w:snapToGrid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（页面总述）</w:t>
            </w:r>
          </w:p>
          <w:p w14:paraId="534B8B92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4"/>
                <w:u w:val="none"/>
              </w:rPr>
              <w:t>合作品牌及模式</w:t>
            </w:r>
          </w:p>
          <w:p w14:paraId="55252185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       </w:t>
            </w:r>
            <w:r>
              <w:rPr>
                <w:i w:val="0"/>
                <w:strike w:val="0"/>
                <w:color w:val="000000"/>
                <w:u w:val="none"/>
              </w:rPr>
              <w:t>我们打造四大整车出海业务：厂商新车直出、新车改装出口、0 公里二手车出口及 KD 项目合作。覆盖多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家</w:t>
            </w:r>
            <w:r>
              <w:rPr>
                <w:i w:val="0"/>
                <w:strike w:val="0"/>
                <w:color w:val="000000"/>
                <w:u w:val="none"/>
              </w:rPr>
              <w:t>主流汽车品牌，可提供授权整车出口、车辆改装、许可办理、跨境物流、口岸交付、KD 散件配套等全链条服务。依托国内仓储及海外资源，服务俄罗斯、中亚、中东、非洲市场，一站式解决海外客户多元化整车采购与本地化建厂配套需求。</w:t>
            </w:r>
          </w:p>
          <w:p w14:paraId="19A28CEB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</w:p>
          <w:p w14:paraId="443B155F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（卡片文案）</w:t>
            </w:r>
          </w:p>
          <w:p w14:paraId="4924448B">
            <w:pP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  <w:t>1.厂商资源新车直出</w:t>
            </w:r>
          </w:p>
          <w:p w14:paraId="0856FB7E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效率最大化 | 成本最优化 | 操作标准化</w:t>
            </w:r>
          </w:p>
          <w:p w14:paraId="42D79B33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647BEEBB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交易模式：</w:t>
            </w:r>
          </w:p>
          <w:p w14:paraId="6513D204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·具备出口授权</w:t>
            </w:r>
          </w:p>
          <w:p w14:paraId="2AB5C050">
            <w:pPr>
              <w:pBdr>
                <w:bottom w:val="none" w:color="auto" w:sz="0" w:space="0"/>
              </w:pBd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 xml:space="preserve">    合作品牌 :  </w:t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 xml:space="preserve">        </w:t>
            </w:r>
          </w:p>
          <w:p w14:paraId="2C28EF78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542925" cy="368935"/>
                  <wp:effectExtent l="0" t="0" r="15875" b="12065"/>
                  <wp:docPr id="14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script" descr="descrip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36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C8BCB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·根据订单申请出口许可</w:t>
            </w:r>
          </w:p>
          <w:p w14:paraId="515D53E3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 xml:space="preserve">    合作品牌:</w:t>
            </w:r>
          </w:p>
          <w:p w14:paraId="1143D140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695325" cy="357505"/>
                  <wp:effectExtent l="0" t="0" r="15875" b="23495"/>
                  <wp:docPr id="17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escript" descr="descrip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357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 xml:space="preserve">   </w:t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685800" cy="368300"/>
                  <wp:effectExtent l="0" t="0" r="0" b="12700"/>
                  <wp:docPr id="20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escript" descr="descrip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6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1181100" cy="297180"/>
                  <wp:effectExtent l="0" t="0" r="12700" b="7620"/>
                  <wp:docPr id="23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escript" descr="descrip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9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39825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1F0535E6">
            <w:pP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  <w:t>2.新车改装出口</w:t>
            </w:r>
          </w:p>
          <w:p w14:paraId="28DE4385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资产价值提升 | 强大资源整合</w:t>
            </w:r>
          </w:p>
          <w:p w14:paraId="170377A9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44CB3B27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交易模式</w:t>
            </w:r>
          </w:p>
          <w:p w14:paraId="1C6E7276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01 订单与改装</w:t>
            </w:r>
          </w:p>
          <w:p w14:paraId="712E07C9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02 许可申请</w:t>
            </w:r>
          </w:p>
          <w:p w14:paraId="2E127923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03 物流与报关</w:t>
            </w:r>
          </w:p>
          <w:p w14:paraId="179215AF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04 口岸交付</w:t>
            </w:r>
          </w:p>
          <w:p w14:paraId="33696646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合作品牌：</w:t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br w:type="textWrapping"/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drawing>
                <wp:inline distT="0" distB="0" distL="0" distR="0">
                  <wp:extent cx="1323975" cy="484505"/>
                  <wp:effectExtent l="0" t="0" r="22225" b="23495"/>
                  <wp:docPr id="26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escript" descr="descrip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48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 xml:space="preserve">   </w:t>
            </w:r>
            <w:r>
              <w:drawing>
                <wp:inline distT="0" distB="0" distL="0" distR="0">
                  <wp:extent cx="1704975" cy="487045"/>
                  <wp:effectExtent l="0" t="0" r="22225" b="20955"/>
                  <wp:docPr id="29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escript" descr="descript"/>
                          <pic:cNvPicPr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48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 xml:space="preserve">  </w:t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drawing>
                <wp:inline distT="0" distB="0" distL="0" distR="0">
                  <wp:extent cx="1047750" cy="713105"/>
                  <wp:effectExtent l="0" t="0" r="19050" b="23495"/>
                  <wp:docPr id="32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descript" descr="descript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1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 xml:space="preserve">  </w:t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drawing>
                <wp:inline distT="0" distB="0" distL="0" distR="0">
                  <wp:extent cx="1200150" cy="710565"/>
                  <wp:effectExtent l="0" t="0" r="19050" b="635"/>
                  <wp:docPr id="35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escript" descr="descript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1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A034B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244CEF36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942975" cy="855345"/>
                  <wp:effectExtent l="0" t="0" r="22225" b="8255"/>
                  <wp:docPr id="38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descript" descr="descript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55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 xml:space="preserve">       </w:t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drawing>
                <wp:inline distT="0" distB="0" distL="0" distR="0">
                  <wp:extent cx="1628775" cy="672465"/>
                  <wp:effectExtent l="0" t="0" r="22225" b="13335"/>
                  <wp:docPr id="41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descript" descr="descript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67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7140E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1A516D09">
            <w:pP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  <w:t>3. 0公里二手车出口</w:t>
            </w:r>
          </w:p>
          <w:p w14:paraId="31DAAA0E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已转让待出口 | 无需等待180天 | 新车标准</w:t>
            </w:r>
          </w:p>
          <w:p w14:paraId="09E8BC20">
            <w:pPr>
              <w:snapToGrid/>
              <w:spacing w:before="0" w:after="0" w:line="288" w:lineRule="auto"/>
              <w:ind w:left="0"/>
              <w:jc w:val="both"/>
              <w:rPr>
                <w:color w:val="000000"/>
                <w:sz w:val="16"/>
              </w:rPr>
            </w:pPr>
          </w:p>
          <w:p w14:paraId="5AF95B00">
            <w:pPr>
              <w:snapToGrid/>
              <w:spacing w:before="0" w:after="0" w:line="288" w:lineRule="auto"/>
              <w:ind w:left="0"/>
              <w:jc w:val="both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交易模式</w:t>
            </w:r>
          </w:p>
          <w:p w14:paraId="3ECBF3E9">
            <w:pPr>
              <w:snapToGrid/>
              <w:spacing w:before="0" w:after="0" w:line="300" w:lineRule="auto"/>
              <w:ind w:leftChars="0"/>
              <w:jc w:val="left"/>
              <w:rPr>
                <w:sz w:val="18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·</w:t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均已经完成转移待出口</w:t>
            </w:r>
          </w:p>
          <w:p w14:paraId="50304FC3">
            <w:pPr>
              <w:snapToGrid/>
              <w:spacing w:before="0" w:after="0" w:line="300" w:lineRule="auto"/>
              <w:ind w:leftChars="0"/>
              <w:jc w:val="left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·</w:t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完成合同签订后2-3日可提供出口许可</w:t>
            </w:r>
          </w:p>
          <w:p w14:paraId="5AAC872D">
            <w:pPr>
              <w:snapToGrid/>
              <w:spacing w:before="0" w:after="0" w:line="300" w:lineRule="auto"/>
              <w:ind w:leftChars="0"/>
              <w:jc w:val="left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·资源地点：天津/霍尔果斯/俄罗斯</w:t>
            </w:r>
          </w:p>
          <w:p w14:paraId="6FBA8542">
            <w:pPr>
              <w:snapToGrid/>
              <w:spacing w:before="0" w:after="0" w:line="300" w:lineRule="auto"/>
              <w:ind w:leftChars="0"/>
              <w:jc w:val="left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合作品牌：</w:t>
            </w:r>
          </w:p>
          <w:p w14:paraId="3154EE03">
            <w:pPr>
              <w:snapToGrid/>
              <w:spacing w:before="0" w:after="0" w:line="300" w:lineRule="auto"/>
              <w:ind w:leftChars="0"/>
              <w:jc w:val="left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  <w:t>一汽丰田  卡罗拉1.2T</w:t>
            </w:r>
          </w:p>
          <w:p w14:paraId="7ACA9A34">
            <w:pPr>
              <w:snapToGrid/>
              <w:spacing w:before="0" w:after="0" w:line="300" w:lineRule="auto"/>
              <w:ind w:leftChars="0"/>
              <w:jc w:val="left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</w:p>
          <w:p w14:paraId="6D9DA857">
            <w:pPr>
              <w:snapToGrid/>
              <w:spacing w:line="240" w:lineRule="auto"/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hint="eastAsia"/>
                <w:b/>
                <w:i w:val="0"/>
                <w:strike w:val="0"/>
                <w:color w:val="000000"/>
                <w:sz w:val="20"/>
                <w:u w:val="none"/>
              </w:rPr>
              <w:t>4.KD项目合作</w:t>
            </w:r>
          </w:p>
          <w:p w14:paraId="7110C7F8">
            <w:pPr>
              <w:snapToGrid/>
              <w:spacing w:before="0" w:after="0" w:line="288" w:lineRule="auto"/>
              <w:ind w:left="0"/>
              <w:jc w:val="both"/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成熟的物流供应链</w:t>
            </w:r>
            <w:r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 xml:space="preserve"> | </w:t>
            </w:r>
            <w:r>
              <w:rPr>
                <w:rFonts w:hint="eastAsia"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  <w:t>交易·运营·金融一体化服务</w:t>
            </w:r>
          </w:p>
          <w:p w14:paraId="51E201DA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6"/>
                <w:u w:val="none"/>
              </w:rPr>
            </w:pPr>
          </w:p>
          <w:p w14:paraId="3E28EABE">
            <w:pPr>
              <w:snapToGrid/>
              <w:spacing w:before="0" w:after="0" w:line="288" w:lineRule="auto"/>
              <w:ind w:left="0"/>
              <w:jc w:val="both"/>
              <w:rPr>
                <w:rFonts w:hint="eastAsia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18"/>
                <w:u w:val="none"/>
              </w:rPr>
              <w:t>合作模式</w:t>
            </w:r>
          </w:p>
          <w:p w14:paraId="27120DE2">
            <w:pPr>
              <w:snapToGrid/>
              <w:spacing w:before="0" w:after="0" w:line="288" w:lineRule="auto"/>
              <w:ind w:left="0"/>
              <w:jc w:val="both"/>
              <w:rPr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18"/>
                <w:u w:val="none"/>
              </w:rPr>
              <w:t>·</w:t>
            </w:r>
            <w:r>
              <w:rPr>
                <w:i w:val="0"/>
                <w:strike w:val="0"/>
                <w:color w:val="000000"/>
                <w:sz w:val="18"/>
                <w:u w:val="none"/>
              </w:rPr>
              <w:t>提供物流供应链、交易运营、金融一体化综合服务。串联国内主机厂、海外 KD 工厂与本地经销渠道，</w:t>
            </w:r>
          </w:p>
          <w:p w14:paraId="157B0384">
            <w:pPr>
              <w:snapToGrid/>
              <w:spacing w:before="0" w:after="0" w:line="288" w:lineRule="auto"/>
              <w:ind w:left="0"/>
              <w:jc w:val="both"/>
              <w:rPr>
                <w:rFonts w:ascii="Source Han Sans SC Light" w:hAnsi="Source Han Sans SC Light" w:eastAsia="Source Han Sans SC Light" w:cs="Source Han Sans SC Light"/>
                <w:i w:val="0"/>
                <w:strike w:val="0"/>
                <w:color w:val="000000"/>
                <w:sz w:val="18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18"/>
                <w:u w:val="none"/>
              </w:rPr>
              <w:t xml:space="preserve"> </w:t>
            </w:r>
            <w:r>
              <w:rPr>
                <w:i w:val="0"/>
                <w:strike w:val="0"/>
                <w:color w:val="000000"/>
                <w:sz w:val="18"/>
                <w:u w:val="none"/>
              </w:rPr>
              <w:t>承接 KD 散件出口、海外组装、本地整车分销全链路业务，打通国内外两端贸易闭环，支撑海外本地化造车落地。</w:t>
            </w:r>
          </w:p>
          <w:p w14:paraId="6FA2A1ED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</w:p>
          <w:p w14:paraId="4379E0D4">
            <w:pPr>
              <w:pBdr>
                <w:bottom w:val="none" w:color="auto" w:sz="0" w:space="0"/>
              </w:pBdr>
              <w:ind w:left="0"/>
              <w:jc w:val="left"/>
              <w:rPr>
                <w:rFonts w:hint="eastAsia"/>
                <w:b w:val="0"/>
                <w:sz w:val="22"/>
              </w:rPr>
            </w:pPr>
            <w:r>
              <w:rPr>
                <w:rFonts w:hint="eastAsia"/>
                <w:b w:val="0"/>
                <w:color w:val="FFFFFF"/>
                <w:sz w:val="22"/>
                <w:shd w:val="clear" w:color="auto" w:fill="3F3F3F"/>
              </w:rPr>
              <w:t xml:space="preserve">模块3 </w:t>
            </w:r>
            <w:r>
              <w:rPr>
                <w:rFonts w:hint="eastAsia"/>
                <w:b w:val="0"/>
                <w:sz w:val="22"/>
              </w:rPr>
              <w:t xml:space="preserve"> 出口业务成果</w:t>
            </w:r>
          </w:p>
          <w:p w14:paraId="35D61651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sz w:val="22"/>
                <w:u w:val="none"/>
              </w:rPr>
              <w:t xml:space="preserve">       </w:t>
            </w:r>
            <w:r>
              <w:rPr>
                <w:i w:val="0"/>
                <w:strike w:val="0"/>
                <w:color w:val="000000"/>
                <w:u w:val="none"/>
              </w:rPr>
              <w:t>多年深耕整车出海，沉淀完善渠道与直客服务能力，擅长应对复杂海外市场，具备可靠的项目执行与交付实力。</w:t>
            </w:r>
          </w:p>
          <w:p w14:paraId="712A8531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【查看更多→】</w:t>
            </w:r>
          </w:p>
          <w:p w14:paraId="0E9AE45A">
            <w:pPr>
              <w:ind w:left="0"/>
              <w:jc w:val="left"/>
              <w:rPr>
                <w:rFonts w:hint="eastAsia"/>
                <w:i w:val="0"/>
                <w:strike w:val="0"/>
                <w:color w:val="000000"/>
                <w:u w:val="none"/>
              </w:rPr>
            </w:pPr>
          </w:p>
          <w:p w14:paraId="18EC171E">
            <w:pPr>
              <w:ind w:left="0"/>
              <w:jc w:val="left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（页面总述）</w:t>
            </w:r>
          </w:p>
          <w:p w14:paraId="65AB3A33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       多年</w:t>
            </w:r>
            <w:r>
              <w:rPr>
                <w:i w:val="0"/>
                <w:strike w:val="0"/>
                <w:color w:val="000000"/>
                <w:u w:val="none"/>
              </w:rPr>
              <w:t>深耕整车外贸出口，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搭建</w:t>
            </w:r>
            <w:r>
              <w:rPr>
                <w:i w:val="0"/>
                <w:strike w:val="0"/>
                <w:color w:val="000000"/>
                <w:u w:val="none"/>
              </w:rPr>
              <w:t>成熟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的</w:t>
            </w:r>
            <w:r>
              <w:rPr>
                <w:i w:val="0"/>
                <w:strike w:val="0"/>
                <w:color w:val="000000"/>
                <w:u w:val="none"/>
              </w:rPr>
              <w:t>渠道网络与直客服务体系。2026 年取得现代汽车出口授权，稳定合作客户超 100 家，直接对接主机厂逾 10 家，业务辐射中亚、俄罗斯、中东、非洲，充分彰显公司在复杂海外市场的项目执行与交付实力。</w:t>
            </w:r>
          </w:p>
          <w:p w14:paraId="41146DAB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</w:p>
          <w:p w14:paraId="2F2D38A9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（卡片文案）</w:t>
            </w:r>
          </w:p>
          <w:p w14:paraId="0943D7D2">
            <w:pPr>
              <w:numPr>
                <w:ilvl w:val="0"/>
                <w:numId w:val="1"/>
              </w:num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精准的市场洞察力</w:t>
            </w:r>
          </w:p>
          <w:p w14:paraId="4C752FBA">
            <w:pPr>
              <w:snapToGrid/>
              <w:spacing w:line="240" w:lineRule="auto"/>
              <w:ind w:left="336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深度研判目标市场法规、路况与消费偏好，保障产品适配当地市场，实现高效适销对路。</w:t>
            </w:r>
          </w:p>
          <w:p w14:paraId="6B85FE1B">
            <w:pPr>
              <w:numPr>
                <w:ilvl w:val="0"/>
                <w:numId w:val="1"/>
              </w:num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灵活的模式运用</w:t>
            </w:r>
          </w:p>
          <w:p w14:paraId="029FA04C">
            <w:pPr>
              <w:snapToGrid/>
              <w:spacing w:line="240" w:lineRule="auto"/>
              <w:ind w:left="336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采用新车直出、适应性改装等多元业务策略，灵活响应海外客户差异化采购需求。</w:t>
            </w:r>
          </w:p>
          <w:p w14:paraId="1C05991C">
            <w:pPr>
              <w:numPr>
                <w:ilvl w:val="0"/>
                <w:numId w:val="1"/>
              </w:num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强大的物流保障</w:t>
            </w:r>
          </w:p>
          <w:p w14:paraId="5A7228CE">
            <w:pPr>
              <w:snapToGrid/>
              <w:spacing w:line="240" w:lineRule="auto"/>
              <w:ind w:left="336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依托成熟的国际物流资源，兼顾跨境运输安全与交付时效，保障整车稳定履约交付。</w:t>
            </w:r>
          </w:p>
          <w:p w14:paraId="3B5DC92D">
            <w:pPr>
              <w:numPr>
                <w:ilvl w:val="0"/>
                <w:numId w:val="1"/>
              </w:num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可靠的海外伙伴</w:t>
            </w:r>
          </w:p>
          <w:p w14:paraId="146E5C84">
            <w:pPr>
              <w:snapToGrid/>
              <w:spacing w:line="240" w:lineRule="auto"/>
              <w:ind w:left="336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携手当地优质经销商建立稳固合作，实现海外本地化高效运营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。</w:t>
            </w:r>
          </w:p>
          <w:p w14:paraId="106C6F1F">
            <w:pPr>
              <w:snapToGrid/>
              <w:spacing w:line="240" w:lineRule="auto"/>
              <w:ind w:left="336"/>
              <w:rPr>
                <w:rFonts w:hint="eastAsia"/>
                <w:i w:val="0"/>
                <w:strike w:val="0"/>
                <w:color w:val="000000"/>
                <w:u w:val="none"/>
              </w:rPr>
            </w:pPr>
          </w:p>
          <w:p w14:paraId="72FF4AD3">
            <w:pPr>
              <w:pBdr>
                <w:bottom w:val="none" w:color="auto" w:sz="0" w:space="0"/>
              </w:pBdr>
              <w:snapToGrid/>
              <w:spacing w:line="240" w:lineRule="auto"/>
              <w:ind w:lef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（核心数据  九宫格）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</w:r>
            <w:r>
              <w:rPr>
                <w:i w:val="0"/>
                <w:strike w:val="0"/>
                <w:color w:val="000000"/>
                <w:u w:val="none"/>
              </w:rPr>
              <w:drawing>
                <wp:inline distT="0" distB="0" distL="0" distR="0">
                  <wp:extent cx="2000250" cy="1571625"/>
                  <wp:effectExtent l="0" t="0" r="6350" b="3175"/>
                  <wp:docPr id="44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escript" descr="descript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3EAB0">
            <w:pPr>
              <w:ind w:left="0"/>
              <w:jc w:val="left"/>
              <w:rPr>
                <w:i w:val="0"/>
                <w:strike w:val="0"/>
                <w:color w:val="000000"/>
                <w:u w:val="none"/>
              </w:rPr>
            </w:pPr>
          </w:p>
          <w:p w14:paraId="2C48EEBC">
            <w:pPr>
              <w:pBdr>
                <w:bottom w:val="none" w:color="auto" w:sz="0" w:space="0"/>
              </w:pBdr>
              <w:ind w:left="0"/>
              <w:jc w:val="left"/>
              <w:rPr>
                <w:i w:val="0"/>
                <w:strike w:val="0"/>
                <w:spacing w:val="0"/>
                <w:sz w:val="22"/>
                <w:u w:val="none"/>
              </w:rPr>
            </w:pPr>
          </w:p>
          <w:p w14:paraId="43EF808A">
            <w:pPr>
              <w:ind w:left="0"/>
              <w:jc w:val="left"/>
              <w:rPr>
                <w:rFonts w:hint="eastAsia"/>
                <w:sz w:val="22"/>
                <w:u w:val="single"/>
              </w:rPr>
            </w:pPr>
          </w:p>
        </w:tc>
      </w:tr>
      <w:tr w14:paraId="57B5CE78">
        <w:trPr>
          <w:trHeight w:val="0" w:hRule="atLeast"/>
        </w:trPr>
        <w:tc>
          <w:tcPr>
            <w:tcW w:w="1533" w:type="dxa"/>
            <w:vMerge w:val="continue"/>
            <w:vAlign w:val="center"/>
          </w:tcPr>
          <w:p w14:paraId="022BACDC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61367CB3">
            <w:pPr>
              <w:pBdr>
                <w:bottom w:val="none" w:color="auto" w:sz="0" w:space="0"/>
              </w:pBdr>
              <w:jc w:val="center"/>
              <w:rPr>
                <w:rFonts w:hint="eastAsia"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车型目录</w:t>
            </w:r>
          </w:p>
        </w:tc>
        <w:tc>
          <w:tcPr>
            <w:tcW w:w="9762" w:type="dxa"/>
            <w:shd w:val="clear" w:color="auto" w:fill="auto"/>
            <w:vAlign w:val="center"/>
          </w:tcPr>
          <w:p w14:paraId="754EA574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22"/>
                <w:shd w:val="clear" w:color="auto" w:fill="3F3F3F"/>
              </w:rPr>
              <w:t xml:space="preserve"> 模块1 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新车直出</w:t>
            </w:r>
          </w:p>
          <w:p w14:paraId="5C7C07A3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北京现代</w:t>
            </w:r>
          </w:p>
          <w:p w14:paraId="041151C2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ElANTRA、   SANTA、     TUCSON、      SONATA</w:t>
            </w:r>
          </w:p>
          <w:p w14:paraId="053726FE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</w:t>
            </w:r>
            <w:r>
              <w:drawing>
                <wp:inline distT="0" distB="0" distL="0" distR="0">
                  <wp:extent cx="800100" cy="450215"/>
                  <wp:effectExtent l="0" t="0" r="12700" b="5715"/>
                  <wp:docPr id="47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descript" descr="descript"/>
                          <pic:cNvPicPr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45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57250" cy="520700"/>
                  <wp:effectExtent l="0" t="0" r="6350" b="10795"/>
                  <wp:docPr id="50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descript" descr="descript"/>
                          <pic:cNvPicPr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2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1047750" cy="589280"/>
                  <wp:effectExtent l="0" t="0" r="0" b="20955"/>
                  <wp:docPr id="53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descript" descr="descript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928370" cy="532130"/>
                  <wp:effectExtent l="0" t="0" r="11430" b="1270"/>
                  <wp:docPr id="56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descript" descr="descript"/>
                          <pic:cNvPicPr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805" cy="53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7481A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22"/>
                <w:shd w:val="clear" w:color="auto" w:fill="3F3F3F"/>
              </w:rPr>
              <w:t xml:space="preserve">模块2 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外贸</w:t>
            </w:r>
          </w:p>
          <w:p w14:paraId="6260A1E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 一汽奔腾</w:t>
            </w:r>
          </w:p>
          <w:p w14:paraId="06B6D2F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JOYEE S04、 JOYEE S08、    T90、          T77、       Xiaoma </w:t>
            </w:r>
          </w:p>
          <w:p w14:paraId="246771C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695325" cy="374650"/>
                  <wp:effectExtent l="0" t="0" r="15875" b="5715"/>
                  <wp:docPr id="59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descript" descr="descript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37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838200" cy="454025"/>
                  <wp:effectExtent l="0" t="0" r="0" b="3175"/>
                  <wp:docPr id="62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descript" descr="descript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54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914400" cy="421640"/>
                  <wp:effectExtent l="0" t="0" r="0" b="9525"/>
                  <wp:docPr id="65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descript" descr="descript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2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819785" cy="615315"/>
                  <wp:effectExtent l="0" t="0" r="18415" b="0"/>
                  <wp:docPr id="68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descript" descr="descript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99" cy="61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654050" cy="466090"/>
                  <wp:effectExtent l="0" t="0" r="0" b="17780"/>
                  <wp:docPr id="71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descript" descr="descript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03" cy="46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721CF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color w:val="FFFFFF"/>
                <w:sz w:val="22"/>
                <w:shd w:val="clear" w:color="auto" w:fill="3F3F3F"/>
              </w:rPr>
              <w:t xml:space="preserve">模块3 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其他</w:t>
            </w:r>
          </w:p>
          <w:p w14:paraId="1020EA2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 一汽丰田</w:t>
            </w:r>
          </w:p>
          <w:p w14:paraId="45311369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 卡罗拉1.2T</w:t>
            </w:r>
          </w:p>
          <w:p w14:paraId="581BCD7B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764540" cy="361950"/>
                  <wp:effectExtent l="0" t="0" r="22860" b="19685"/>
                  <wp:docPr id="74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descript" descr="descript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816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0E14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吉利</w:t>
            </w:r>
          </w:p>
          <w:p w14:paraId="7F4C6E07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银河E8</w:t>
            </w:r>
          </w:p>
          <w:p w14:paraId="253B0491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 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978535" cy="457200"/>
                  <wp:effectExtent l="0" t="0" r="12065" b="0"/>
                  <wp:docPr id="77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descript" descr="descript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90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C4A46">
            <w:pP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东风岚图</w:t>
            </w:r>
          </w:p>
          <w:p w14:paraId="64199A2E">
            <w:pPr>
              <w:pBdr>
                <w:bottom w:val="none" w:color="auto" w:sz="0" w:space="0"/>
              </w:pBdr>
              <w:ind w:left="0"/>
              <w:jc w:val="left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梦想家、      FREE、              泰山</w:t>
            </w:r>
          </w:p>
          <w:p w14:paraId="5E3C4656">
            <w:pPr>
              <w:pBdr>
                <w:bottom w:val="none" w:color="auto" w:sz="0" w:space="0"/>
              </w:pBdr>
              <w:ind w:left="0"/>
              <w:jc w:val="left"/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899795" cy="495300"/>
                  <wp:effectExtent l="0" t="0" r="14605" b="11430"/>
                  <wp:docPr id="80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descript" descr="descript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72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1009650" cy="490855"/>
                  <wp:effectExtent l="0" t="0" r="6350" b="17780"/>
                  <wp:docPr id="83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descript" descr="descript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9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876300" cy="450215"/>
                  <wp:effectExtent l="0" t="0" r="12700" b="5715"/>
                  <wp:docPr id="86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descript" descr="descript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5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5A91AF">
        <w:trPr>
          <w:trHeight w:val="2276" w:hRule="atLeast"/>
        </w:trPr>
        <w:tc>
          <w:tcPr>
            <w:tcW w:w="1533" w:type="dxa"/>
            <w:vMerge w:val="continue"/>
            <w:vAlign w:val="center"/>
          </w:tcPr>
          <w:p w14:paraId="46B613A8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3AA6FA97">
            <w:pPr>
              <w:pBdr>
                <w:bottom w:val="none" w:color="auto" w:sz="0" w:space="0"/>
              </w:pBd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口岸店</w:t>
            </w:r>
          </w:p>
        </w:tc>
        <w:tc>
          <w:tcPr>
            <w:tcW w:w="9762" w:type="dxa"/>
            <w:vAlign w:val="center"/>
          </w:tcPr>
          <w:p w14:paraId="0A3FEAAD">
            <w:pPr>
              <w:snapToGrid/>
              <w:spacing w:line="240" w:lineRule="auto"/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>现有口岸店：霍尔果斯优卡国际汽车市场（霍尔果斯口岸）</w:t>
            </w:r>
          </w:p>
          <w:p w14:paraId="2948372B">
            <w:pPr>
              <w:snapToGrid/>
              <w:spacing w:line="240" w:lineRule="auto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>战略规划：聚焦中亚五国、俄罗斯市场，布局南沙、绥芬河口岸店；规划中东、俄罗斯前置仓，</w:t>
            </w:r>
            <w:r>
              <w:rPr>
                <w:i w:val="0"/>
                <w:strike w:val="0"/>
                <w:color w:val="000000"/>
                <w:u w:val="none"/>
              </w:rPr>
              <w:t>搭建口岸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店</w:t>
            </w:r>
            <w:r>
              <w:rPr>
                <w:i w:val="0"/>
                <w:strike w:val="0"/>
                <w:color w:val="000000"/>
                <w:u w:val="none"/>
              </w:rPr>
              <w:t>与海外仓协同的跨境服务网络，提升交付效率与本地化服务能力。</w:t>
            </w:r>
          </w:p>
          <w:p w14:paraId="583F4F2C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4918710" cy="3379470"/>
                  <wp:effectExtent l="0" t="0" r="8890" b="24130"/>
                  <wp:docPr id="89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descript" descr="descript"/>
                          <pic:cNvPicPr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338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1733550" cy="1301115"/>
                  <wp:effectExtent l="0" t="0" r="19050" b="19685"/>
                  <wp:docPr id="92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descript" descr="descript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0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     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drawing>
                <wp:inline distT="0" distB="0" distL="0" distR="0">
                  <wp:extent cx="1718310" cy="1290320"/>
                  <wp:effectExtent l="0" t="0" r="8890" b="5080"/>
                  <wp:docPr id="95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descript" descr="descript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799" cy="12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EAD27C">
        <w:trPr>
          <w:trHeight w:val="0" w:hRule="atLeast"/>
        </w:trPr>
        <w:tc>
          <w:tcPr>
            <w:tcW w:w="1533" w:type="dxa"/>
            <w:vMerge w:val="continue"/>
            <w:vAlign w:val="center"/>
          </w:tcPr>
          <w:p w14:paraId="2C56E6DD">
            <w:pP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752B7079">
            <w:pPr>
              <w:pBdr>
                <w:bottom w:val="none" w:color="auto" w:sz="0" w:space="0"/>
              </w:pBdr>
              <w:jc w:val="center"/>
              <w:rPr>
                <w:rFonts w:ascii="兰亭黑-简" w:hAnsi="兰亭黑-简" w:eastAsia="兰亭黑-简" w:cs="兰亭黑-简"/>
                <w:b w:val="0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b w:val="0"/>
                <w:sz w:val="24"/>
              </w:rPr>
              <w:t>联系我们</w:t>
            </w:r>
          </w:p>
        </w:tc>
        <w:tc>
          <w:tcPr>
            <w:tcW w:w="9762" w:type="dxa"/>
            <w:vAlign w:val="center"/>
          </w:tcPr>
          <w:p w14:paraId="652C9246">
            <w:pPr>
              <w:snapToGrid/>
              <w:spacing w:line="240" w:lineRule="auto"/>
              <w:rPr>
                <w:rFonts w:ascii="兰亭黑-简" w:hAnsi="兰亭黑-简" w:eastAsia="兰亭黑-简" w:cs="兰亭黑-简"/>
                <w:sz w:val="22"/>
              </w:rPr>
            </w:pP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>联系我们</w:t>
            </w:r>
          </w:p>
          <w:p w14:paraId="3A4B86A7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ascii="兰亭黑-简" w:hAnsi="兰亭黑-简" w:eastAsia="兰亭黑-简" w:cs="兰亭黑-简"/>
                <w:sz w:val="22"/>
                <w:highlight w:val="yellow"/>
              </w:rPr>
            </w:pP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>电话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 xml:space="preserve">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  <w:shd w:val="clear" w:color="auto" w:fill="auto"/>
              </w:rPr>
              <w:t>+86 010-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  <w:shd w:val="clear" w:color="auto" w:fill="auto"/>
              </w:rPr>
              <w:t>65732999-3736（确认后修改）</w:t>
            </w:r>
          </w:p>
          <w:p w14:paraId="2D8934FF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ascii="兰亭黑-简" w:hAnsi="兰亭黑-简" w:eastAsia="兰亭黑-简" w:cs="兰亭黑-简"/>
                <w:sz w:val="22"/>
                <w:highlight w:val="yellow"/>
              </w:rPr>
            </w:pP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>邮箱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 xml:space="preserve">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>ir@99digtech.com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highlight w:val="yellow"/>
                <w:u w:val="none"/>
              </w:rPr>
              <w:t>（确认后修改）</w:t>
            </w:r>
          </w:p>
          <w:p w14:paraId="15CD3A5F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>地址</w:t>
            </w:r>
            <w:r>
              <w:rPr>
                <w:rFonts w:hint="eastAsia"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 xml:space="preserve">  </w:t>
            </w:r>
            <w:r>
              <w:rPr>
                <w:rFonts w:ascii="兰亭黑-简" w:hAnsi="兰亭黑-简" w:eastAsia="兰亭黑-简" w:cs="兰亭黑-简"/>
                <w:i w:val="0"/>
                <w:strike w:val="0"/>
                <w:spacing w:val="0"/>
                <w:sz w:val="22"/>
                <w:u w:val="none"/>
              </w:rPr>
              <w:t>北京市朝阳区石各庄路99号长久大厦</w:t>
            </w:r>
          </w:p>
        </w:tc>
      </w:tr>
      <w:tr w14:paraId="34EBEFCE">
        <w:trPr>
          <w:trHeight w:val="0" w:hRule="atLeast"/>
        </w:trPr>
        <w:tc>
          <w:tcPr>
            <w:tcW w:w="1533" w:type="dxa"/>
            <w:vMerge w:val="restart"/>
            <w:vAlign w:val="center"/>
          </w:tcPr>
          <w:p w14:paraId="46E3E3C9">
            <w:pPr>
              <w:jc w:val="center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关于我们</w:t>
            </w:r>
          </w:p>
        </w:tc>
        <w:tc>
          <w:tcPr>
            <w:tcW w:w="1557" w:type="dxa"/>
            <w:vAlign w:val="center"/>
          </w:tcPr>
          <w:p w14:paraId="3A3C51DE">
            <w:pPr>
              <w:jc w:val="both"/>
              <w:rPr>
                <w:rFonts w:hint="eastAsia"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集团介绍</w:t>
            </w:r>
          </w:p>
          <w:p w14:paraId="0232A2AD">
            <w:pPr>
              <w:jc w:val="both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ascii="兰亭黑-简" w:hAnsi="兰亭黑-简" w:eastAsia="兰亭黑-简" w:cs="兰亭黑-简"/>
                <w:sz w:val="24"/>
              </w:rPr>
              <w:br w:type="textWrapping"/>
            </w:r>
          </w:p>
        </w:tc>
        <w:tc>
          <w:tcPr>
            <w:tcW w:w="9762" w:type="dxa"/>
            <w:shd w:val="clear" w:color="auto" w:fill="auto"/>
            <w:vAlign w:val="center"/>
          </w:tcPr>
          <w:p w14:paraId="2FF27665">
            <w:pPr>
              <w:snapToGrid/>
              <w:spacing w:before="0" w:after="0" w:line="360" w:lineRule="auto"/>
              <w:ind w:left="0"/>
              <w:jc w:val="both"/>
              <w:rPr>
                <w:color w:val="000000"/>
                <w:sz w:val="22"/>
              </w:rPr>
            </w:pPr>
            <w:r>
              <w:rPr>
                <w:i w:val="0"/>
                <w:strike w:val="0"/>
                <w:color w:val="000000"/>
                <w:sz w:val="22"/>
                <w:u w:val="none"/>
              </w:rPr>
              <w:t>长久集团</w:t>
            </w:r>
            <w:r>
              <w:rPr>
                <w:rFonts w:hint="eastAsia"/>
                <w:i w:val="0"/>
                <w:strike w:val="0"/>
                <w:color w:val="000000"/>
                <w:sz w:val="22"/>
                <w:u w:val="none"/>
              </w:rPr>
              <w:t>是成立于1992年的中国首家A股上市的第三方汽车公司，</w:t>
            </w:r>
            <w:r>
              <w:rPr>
                <w:i w:val="0"/>
                <w:strike w:val="0"/>
                <w:color w:val="000000"/>
                <w:sz w:val="22"/>
                <w:u w:val="none"/>
              </w:rPr>
              <w:t>以“超越客户期望、引领行业发展、成就奋斗员工”为使命，</w:t>
            </w:r>
          </w:p>
          <w:p w14:paraId="7783DDB4">
            <w:pPr>
              <w:snapToGrid/>
              <w:spacing w:before="0" w:after="0" w:line="360" w:lineRule="auto"/>
              <w:ind w:left="0"/>
              <w:jc w:val="both"/>
              <w:rPr>
                <w:color w:val="000000"/>
                <w:sz w:val="22"/>
              </w:rPr>
            </w:pPr>
            <w:r>
              <w:rPr>
                <w:i w:val="0"/>
                <w:strike w:val="0"/>
                <w:color w:val="000000"/>
                <w:sz w:val="22"/>
                <w:u w:val="none"/>
              </w:rPr>
              <w:t>业务遍及全球，涵盖汽车物流、汽车销售、数字科技、汽车改装等多个板块。</w:t>
            </w:r>
          </w:p>
          <w:p w14:paraId="3354909C">
            <w:pPr>
              <w:snapToGrid/>
              <w:spacing w:before="0" w:after="0" w:line="360" w:lineRule="auto"/>
              <w:ind w:left="0"/>
              <w:jc w:val="both"/>
              <w:rPr>
                <w:color w:val="000000"/>
                <w:sz w:val="22"/>
              </w:rPr>
            </w:pPr>
            <w:r>
              <w:rPr>
                <w:i w:val="0"/>
                <w:strike w:val="0"/>
                <w:color w:val="000000"/>
                <w:sz w:val="22"/>
                <w:u w:val="none"/>
              </w:rPr>
              <w:t>集团以数字化技术推动全业务链协同创新，打造行业领先的新优势，</w:t>
            </w:r>
          </w:p>
          <w:p w14:paraId="6A2FE7C6">
            <w:pPr>
              <w:snapToGrid/>
              <w:spacing w:before="0" w:after="0" w:line="360" w:lineRule="auto"/>
              <w:ind w:left="0"/>
              <w:jc w:val="both"/>
              <w:rPr>
                <w:color w:val="000000"/>
                <w:sz w:val="22"/>
              </w:rPr>
            </w:pPr>
            <w:r>
              <w:rPr>
                <w:i w:val="0"/>
                <w:strike w:val="0"/>
                <w:color w:val="000000"/>
                <w:sz w:val="22"/>
                <w:u w:val="none"/>
              </w:rPr>
              <w:t>赋能汽车产业链共享共建。</w:t>
            </w:r>
          </w:p>
          <w:p w14:paraId="6FB19D17">
            <w:pPr>
              <w:snapToGrid/>
              <w:spacing w:before="0" w:after="0" w:line="360" w:lineRule="auto"/>
              <w:ind w:left="0"/>
              <w:jc w:val="both"/>
              <w:rPr>
                <w:i w:val="0"/>
                <w:strike w:val="0"/>
                <w:color w:val="000000"/>
                <w:sz w:val="22"/>
                <w:u w:val="none"/>
              </w:rPr>
            </w:pPr>
            <w:r>
              <w:rPr>
                <w:i w:val="0"/>
                <w:strike w:val="0"/>
                <w:color w:val="000000"/>
                <w:sz w:val="22"/>
                <w:u w:val="none"/>
              </w:rPr>
              <w:t>同时积极布局新能源业务发展战略，助力汽车绿色发展。</w:t>
            </w:r>
          </w:p>
          <w:p w14:paraId="48DA8833">
            <w:pPr>
              <w:snapToGrid/>
              <w:spacing w:before="0" w:after="0" w:line="360" w:lineRule="auto"/>
              <w:ind w:left="0"/>
              <w:jc w:val="both"/>
              <w:rPr>
                <w:i w:val="0"/>
                <w:strike w:val="0"/>
                <w:color w:val="000000"/>
                <w:sz w:val="22"/>
                <w:u w:val="none"/>
              </w:rPr>
            </w:pPr>
          </w:p>
          <w:p w14:paraId="7323D39A">
            <w:pPr>
              <w:pBdr>
                <w:bottom w:val="none" w:color="auto" w:sz="0" w:space="0"/>
              </w:pBdr>
              <w:snapToGrid/>
              <w:spacing w:before="0" w:after="0" w:line="360" w:lineRule="auto"/>
              <w:ind w:left="0"/>
              <w:jc w:val="both"/>
              <w:rPr>
                <w:i w:val="0"/>
                <w:strike w:val="0"/>
                <w:color w:val="000000"/>
                <w:sz w:val="22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22"/>
                <w:u w:val="none"/>
              </w:rPr>
              <w:drawing>
                <wp:inline distT="0" distB="0" distL="0" distR="0">
                  <wp:extent cx="6061710" cy="2722245"/>
                  <wp:effectExtent l="0" t="0" r="8890" b="20955"/>
                  <wp:docPr id="98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descript" descr="descript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10" cy="272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7AEFF2">
        <w:trPr>
          <w:trHeight w:val="0" w:hRule="atLeast"/>
        </w:trPr>
        <w:tc>
          <w:tcPr>
            <w:tcW w:w="1533" w:type="dxa"/>
            <w:vMerge w:val="continue"/>
            <w:vAlign w:val="center"/>
          </w:tcPr>
          <w:p w14:paraId="1989C8DE">
            <w:pPr>
              <w:jc w:val="center"/>
              <w:rPr>
                <w:rFonts w:ascii="兰亭黑-简" w:hAnsi="兰亭黑-简" w:eastAsia="兰亭黑-简" w:cs="兰亭黑-简"/>
                <w:sz w:val="24"/>
              </w:rPr>
            </w:pPr>
          </w:p>
        </w:tc>
        <w:tc>
          <w:tcPr>
            <w:tcW w:w="1557" w:type="dxa"/>
            <w:vAlign w:val="center"/>
          </w:tcPr>
          <w:p w14:paraId="3072A609">
            <w:pPr>
              <w:jc w:val="both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国际物流布局</w:t>
            </w:r>
          </w:p>
        </w:tc>
        <w:tc>
          <w:tcPr>
            <w:tcW w:w="9762" w:type="dxa"/>
            <w:shd w:val="clear" w:color="auto" w:fill="auto"/>
            <w:vAlign w:val="center"/>
          </w:tcPr>
          <w:p w14:paraId="17A531BC">
            <w:pPr>
              <w:pBdr>
                <w:bottom w:val="none" w:color="auto" w:sz="0" w:space="0"/>
              </w:pBdr>
              <w:spacing w:line="276" w:lineRule="auto"/>
              <w:jc w:val="left"/>
              <w:rPr>
                <w:rFonts w:hint="eastAsia" w:ascii="兰亭黑-简" w:hAnsi="兰亭黑-简" w:eastAsia="兰亭黑-简" w:cs="兰亭黑-简"/>
                <w:color w:val="000000"/>
                <w:sz w:val="22"/>
              </w:rPr>
            </w:pPr>
            <w:r>
              <w:rPr>
                <w:rFonts w:hint="eastAsia" w:ascii="兰亭黑-简" w:hAnsi="兰亭黑-简" w:eastAsia="兰亭黑-简" w:cs="兰亭黑-简"/>
                <w:color w:val="000000"/>
                <w:sz w:val="22"/>
              </w:rPr>
              <w:drawing>
                <wp:inline distT="0" distB="0" distL="0" distR="0">
                  <wp:extent cx="6061710" cy="3409315"/>
                  <wp:effectExtent l="0" t="0" r="8890" b="19685"/>
                  <wp:docPr id="101" name="descript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descript" descr="descript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10" cy="340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2EF2B3">
        <w:trPr>
          <w:trHeight w:val="0" w:hRule="atLeast"/>
        </w:trPr>
        <w:tc>
          <w:tcPr>
            <w:tcW w:w="1533" w:type="dxa"/>
            <w:vAlign w:val="center"/>
          </w:tcPr>
          <w:p w14:paraId="62072BD9">
            <w:pPr>
              <w:jc w:val="both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海外业务</w:t>
            </w:r>
          </w:p>
        </w:tc>
        <w:tc>
          <w:tcPr>
            <w:tcW w:w="1557" w:type="dxa"/>
            <w:vAlign w:val="center"/>
          </w:tcPr>
          <w:p w14:paraId="1EBC3114">
            <w:pPr>
              <w:jc w:val="both"/>
              <w:rPr>
                <w:rFonts w:ascii="兰亭黑-简" w:hAnsi="兰亭黑-简" w:eastAsia="兰亭黑-简" w:cs="兰亭黑-简"/>
                <w:sz w:val="24"/>
              </w:rPr>
            </w:pPr>
          </w:p>
        </w:tc>
        <w:tc>
          <w:tcPr>
            <w:tcW w:w="9762" w:type="dxa"/>
            <w:shd w:val="clear" w:color="auto" w:fill="auto"/>
            <w:vAlign w:val="center"/>
          </w:tcPr>
          <w:p w14:paraId="49CAEDB3">
            <w:pPr>
              <w:pBdr>
                <w:bottom w:val="none" w:color="auto" w:sz="0" w:space="0"/>
              </w:pBdr>
              <w:spacing w:line="276" w:lineRule="auto"/>
              <w:jc w:val="left"/>
              <w:rPr>
                <w:rFonts w:hint="eastAsia" w:ascii="兰亭黑-简" w:hAnsi="兰亭黑-简" w:eastAsia="兰亭黑-简" w:cs="兰亭黑-简"/>
                <w:color w:val="000000"/>
                <w:sz w:val="22"/>
              </w:rPr>
            </w:pPr>
            <w:r>
              <w:rPr>
                <w:rFonts w:hint="eastAsia" w:ascii="兰亭黑-简" w:hAnsi="兰亭黑-简" w:eastAsia="兰亭黑-简" w:cs="兰亭黑-简"/>
                <w:color w:val="000000"/>
                <w:sz w:val="22"/>
              </w:rPr>
              <w:t>链接首页【海外业务】</w:t>
            </w:r>
          </w:p>
        </w:tc>
      </w:tr>
      <w:tr w14:paraId="421C8C2A">
        <w:trPr>
          <w:trHeight w:val="836" w:hRule="atLeast"/>
        </w:trPr>
        <w:tc>
          <w:tcPr>
            <w:tcW w:w="1533" w:type="dxa"/>
            <w:vAlign w:val="center"/>
          </w:tcPr>
          <w:p w14:paraId="0EDDAF84">
            <w:pPr>
              <w:jc w:val="both"/>
              <w:rPr>
                <w:rFonts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销售车型</w:t>
            </w:r>
          </w:p>
        </w:tc>
        <w:tc>
          <w:tcPr>
            <w:tcW w:w="1557" w:type="dxa"/>
            <w:vAlign w:val="center"/>
          </w:tcPr>
          <w:p w14:paraId="1115AA6C"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ascii="兰亭黑-简" w:hAnsi="兰亭黑-简" w:eastAsia="兰亭黑-简" w:cs="兰亭黑-简"/>
              </w:rPr>
            </w:pPr>
          </w:p>
        </w:tc>
        <w:tc>
          <w:tcPr>
            <w:tcW w:w="9762" w:type="dxa"/>
            <w:shd w:val="clear" w:color="auto" w:fill="auto"/>
            <w:vAlign w:val="center"/>
          </w:tcPr>
          <w:p w14:paraId="56550864">
            <w:pPr>
              <w:pBdr>
                <w:bottom w:val="none" w:color="auto" w:sz="0" w:space="0"/>
              </w:pBdr>
              <w:spacing w:line="276" w:lineRule="auto"/>
              <w:ind w:left="0"/>
              <w:jc w:val="left"/>
              <w:rPr>
                <w:rFonts w:hint="eastAsia" w:ascii="思源黑体" w:hAnsi="思源黑体" w:eastAsia="思源黑体" w:cs="思源黑体"/>
                <w:sz w:val="22"/>
              </w:rPr>
            </w:pPr>
            <w:r>
              <w:rPr>
                <w:rFonts w:hint="eastAsia" w:ascii="思源黑体" w:hAnsi="思源黑体" w:eastAsia="思源黑体" w:cs="思源黑体"/>
                <w:sz w:val="22"/>
              </w:rPr>
              <w:t>链接首页【销售车型】</w:t>
            </w:r>
          </w:p>
        </w:tc>
      </w:tr>
      <w:tr w14:paraId="3DE3CC61">
        <w:trPr>
          <w:trHeight w:val="709" w:hRule="atLeast"/>
        </w:trPr>
        <w:tc>
          <w:tcPr>
            <w:tcW w:w="1533" w:type="dxa"/>
            <w:vAlign w:val="center"/>
          </w:tcPr>
          <w:p w14:paraId="01A68B56">
            <w:pPr>
              <w:jc w:val="both"/>
              <w:rPr>
                <w:rFonts w:hint="eastAsia" w:ascii="兰亭黑-简" w:hAnsi="兰亭黑-简" w:eastAsia="兰亭黑-简" w:cs="兰亭黑-简"/>
                <w:sz w:val="24"/>
              </w:rPr>
            </w:pPr>
            <w:r>
              <w:rPr>
                <w:rFonts w:hint="eastAsia" w:ascii="兰亭黑-简" w:hAnsi="兰亭黑-简" w:eastAsia="兰亭黑-简" w:cs="兰亭黑-简"/>
                <w:sz w:val="24"/>
              </w:rPr>
              <w:t>联系我们</w:t>
            </w:r>
          </w:p>
        </w:tc>
        <w:tc>
          <w:tcPr>
            <w:tcW w:w="1557" w:type="dxa"/>
            <w:vAlign w:val="center"/>
          </w:tcPr>
          <w:p w14:paraId="5051177B">
            <w:pPr>
              <w:pBdr>
                <w:bottom w:val="none" w:color="auto" w:sz="0" w:space="0"/>
              </w:pBdr>
              <w:jc w:val="center"/>
              <w:rPr>
                <w:rFonts w:hint="eastAsia" w:ascii="兰亭黑-简" w:hAnsi="兰亭黑-简" w:eastAsia="兰亭黑-简" w:cs="兰亭黑-简"/>
                <w:sz w:val="24"/>
              </w:rPr>
            </w:pPr>
          </w:p>
        </w:tc>
        <w:tc>
          <w:tcPr>
            <w:tcW w:w="9762" w:type="dxa"/>
            <w:vAlign w:val="center"/>
          </w:tcPr>
          <w:p w14:paraId="59913891">
            <w:pPr>
              <w:pBdr>
                <w:bottom w:val="none" w:color="auto" w:sz="0" w:space="0"/>
              </w:pBdr>
              <w:spacing w:line="276" w:lineRule="auto"/>
              <w:ind w:left="0"/>
              <w:jc w:val="left"/>
              <w:rPr>
                <w:rFonts w:hint="eastAsia" w:ascii="思源黑体" w:hAnsi="思源黑体" w:eastAsia="思源黑体" w:cs="思源黑体"/>
                <w:sz w:val="22"/>
              </w:rPr>
            </w:pPr>
            <w:r>
              <w:rPr>
                <w:rFonts w:hint="eastAsia" w:ascii="思源黑体" w:hAnsi="思源黑体" w:eastAsia="思源黑体" w:cs="思源黑体"/>
                <w:sz w:val="22"/>
              </w:rPr>
              <w:t>链接首页【联系我们】</w:t>
            </w:r>
          </w:p>
        </w:tc>
      </w:tr>
    </w:tbl>
    <w:p w14:paraId="1D6DE427">
      <w:pPr>
        <w:ind w:left="0"/>
      </w:pPr>
    </w:p>
    <w:p w14:paraId="526FCEFF">
      <w:pPr>
        <w:ind w:left="0"/>
        <w:jc w:val="left"/>
        <w:rPr>
          <w:rFonts w:hint="eastAsia" w:ascii="兰亭黑-简" w:hAnsi="兰亭黑-简" w:eastAsia="兰亭黑-简" w:cs="兰亭黑-简"/>
          <w:sz w:val="40"/>
        </w:rPr>
      </w:pPr>
    </w:p>
    <w:p w14:paraId="214E121E"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minorEastAs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兰亭黑-简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urce Han Sans SC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E32C2"/>
    <w:multiLevelType w:val="multilevel"/>
    <w:tmpl w:val="EE9E32C2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EFB3387D"/>
    <w:rsid w:val="F7EBB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4">
    <w:name w:val="Table Grid"/>
    <w:basedOn w:val="3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2026-08-26T01:32:00Z</dcterms:created>
  <dc:creator>Data</dc:creator>
  <cp:lastModifiedBy>young</cp:lastModifiedBy>
  <dcterms:modified xsi:type="dcterms:W3CDTF">2026-08-25T09:55:05Z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0FAFE9C1064CA198A9F58C6AD777241E_42</vt:lpwstr>
  </property>
</Properties>
</file>