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df" ContentType="application/pdf"/>
  <Override PartName="/word/media/rId35.pdf" ContentType="application/pdf"/>
  <Override PartName="/word/media/rId39.pdf" ContentType="application/pdf"/>
  <Override PartName="/word/media/rId48.pdf" ContentType="application/pdf"/>
  <Override PartName="/word/media/rId52.pdf" ContentType="application/pdf"/>
  <Override PartName="/word/media/rId55.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Empirical</w:t>
      </w:r>
      <w:r>
        <w:t xml:space="preserve"> </w:t>
      </w:r>
      <w:r>
        <w:t xml:space="preserve">Phase</w:t>
      </w:r>
      <w:r>
        <w:t xml:space="preserve"> </w:t>
      </w:r>
      <w:r>
        <w:t xml:space="preserve">Diagrams</w:t>
      </w:r>
      <w:r>
        <w:t xml:space="preserve"> </w:t>
      </w:r>
      <w:r>
        <w:t xml:space="preserve">of</w:t>
      </w:r>
      <w:r>
        <w:t xml:space="preserve"> </w:t>
      </w:r>
      <w:r>
        <w:t xml:space="preserve">Grokking</w:t>
      </w:r>
      <w:r>
        <w:t xml:space="preserve"> </w:t>
      </w:r>
      <w:r>
        <w:t xml:space="preserve">Failure</w:t>
      </w:r>
      <w:r>
        <w:t xml:space="preserve"> </w:t>
      </w:r>
      <w:r>
        <w:t xml:space="preserve">under</w:t>
      </w:r>
      <w:r>
        <w:t xml:space="preserve"> </w:t>
      </w:r>
      <w:r>
        <w:t xml:space="preserve">Data</w:t>
      </w:r>
      <w:r>
        <w:t xml:space="preserve"> </w:t>
      </w:r>
      <w:r>
        <w:t xml:space="preserve">Skew,</w:t>
      </w:r>
      <w:r>
        <w:t xml:space="preserve"> </w:t>
      </w:r>
      <w:r>
        <w:t xml:space="preserve">and</w:t>
      </w:r>
      <w:r>
        <w:t xml:space="preserve"> </w:t>
      </w:r>
      <w:r>
        <w:t xml:space="preserve">a</w:t>
      </w:r>
      <w:r>
        <w:t xml:space="preserve"> </w:t>
      </w:r>
      <w:r>
        <w:t xml:space="preserve">Low-Dose</w:t>
      </w:r>
      <w:r>
        <w:t xml:space="preserve"> </w:t>
      </w:r>
      <w:r>
        <w:t xml:space="preserve">Rescue</w:t>
      </w:r>
      <w:r>
        <w:t xml:space="preserve"> </w:t>
      </w:r>
      <w:r>
        <w:t xml:space="preserve">Intervention</w:t>
      </w:r>
    </w:p>
    <w:p>
      <w:pPr>
        <w:pStyle w:val="AbstractTitle"/>
      </w:pPr>
      <w:r>
        <w:t xml:space="preserve">Abstract</w:t>
      </w:r>
    </w:p>
    <w:p>
      <w:pPr>
        <w:pStyle w:val="Abstract"/>
      </w:pPr>
      <w:r>
        <w:t xml:space="preserve">This</w:t>
      </w:r>
      <w:r>
        <w:t xml:space="preserve"> </w:t>
      </w:r>
      <w:r>
        <w:t xml:space="preserve">paper</w:t>
      </w:r>
      <w:r>
        <w:t xml:space="preserve"> </w:t>
      </w:r>
      <w:r>
        <w:t xml:space="preserve">reports</w:t>
      </w:r>
      <w:r>
        <w:t xml:space="preserve"> </w:t>
      </w:r>
      <w:r>
        <w:t xml:space="preserve">an</w:t>
      </w:r>
      <w:r>
        <w:t xml:space="preserve"> </w:t>
      </w:r>
      <w:r>
        <w:t xml:space="preserve">empirical</w:t>
      </w:r>
      <w:r>
        <w:t xml:space="preserve"> </w:t>
      </w:r>
      <w:r>
        <w:t xml:space="preserve">study,</w:t>
      </w:r>
      <w:r>
        <w:t xml:space="preserve"> </w:t>
      </w:r>
      <w:r>
        <w:t xml:space="preserve">not</w:t>
      </w:r>
      <w:r>
        <w:t xml:space="preserve"> </w:t>
      </w:r>
      <w:r>
        <w:t xml:space="preserve">a</w:t>
      </w:r>
      <w:r>
        <w:t xml:space="preserve"> </w:t>
      </w:r>
      <w:r>
        <w:t xml:space="preserve">closed-form</w:t>
      </w:r>
      <w:r>
        <w:t xml:space="preserve"> </w:t>
      </w:r>
      <w:r>
        <w:t xml:space="preserve">theory.</w:t>
      </w:r>
      <w:r>
        <w:t xml:space="preserve"> </w:t>
      </w:r>
      <w:r>
        <w:t xml:space="preserve">We</w:t>
      </w:r>
      <w:r>
        <w:t xml:space="preserve"> </w:t>
      </w:r>
      <w:r>
        <w:t xml:space="preserve">map</w:t>
      </w:r>
      <w:r>
        <w:t xml:space="preserve"> </w:t>
      </w:r>
      <m:oMath>
        <m:d>
          <m:dPr>
            <m:begChr m:val="("/>
            <m:endChr m:val=")"/>
            <m:sepChr m:val=""/>
            <m:grow/>
          </m:dPr>
          <m:e>
            <m:r>
              <m:t>α</m:t>
            </m:r>
            <m:r>
              <m:rPr>
                <m:sty m:val="p"/>
              </m:rPr>
              <m:t>,</m:t>
            </m:r>
            <m:r>
              <m:t>λ</m:t>
            </m:r>
          </m:e>
        </m:d>
      </m:oMath>
      <w:r>
        <w:t xml:space="preserve"> </w:t>
      </w:r>
      <w:r>
        <w:t xml:space="preserve">grokkability—data</w:t>
      </w:r>
      <w:r>
        <w:t xml:space="preserve"> </w:t>
      </w:r>
      <w:r>
        <w:t xml:space="preserve">skew</w:t>
      </w:r>
      <w:r>
        <w:t xml:space="preserve"> </w:t>
      </w:r>
      <w:r>
        <w:t xml:space="preserve">against</w:t>
      </w:r>
      <w:r>
        <w:t xml:space="preserve"> </w:t>
      </w:r>
      <w:r>
        <w:t xml:space="preserve">weight</w:t>
      </w:r>
      <w:r>
        <w:t xml:space="preserve"> </w:t>
      </w:r>
      <w:r>
        <w:t xml:space="preserve">decay—on</w:t>
      </w:r>
      <w:r>
        <w:t xml:space="preserve"> </w:t>
      </w:r>
      <w:r>
        <w:t xml:space="preserve">an</w:t>
      </w:r>
      <w:r>
        <w:t xml:space="preserve"> </w:t>
      </w:r>
      <w:r>
        <w:t xml:space="preserve">autoregressive</w:t>
      </w:r>
      <w:r>
        <w:t xml:space="preserve"> </w:t>
      </w:r>
      <w:r>
        <w:t xml:space="preserve">counting</w:t>
      </w:r>
      <w:r>
        <w:t xml:space="preserve"> </w:t>
      </w:r>
      <w:r>
        <w:t xml:space="preserve">task</w:t>
      </w:r>
      <w:r>
        <w:t xml:space="preserve"> </w:t>
      </w:r>
      <w:r>
        <w:t xml:space="preserve">under</w:t>
      </w:r>
      <w:r>
        <w:t xml:space="preserve"> </w:t>
      </w:r>
      <w:r>
        <w:t xml:space="preserve">a</w:t>
      </w:r>
      <w:r>
        <w:t xml:space="preserve"> </w:t>
      </w:r>
      <w:r>
        <w:t xml:space="preserve">finite</w:t>
      </w:r>
      <w:r>
        <w:t xml:space="preserve"> </w:t>
      </w:r>
      <w:r>
        <w:t xml:space="preserve">compute</w:t>
      </w:r>
      <w:r>
        <w:t xml:space="preserve"> </w:t>
      </w:r>
      <w:r>
        <w:t xml:space="preserve">budget</w:t>
      </w:r>
      <w:r>
        <w:t xml:space="preserve"> </w:t>
      </w:r>
      <w:r>
        <w:t xml:space="preserve">of</w:t>
      </w:r>
      <w:r>
        <w:t xml:space="preserve"> </w:t>
      </w:r>
      <w:r>
        <w:t xml:space="preserve">up</w:t>
      </w:r>
      <w:r>
        <w:t xml:space="preserve"> </w:t>
      </w:r>
      <w:r>
        <w:t xml:space="preserve">to</w:t>
      </w:r>
      <w:r>
        <w:t xml:space="preserve"> </w:t>
      </w:r>
      <m:oMath>
        <m:sSup>
          <m:e>
            <m:r>
              <m:t>10</m:t>
            </m:r>
          </m:e>
          <m:sup>
            <m:r>
              <m:t>6</m:t>
            </m:r>
          </m:sup>
        </m:sSup>
      </m:oMath>
      <w:r>
        <w:t xml:space="preserve"> </w:t>
      </w:r>
      <w:r>
        <w:t xml:space="preserve">steps;</w:t>
      </w:r>
      <w:r>
        <w:t xml:space="preserve"> </w:t>
      </w:r>
      <w:r>
        <w:t xml:space="preserve">the</w:t>
      </w:r>
      <w:r>
        <w:t xml:space="preserve"> </w:t>
      </w:r>
      <w:r>
        <w:t xml:space="preserve">resulting</w:t>
      </w:r>
      <w:r>
        <w:t xml:space="preserve"> </w:t>
      </w:r>
      <w:r>
        <w:t xml:space="preserve">boundary</w:t>
      </w:r>
      <w:r>
        <w:t xml:space="preserve"> </w:t>
      </w:r>
      <w:r>
        <w:t xml:space="preserve">is</w:t>
      </w:r>
      <w:r>
        <w:t xml:space="preserve"> </w:t>
      </w:r>
      <w:r>
        <w:t xml:space="preserve">a</w:t>
      </w:r>
      <w:r>
        <w:t xml:space="preserve"> </w:t>
      </w:r>
      <w:r>
        <w:t xml:space="preserve">finite-budget</w:t>
      </w:r>
      <w:r>
        <w:t xml:space="preserve"> </w:t>
      </w:r>
      <w:r>
        <w:t xml:space="preserve">empirical</w:t>
      </w:r>
      <w:r>
        <w:t xml:space="preserve"> </w:t>
      </w:r>
      <w:r>
        <w:t xml:space="preserve">phase</w:t>
      </w:r>
      <w:r>
        <w:t xml:space="preserve"> </w:t>
      </w:r>
      <w:r>
        <w:t xml:space="preserve">diagram,</w:t>
      </w:r>
      <w:r>
        <w:t xml:space="preserve"> </w:t>
      </w:r>
      <w:r>
        <w:t xml:space="preserve">not</w:t>
      </w:r>
      <w:r>
        <w:t xml:space="preserve"> </w:t>
      </w:r>
      <w:r>
        <w:t xml:space="preserve">evidence</w:t>
      </w:r>
      <w:r>
        <w:t xml:space="preserve"> </w:t>
      </w:r>
      <w:r>
        <w:t xml:space="preserve">of</w:t>
      </w:r>
      <w:r>
        <w:t xml:space="preserve"> </w:t>
      </w:r>
      <w:r>
        <w:t xml:space="preserve">an</w:t>
      </w:r>
      <w:r>
        <w:t xml:space="preserve"> </w:t>
      </w:r>
      <w:r>
        <w:t xml:space="preserve">asymptotic</w:t>
      </w:r>
      <w:r>
        <w:t xml:space="preserve"> </w:t>
      </w:r>
      <w:r>
        <w:t xml:space="preserve">phase</w:t>
      </w:r>
      <w:r>
        <w:t xml:space="preserve"> </w:t>
      </w:r>
      <w:r>
        <w:t xml:space="preserve">transition.</w:t>
      </w:r>
      <w:r>
        <w:t xml:space="preserve"> </w:t>
      </w:r>
      <w:r>
        <w:t xml:space="preserve">The</w:t>
      </w:r>
      <w:r>
        <w:t xml:space="preserve"> </w:t>
      </w:r>
      <w:r>
        <w:t xml:space="preserve">onset</w:t>
      </w:r>
      <w:r>
        <w:t xml:space="preserve"> </w:t>
      </w:r>
      <w:r>
        <w:t xml:space="preserve">of</w:t>
      </w:r>
      <w:r>
        <w:t xml:space="preserve"> </w:t>
      </w:r>
      <w:r>
        <w:t xml:space="preserve">substantial</w:t>
      </w:r>
      <w:r>
        <w:t xml:space="preserve"> </w:t>
      </w:r>
      <w:r>
        <w:t xml:space="preserve">rescue</w:t>
      </w:r>
      <w:r>
        <w:t xml:space="preserve"> </w:t>
      </w:r>
      <w:r>
        <w:t xml:space="preserve">probability</w:t>
      </w:r>
      <w:r>
        <w:t xml:space="preserve"> </w:t>
      </w:r>
      <w:r>
        <w:t xml:space="preserve">lies</w:t>
      </w:r>
      <w:r>
        <w:t xml:space="preserve"> </w:t>
      </w:r>
      <w:r>
        <w:t xml:space="preserve">in</w:t>
      </w:r>
      <w:r>
        <w:t xml:space="preserve"> </w:t>
      </w:r>
      <w:r>
        <w:t xml:space="preserve">the</w:t>
      </w:r>
      <w:r>
        <w:t xml:space="preserve"> </w:t>
      </w:r>
      <m:oMath>
        <m:r>
          <m:t>0.4</m:t>
        </m:r>
        <m:r>
          <m:rPr>
            <m:sty m:val="p"/>
          </m:rPr>
          <m:t>%</m:t>
        </m:r>
      </m:oMath>
      <w:r>
        <w:t xml:space="preserve">–</w:t>
      </w:r>
      <m:oMath>
        <m:r>
          <m:t>0.8</m:t>
        </m:r>
        <m:r>
          <m:rPr>
            <m:sty m:val="p"/>
          </m:rPr>
          <m:t>%</m:t>
        </m:r>
      </m:oMath>
      <w:r>
        <w:t xml:space="preserve"> </w:t>
      </w:r>
      <w:r>
        <w:t xml:space="preserve">injected-dose</w:t>
      </w:r>
      <w:r>
        <w:t xml:space="preserve"> </w:t>
      </w:r>
      <w:r>
        <w:t xml:space="preserve">range;</w:t>
      </w:r>
      <w:r>
        <w:t xml:space="preserve"> </w:t>
      </w:r>
      <w:r>
        <w:t xml:space="preserve">a</w:t>
      </w:r>
      <w:r>
        <w:t xml:space="preserve"> </w:t>
      </w:r>
      <w:r>
        <w:t xml:space="preserve">batch/step-fixed,</w:t>
      </w:r>
      <w:r>
        <w:t xml:space="preserve"> </w:t>
      </w:r>
      <w:r>
        <w:t xml:space="preserve">probabilistically-implemented</w:t>
      </w:r>
      <w:r>
        <w:t xml:space="preserve"> </w:t>
      </w:r>
      <w:r>
        <w:t xml:space="preserve">sweep</w:t>
      </w:r>
      <w:r>
        <w:t xml:space="preserve"> </w:t>
      </w:r>
      <w:r>
        <w:t xml:space="preserve">deconfounds</w:t>
      </w:r>
      <w:r>
        <w:t xml:space="preserve"> </w:t>
      </w:r>
      <w:r>
        <w:t xml:space="preserve">this</w:t>
      </w:r>
      <w:r>
        <w:t xml:space="preserve"> </w:t>
      </w:r>
      <w:r>
        <w:t xml:space="preserve">from</w:t>
      </w:r>
      <w:r>
        <w:t xml:space="preserve"> </w:t>
      </w:r>
      <w:r>
        <w:t xml:space="preserve">batch</w:t>
      </w:r>
      <w:r>
        <w:t xml:space="preserve"> </w:t>
      </w:r>
      <w:r>
        <w:t xml:space="preserve">size</w:t>
      </w:r>
      <w:r>
        <w:t xml:space="preserve"> </w:t>
      </w:r>
      <w:r>
        <w:t xml:space="preserve">and</w:t>
      </w:r>
      <w:r>
        <w:t xml:space="preserve"> </w:t>
      </w:r>
      <w:r>
        <w:t xml:space="preserve">update</w:t>
      </w:r>
      <w:r>
        <w:t xml:space="preserve"> </w:t>
      </w:r>
      <w:r>
        <w:t xml:space="preserve">count</w:t>
      </w:r>
      <w:r>
        <w:t xml:space="preserve"> </w:t>
      </w:r>
      <w:r>
        <w:t xml:space="preserve">and</w:t>
      </w:r>
      <w:r>
        <w:t xml:space="preserve"> </w:t>
      </w:r>
      <w:r>
        <w:t xml:space="preserve">shows</w:t>
      </w:r>
      <w:r>
        <w:t xml:space="preserve"> </w:t>
      </w:r>
      <w:r>
        <w:t xml:space="preserve">a</w:t>
      </w:r>
      <w:r>
        <w:t xml:space="preserve"> </w:t>
      </w:r>
      <w:r>
        <w:t xml:space="preserve">gradual</w:t>
      </w:r>
      <w:r>
        <w:t xml:space="preserve"> </w:t>
      </w:r>
      <w:r>
        <w:t xml:space="preserve">rise</w:t>
      </w:r>
      <w:r>
        <w:t xml:space="preserve"> </w:t>
      </w:r>
      <w:r>
        <w:t xml:space="preserve">rather</w:t>
      </w:r>
      <w:r>
        <w:t xml:space="preserve"> </w:t>
      </w:r>
      <w:r>
        <w:t xml:space="preserve">than</w:t>
      </w:r>
      <w:r>
        <w:t xml:space="preserve"> </w:t>
      </w:r>
      <w:r>
        <w:t xml:space="preserve">the</w:t>
      </w:r>
      <w:r>
        <w:t xml:space="preserve"> </w:t>
      </w:r>
      <w:r>
        <w:t xml:space="preserve">sharper</w:t>
      </w:r>
      <w:r>
        <w:t xml:space="preserve"> </w:t>
      </w:r>
      <w:r>
        <w:t xml:space="preserve">jump</w:t>
      </w:r>
      <w:r>
        <w:t xml:space="preserve"> </w:t>
      </w:r>
      <w:r>
        <w:t xml:space="preserve">seen</w:t>
      </w:r>
      <w:r>
        <w:t xml:space="preserve"> </w:t>
      </w:r>
      <w:r>
        <w:t xml:space="preserve">when</w:t>
      </w:r>
      <w:r>
        <w:t xml:space="preserve"> </w:t>
      </w:r>
      <w:r>
        <w:t xml:space="preserve">batch</w:t>
      </w:r>
      <w:r>
        <w:t xml:space="preserve"> </w:t>
      </w:r>
      <w:r>
        <w:t xml:space="preserve">size</w:t>
      </w:r>
      <w:r>
        <w:t xml:space="preserve"> </w:t>
      </w:r>
      <w:r>
        <w:t xml:space="preserve">varies</w:t>
      </w:r>
      <w:r>
        <w:t xml:space="preserve"> </w:t>
      </w:r>
      <w:r>
        <w:t xml:space="preserve">with</w:t>
      </w:r>
      <w:r>
        <w:t xml:space="preserve"> </w:t>
      </w:r>
      <w:r>
        <w:t xml:space="preserve">dose.</w:t>
      </w:r>
      <w:r>
        <w:t xml:space="preserve"> </w:t>
      </w:r>
      <w:r>
        <w:t xml:space="preserve">A</w:t>
      </w:r>
      <w:r>
        <w:t xml:space="preserve"> </w:t>
      </w:r>
      <w:r>
        <w:t xml:space="preserve">controlled</w:t>
      </w:r>
      <w:r>
        <w:t xml:space="preserve"> </w:t>
      </w:r>
      <w:r>
        <w:t xml:space="preserve">ranking</w:t>
      </w:r>
      <w:r>
        <w:t xml:space="preserve"> </w:t>
      </w:r>
      <w:r>
        <w:t xml:space="preserve">of</w:t>
      </w:r>
      <w:r>
        <w:t xml:space="preserve"> </w:t>
      </w:r>
      <w:r>
        <w:t xml:space="preserve">interventions</w:t>
      </w:r>
      <w:r>
        <w:t xml:space="preserve"> </w:t>
      </w:r>
      <w:r>
        <w:t xml:space="preserve">shows</w:t>
      </w:r>
      <w:r>
        <w:t xml:space="preserve"> </w:t>
      </w:r>
      <w:r>
        <w:t xml:space="preserve">that,</w:t>
      </w:r>
      <w:r>
        <w:t xml:space="preserve"> </w:t>
      </w:r>
      <w:r>
        <w:t xml:space="preserve">among</w:t>
      </w:r>
      <w:r>
        <w:t xml:space="preserve"> </w:t>
      </w:r>
      <w:r>
        <w:t xml:space="preserve">those</w:t>
      </w:r>
      <w:r>
        <w:t xml:space="preserve"> </w:t>
      </w:r>
      <w:r>
        <w:t xml:space="preserve">tested,</w:t>
      </w:r>
      <w:r>
        <w:t xml:space="preserve"> </w:t>
      </w:r>
      <w:r>
        <w:t xml:space="preserve">only</w:t>
      </w:r>
      <w:r>
        <w:t xml:space="preserve"> </w:t>
      </w:r>
      <w:r>
        <w:t xml:space="preserve">injection</w:t>
      </w:r>
      <w:r>
        <w:t xml:space="preserve"> </w:t>
      </w:r>
      <w:r>
        <w:t xml:space="preserve">drawn</w:t>
      </w:r>
      <w:r>
        <w:t xml:space="preserve"> </w:t>
      </w:r>
      <w:r>
        <w:t xml:space="preserve">uniformly</w:t>
      </w:r>
      <w:r>
        <w:t xml:space="preserve"> </w:t>
      </w:r>
      <w:r>
        <w:t xml:space="preserve">across</w:t>
      </w:r>
      <w:r>
        <w:t xml:space="preserve"> </w:t>
      </w:r>
      <w:r>
        <w:t xml:space="preserve">the</w:t>
      </w:r>
      <w:r>
        <w:t xml:space="preserve"> </w:t>
      </w:r>
      <w:r>
        <w:t xml:space="preserve">full</w:t>
      </w:r>
      <w:r>
        <w:t xml:space="preserve"> </w:t>
      </w:r>
      <w:r>
        <w:t xml:space="preserve">state</w:t>
      </w:r>
      <w:r>
        <w:t xml:space="preserve"> </w:t>
      </w:r>
      <w:r>
        <w:t xml:space="preserve">space</w:t>
      </w:r>
      <w:r>
        <w:t xml:space="preserve"> </w:t>
      </w:r>
      <w:r>
        <w:t xml:space="preserve">achieves</w:t>
      </w:r>
      <w:r>
        <w:t xml:space="preserve"> </w:t>
      </w:r>
      <w:r>
        <w:t xml:space="preserve">complete</w:t>
      </w:r>
      <w:r>
        <w:t xml:space="preserve"> </w:t>
      </w:r>
      <w:r>
        <w:t xml:space="preserve">rescue.</w:t>
      </w:r>
      <w:r>
        <w:t xml:space="preserve"> </w:t>
      </w:r>
      <w:r>
        <w:t xml:space="preserve">The</w:t>
      </w:r>
      <w:r>
        <w:t xml:space="preserve"> </w:t>
      </w:r>
      <w:r>
        <w:t xml:space="preserve">failure</w:t>
      </w:r>
      <w:r>
        <w:t xml:space="preserve"> </w:t>
      </w:r>
      <w:r>
        <w:t xml:space="preserve">and</w:t>
      </w:r>
      <w:r>
        <w:t xml:space="preserve"> </w:t>
      </w:r>
      <w:r>
        <w:t xml:space="preserve">rescue</w:t>
      </w:r>
      <w:r>
        <w:t xml:space="preserve"> </w:t>
      </w:r>
      <w:r>
        <w:t xml:space="preserve">pattern</w:t>
      </w:r>
      <w:r>
        <w:t xml:space="preserve"> </w:t>
      </w:r>
      <w:r>
        <w:t xml:space="preserve">transfers</w:t>
      </w:r>
      <w:r>
        <w:t xml:space="preserve"> </w:t>
      </w:r>
      <w:r>
        <w:t xml:space="preserve">to</w:t>
      </w:r>
      <w:r>
        <w:t xml:space="preserve"> </w:t>
      </w:r>
      <w:r>
        <w:t xml:space="preserve">a</w:t>
      </w:r>
      <w:r>
        <w:t xml:space="preserve"> </w:t>
      </w:r>
      <w:r>
        <w:t xml:space="preserve">second</w:t>
      </w:r>
      <w:r>
        <w:t xml:space="preserve"> </w:t>
      </w:r>
      <w:r>
        <w:t xml:space="preserve">arithmetic</w:t>
      </w:r>
      <w:r>
        <w:t xml:space="preserve"> </w:t>
      </w:r>
      <w:r>
        <w:t xml:space="preserve">task,</w:t>
      </w:r>
      <w:r>
        <w:t xml:space="preserve"> </w:t>
      </w:r>
      <w:r>
        <w:t xml:space="preserve">modular</w:t>
      </w:r>
      <w:r>
        <w:t xml:space="preserve"> </w:t>
      </w:r>
      <w:r>
        <w:t xml:space="preserve">addition,</w:t>
      </w:r>
      <w:r>
        <w:t xml:space="preserve"> </w:t>
      </w:r>
      <w:r>
        <w:t xml:space="preserve">under</w:t>
      </w:r>
      <w:r>
        <w:t xml:space="preserve"> </w:t>
      </w:r>
      <w:r>
        <w:t xml:space="preserve">sample-count-matched</w:t>
      </w:r>
      <w:r>
        <w:t xml:space="preserve"> </w:t>
      </w:r>
      <w:r>
        <w:t xml:space="preserve">controls.</w:t>
      </w:r>
      <w:r>
        <w:t xml:space="preserve"> </w:t>
      </w:r>
      <w:r>
        <w:t xml:space="preserve">A</w:t>
      </w:r>
      <w:r>
        <w:t xml:space="preserve"> </w:t>
      </w:r>
      <w:r>
        <w:t xml:space="preserve">third,</w:t>
      </w:r>
      <w:r>
        <w:t xml:space="preserve"> </w:t>
      </w:r>
      <w:r>
        <w:t xml:space="preserve">non-arithmetic</w:t>
      </w:r>
      <w:r>
        <w:t xml:space="preserve"> </w:t>
      </w:r>
      <w:r>
        <w:t xml:space="preserve">task,</w:t>
      </w:r>
      <w:r>
        <w:t xml:space="preserve"> </w:t>
      </w:r>
      <w:r>
        <w:t xml:space="preserve">Dyck-1</w:t>
      </w:r>
      <w:r>
        <w:t xml:space="preserve"> </w:t>
      </w:r>
      <w:r>
        <w:t xml:space="preserve">forced-position</w:t>
      </w:r>
      <w:r>
        <w:t xml:space="preserve"> </w:t>
      </w:r>
      <w:r>
        <w:t xml:space="preserve">prediction,</w:t>
      </w:r>
      <w:r>
        <w:t xml:space="preserve"> </w:t>
      </w:r>
      <w:r>
        <w:t xml:space="preserve">is</w:t>
      </w:r>
      <w:r>
        <w:t xml:space="preserve"> </w:t>
      </w:r>
      <w:r>
        <w:t xml:space="preserve">included</w:t>
      </w:r>
      <w:r>
        <w:t xml:space="preserve"> </w:t>
      </w:r>
      <w:r>
        <w:t xml:space="preserve">as</w:t>
      </w:r>
      <w:r>
        <w:t xml:space="preserve"> </w:t>
      </w:r>
      <w:r>
        <w:t xml:space="preserve">a</w:t>
      </w:r>
      <w:r>
        <w:t xml:space="preserve"> </w:t>
      </w:r>
      <w:r>
        <w:t xml:space="preserve">deliberately</w:t>
      </w:r>
      <w:r>
        <w:t xml:space="preserve"> </w:t>
      </w:r>
      <w:r>
        <w:t xml:space="preserve">harder</w:t>
      </w:r>
      <w:r>
        <w:t xml:space="preserve"> </w:t>
      </w:r>
      <w:r>
        <w:t xml:space="preserve">out-of-domain</w:t>
      </w:r>
      <w:r>
        <w:t xml:space="preserve"> </w:t>
      </w:r>
      <w:r>
        <w:t xml:space="preserve">stress</w:t>
      </w:r>
      <w:r>
        <w:t xml:space="preserve"> </w:t>
      </w:r>
      <w:r>
        <w:t xml:space="preserve">test:</w:t>
      </w:r>
      <w:r>
        <w:t xml:space="preserve"> </w:t>
      </w:r>
      <w:r>
        <w:t xml:space="preserve">it</w:t>
      </w:r>
      <w:r>
        <w:t xml:space="preserve"> </w:t>
      </w:r>
      <w:r>
        <w:t xml:space="preserve">qualifies</w:t>
      </w:r>
      <w:r>
        <w:t xml:space="preserve"> </w:t>
      </w:r>
      <w:r>
        <w:t xml:space="preserve">rather</w:t>
      </w:r>
      <w:r>
        <w:t xml:space="preserve"> </w:t>
      </w:r>
      <w:r>
        <w:t xml:space="preserve">than</w:t>
      </w:r>
      <w:r>
        <w:t xml:space="preserve"> </w:t>
      </w:r>
      <w:r>
        <w:t xml:space="preserve">confirms</w:t>
      </w:r>
      <w:r>
        <w:t xml:space="preserve"> </w:t>
      </w:r>
      <w:r>
        <w:t xml:space="preserve">the</w:t>
      </w:r>
      <w:r>
        <w:t xml:space="preserve"> </w:t>
      </w:r>
      <w:r>
        <w:t xml:space="preserve">transfer</w:t>
      </w:r>
      <w:r>
        <w:t xml:space="preserve"> </w:t>
      </w:r>
      <w:r>
        <w:t xml:space="preserve">claim,</w:t>
      </w:r>
      <w:r>
        <w:t xml:space="preserve"> </w:t>
      </w:r>
      <w:r>
        <w:t xml:space="preserve">reproducing</w:t>
      </w:r>
      <w:r>
        <w:t xml:space="preserve"> </w:t>
      </w:r>
      <w:r>
        <w:t xml:space="preserve">the</w:t>
      </w:r>
      <w:r>
        <w:t xml:space="preserve"> </w:t>
      </w:r>
      <w:r>
        <w:t xml:space="preserve">failure</w:t>
      </w:r>
      <w:r>
        <w:t xml:space="preserve"> </w:t>
      </w:r>
      <w:r>
        <w:t xml:space="preserve">topology</w:t>
      </w:r>
      <w:r>
        <w:t xml:space="preserve"> </w:t>
      </w:r>
      <w:r>
        <w:t xml:space="preserve">and</w:t>
      </w:r>
      <w:r>
        <w:t xml:space="preserve"> </w:t>
      </w:r>
      <w:r>
        <w:t xml:space="preserve">the</w:t>
      </w:r>
      <w:r>
        <w:t xml:space="preserve"> </w:t>
      </w:r>
      <w:r>
        <w:t xml:space="preserve">injection-ranking</w:t>
      </w:r>
      <w:r>
        <w:t xml:space="preserve"> </w:t>
      </w:r>
      <w:r>
        <w:t xml:space="preserve">direction</w:t>
      </w:r>
      <w:r>
        <w:t xml:space="preserve"> </w:t>
      </w:r>
      <w:r>
        <w:t xml:space="preserve">while</w:t>
      </w:r>
      <w:r>
        <w:t xml:space="preserve"> </w:t>
      </w:r>
      <w:r>
        <w:t xml:space="preserve">falling</w:t>
      </w:r>
      <w:r>
        <w:t xml:space="preserve"> </w:t>
      </w:r>
      <w:r>
        <w:t xml:space="preserve">short</w:t>
      </w:r>
      <w:r>
        <w:t xml:space="preserve"> </w:t>
      </w:r>
      <w:r>
        <w:t xml:space="preserve">of</w:t>
      </w:r>
      <w:r>
        <w:t xml:space="preserve"> </w:t>
      </w:r>
      <w:r>
        <w:t xml:space="preserve">complete</w:t>
      </w:r>
      <w:r>
        <w:t xml:space="preserve"> </w:t>
      </w:r>
      <w:r>
        <w:t xml:space="preserve">rescue</w:t>
      </w:r>
      <w:r>
        <w:t xml:space="preserve"> </w:t>
      </w:r>
      <w:r>
        <w:t xml:space="preserve">and</w:t>
      </w:r>
      <w:r>
        <w:t xml:space="preserve"> </w:t>
      </w:r>
      <w:r>
        <w:t xml:space="preserve">budget-monotonic</w:t>
      </w:r>
      <w:r>
        <w:t xml:space="preserve"> </w:t>
      </w:r>
      <w:r>
        <w:t xml:space="preserve">behavior.</w:t>
      </w:r>
      <w:r>
        <w:t xml:space="preserve"> </w:t>
      </w:r>
      <w:r>
        <w:t xml:space="preserve">All</w:t>
      </w:r>
      <w:r>
        <w:t xml:space="preserve"> </w:t>
      </w:r>
      <w:r>
        <w:t xml:space="preserve">findings</w:t>
      </w:r>
      <w:r>
        <w:t xml:space="preserve"> </w:t>
      </w:r>
      <w:r>
        <w:t xml:space="preserve">are</w:t>
      </w:r>
      <w:r>
        <w:t xml:space="preserve"> </w:t>
      </w:r>
      <w:r>
        <w:t xml:space="preserve">reported</w:t>
      </w:r>
      <w:r>
        <w:t xml:space="preserve"> </w:t>
      </w:r>
      <w:r>
        <w:t xml:space="preserve">at</w:t>
      </w:r>
      <w:r>
        <w:t xml:space="preserve"> </w:t>
      </w:r>
      <m:oMath>
        <m:r>
          <m:t>n</m:t>
        </m:r>
        <m:r>
          <m:rPr>
            <m:sty m:val="p"/>
          </m:rPr>
          <m:t>≤</m:t>
        </m:r>
        <m:r>
          <m:t>12</m:t>
        </m:r>
      </m:oMath>
      <w:r>
        <w:t xml:space="preserve">,</w:t>
      </w:r>
      <w:r>
        <w:t xml:space="preserve"> </w:t>
      </w:r>
      <m:oMath>
        <m:r>
          <m:t>d</m:t>
        </m:r>
        <m:r>
          <m:rPr>
            <m:sty m:val="p"/>
          </m:rPr>
          <m:t>≤</m:t>
        </m:r>
        <m:r>
          <m:t>128</m:t>
        </m:r>
      </m:oMath>
      <w:r>
        <w:t xml:space="preserve"> </w:t>
      </w:r>
      <w:r>
        <w:t xml:space="preserve">scale.</w:t>
      </w:r>
    </w:p>
    <w:bookmarkStart w:id="20" w:name="introduction"/>
    <w:p>
      <w:pPr>
        <w:pStyle w:val="Heading1"/>
      </w:pPr>
      <w:r>
        <w:rPr>
          <w:rStyle w:val="SectionNumber"/>
        </w:rPr>
        <w:t xml:space="preserve">1</w:t>
      </w:r>
      <w:r>
        <w:tab/>
      </w:r>
      <w:r>
        <w:t xml:space="preserve">Introduction</w:t>
      </w:r>
    </w:p>
    <w:p>
      <w:pPr>
        <w:pStyle w:val="FirstParagraph"/>
      </w:pPr>
      <w:r>
        <w:t xml:space="preserve">Grokking—the delayed generalization of a model that has already fit its training set—was first reported by</w:t>
      </w:r>
      <w:r>
        <w:t xml:space="preserve"> </w:t>
      </w:r>
      <w:r>
        <w:t xml:space="preserve">Power et al. (2022)</w:t>
      </w:r>
      <w:r>
        <w:t xml:space="preserve"> </w:t>
      </w:r>
      <w:r>
        <w:t xml:space="preserve">on small algorithmic datasets, and has since accumulated a broad literature on when and why it occurs</w:t>
      </w:r>
      <w:r>
        <w:t xml:space="preserve"> </w:t>
      </w:r>
      <w:r>
        <w:t xml:space="preserve">(Liu et al. 2022; Liu, Michaud, and Tegmark 2023; Nanda et al. 2023)</w:t>
      </w:r>
      <w:r>
        <w:t xml:space="preserve">.</w:t>
      </w:r>
      <w:r>
        <w:t xml:space="preserve"> </w:t>
      </w:r>
      <w:r>
        <w:t xml:space="preserve">Zhao (2026)</w:t>
      </w:r>
      <w:r>
        <w:t xml:space="preserve"> </w:t>
      </w:r>
      <w:r>
        <w:t xml:space="preserve">recently sharpened one open question in this literature by studying LARGECOUNTER, an autoregressive binary counting task on which succinct algorithmic circuits provably exist</w:t>
      </w:r>
      <w:r>
        <w:t xml:space="preserve"> </w:t>
      </w:r>
      <w:r>
        <w:t xml:space="preserve">(Bergsträßer, Cotterell, and Lin 2026)</w:t>
      </w:r>
      <w:r>
        <w:t xml:space="preserve">: does training on a stratified sample—one that over-represents rare carry-chain states—</w:t>
      </w:r>
      <w:r>
        <w:rPr>
          <w:iCs/>
          <w:i/>
        </w:rPr>
        <w:t xml:space="preserve">create</w:t>
      </w:r>
      <w:r>
        <w:t xml:space="preserve"> </w:t>
      </w:r>
      <w:r>
        <w:t xml:space="preserve">grokking on those states, or merely</w:t>
      </w:r>
      <w:r>
        <w:t xml:space="preserve"> </w:t>
      </w:r>
      <w:r>
        <w:rPr>
          <w:iCs/>
          <w:i/>
        </w:rPr>
        <w:t xml:space="preserve">extend</w:t>
      </w:r>
      <w:r>
        <w:t xml:space="preserve"> </w:t>
      </w:r>
      <w:r>
        <w:t xml:space="preserve">an effect that would occur anyway? Zhao’s evidence is a single qualitative comparison between uniform and stratified sampling. It leaves the shape of grokkability under continuous data skew, and the minimal intervention needed to rescue a model once it is trapped, entirely uncharacterized.</w:t>
      </w:r>
    </w:p>
    <w:p>
      <w:pPr>
        <w:pStyle w:val="BodyText"/>
      </w:pPr>
      <w:r>
        <w:t xml:space="preserve">We answer both questions with the same experimental apparatus. We build a continuous skew axis</w:t>
      </w:r>
      <w:r>
        <w:t xml:space="preserve"> </w:t>
      </w:r>
      <m:oMath>
        <m:r>
          <m:t>α</m:t>
        </m:r>
      </m:oMath>
      <w:r>
        <w:t xml:space="preserve"> </w:t>
      </w:r>
      <w:r>
        <w:t xml:space="preserve">via Zipf-weighted minibatch sampling,</w:t>
      </w:r>
      <w:r>
        <w:t xml:space="preserve"> </w:t>
      </w:r>
      <m:oMath>
        <m:sSub>
          <m:e>
            <m:r>
              <m:t>P</m:t>
            </m:r>
          </m:e>
          <m:sub>
            <m:r>
              <m:t>α</m:t>
            </m:r>
          </m:sub>
        </m:sSub>
        <m:d>
          <m:dPr>
            <m:begChr m:val="("/>
            <m:endChr m:val=")"/>
            <m:sepChr m:val=""/>
            <m:grow/>
          </m:dPr>
          <m:e>
            <m:r>
              <m:t>x</m:t>
            </m:r>
          </m:e>
        </m:d>
        <m:r>
          <m:rPr>
            <m:sty m:val="p"/>
          </m:rPr>
          <m:t>∝</m:t>
        </m:r>
        <m:sSup>
          <m:e>
            <m:d>
              <m:dPr>
                <m:begChr m:val="("/>
                <m:endChr m:val=")"/>
                <m:sepChr m:val=""/>
                <m:grow/>
              </m:dPr>
              <m:e>
                <m:r>
                  <m:t>x</m:t>
                </m:r>
                <m:r>
                  <m:rPr>
                    <m:sty m:val="p"/>
                  </m:rPr>
                  <m:t>+</m:t>
                </m:r>
                <m:r>
                  <m:t>1</m:t>
                </m:r>
              </m:e>
            </m:d>
          </m:e>
          <m:sup>
            <m:r>
              <m:rPr>
                <m:sty m:val="p"/>
              </m:rPr>
              <m:t>−</m:t>
            </m:r>
            <m:r>
              <m:t>α</m:t>
            </m:r>
          </m:sup>
        </m:sSup>
      </m:oMath>
      <w:r>
        <w:t xml:space="preserve">, crossed against weight decay</w:t>
      </w:r>
      <w:r>
        <w:t xml:space="preserve"> </w:t>
      </w:r>
      <m:oMath>
        <m:r>
          <m:t>λ</m:t>
        </m:r>
      </m:oMath>
      <w:r>
        <w:t xml:space="preserve">, and map grokkability across this</w:t>
      </w:r>
      <w:r>
        <w:t xml:space="preserve"> </w:t>
      </w:r>
      <m:oMath>
        <m:d>
          <m:dPr>
            <m:begChr m:val="("/>
            <m:endChr m:val=")"/>
            <m:sepChr m:val=""/>
            <m:grow/>
          </m:dPr>
          <m:e>
            <m:r>
              <m:t>α</m:t>
            </m:r>
            <m:r>
              <m:rPr>
                <m:sty m:val="p"/>
              </m:rPr>
              <m:t>,</m:t>
            </m:r>
            <m:r>
              <m:t>λ</m:t>
            </m:r>
          </m:e>
        </m:d>
      </m:oMath>
      <w:r>
        <w:t xml:space="preserve"> </w:t>
      </w:r>
      <w:r>
        <w:t xml:space="preserve">plane on the LARGECOUNTER task. The resulting map exhibits two regimes—a boundary layer where additional compute budget improves outcomes, and a deep-trap interior that does not escape even at four times the originally tested budget. The map’s most direct practical payoff is a precise answer to Zhao’s rescue question: a low dose of injected examples drawn uniformly across the entire state space, on the order of</w:t>
      </w:r>
      <w:r>
        <w:t xml:space="preserve"> </w:t>
      </w:r>
      <m:oMath>
        <m:r>
          <m:t>0.8</m:t>
        </m:r>
        <m:r>
          <m:rPr>
            <m:sty m:val="p"/>
          </m:rPr>
          <m:t>%</m:t>
        </m:r>
      </m:oMath>
      <w:r>
        <w:t xml:space="preserve"> </w:t>
      </w:r>
      <w:r>
        <w:t xml:space="preserve">of each minibatch, rescues both failure modes we observe, and among a set of controls varying sample count, targeted rarity, and breadth of the injected examples across the state space, uniform full-state injection is the one that rescues.</w:t>
      </w:r>
    </w:p>
    <w:p>
      <w:pPr>
        <w:pStyle w:val="BodyText"/>
      </w:pPr>
      <w:r>
        <w:t xml:space="preserve">Our contributions, in the order we present them, are:</w:t>
      </w:r>
    </w:p>
    <w:p>
      <w:pPr>
        <w:numPr>
          <w:ilvl w:val="0"/>
          <w:numId w:val="1001"/>
        </w:numPr>
      </w:pPr>
      <w:r>
        <w:t xml:space="preserve">An empirical, finite-budget</w:t>
      </w:r>
      <w:r>
        <w:t xml:space="preserve"> </w:t>
      </w:r>
      <m:oMath>
        <m:d>
          <m:dPr>
            <m:begChr m:val="("/>
            <m:endChr m:val=")"/>
            <m:sepChr m:val=""/>
            <m:grow/>
          </m:dPr>
          <m:e>
            <m:r>
              <m:t>α</m:t>
            </m:r>
            <m:r>
              <m:rPr>
                <m:sty m:val="p"/>
              </m:rPr>
              <m:t>,</m:t>
            </m:r>
            <m:r>
              <m:t>λ</m:t>
            </m:r>
          </m:e>
        </m:d>
      </m:oMath>
      <w:r>
        <w:t xml:space="preserve"> </w:t>
      </w:r>
      <w:r>
        <w:t xml:space="preserve">phase diagram with two failure boundaries and a two-regime kinetic/deep-trap structure, reproduced at a second problem size with an exposure-matching protocol that avoids conflating training dynamics with the underlying failure structure (§</w:t>
      </w:r>
      <w:hyperlink w:anchor="sec:results-map">
        <w:r>
          <w:rPr>
            <w:rStyle w:val="Hyperlink"/>
          </w:rPr>
          <w:t xml:space="preserve">4.1</w:t>
        </w:r>
      </w:hyperlink>
      <w:r>
        <w:t xml:space="preserve">).</w:t>
      </w:r>
    </w:p>
    <w:p>
      <w:pPr>
        <w:numPr>
          <w:ilvl w:val="0"/>
          <w:numId w:val="1001"/>
        </w:numPr>
      </w:pPr>
      <w:r>
        <w:t xml:space="preserve">A low-dose rescue intervention validated by a controlled comparison ranking sample count, rarity, and distributional breadth against one another (§</w:t>
      </w:r>
      <w:hyperlink w:anchor="sec:results-rescue">
        <w:r>
          <w:rPr>
            <w:rStyle w:val="Hyperlink"/>
          </w:rPr>
          <w:t xml:space="preserve">4.2</w:t>
        </w:r>
      </w:hyperlink>
      <w:r>
        <w:t xml:space="preserve">).</w:t>
      </w:r>
    </w:p>
    <w:p>
      <w:pPr>
        <w:numPr>
          <w:ilvl w:val="0"/>
          <w:numId w:val="1001"/>
        </w:numPr>
      </w:pPr>
      <w:r>
        <w:t xml:space="preserve">A family-discrimination analysis of the boundary’s shape, evaluated by a pre-specified held-out prediction test (§</w:t>
      </w:r>
      <w:hyperlink w:anchor="sec:results-family">
        <w:r>
          <w:rPr>
            <w:rStyle w:val="Hyperlink"/>
          </w:rPr>
          <w:t xml:space="preserve">4.3</w:t>
        </w:r>
      </w:hyperlink>
      <w:r>
        <w:t xml:space="preserve">).</w:t>
      </w:r>
    </w:p>
    <w:p>
      <w:pPr>
        <w:numPr>
          <w:ilvl w:val="0"/>
          <w:numId w:val="1001"/>
        </w:numPr>
      </w:pPr>
      <w:r>
        <w:t xml:space="preserve">A pre-specified local robustness study across width, learning rate, depth, and optimizer choice, with four of seven directional predictions confirmed at both tested boundary cells (§</w:t>
      </w:r>
      <w:hyperlink w:anchor="sec:results-robustness">
        <w:r>
          <w:rPr>
            <w:rStyle w:val="Hyperlink"/>
          </w:rPr>
          <w:t xml:space="preserve">4.4</w:t>
        </w:r>
      </w:hyperlink>
      <w:r>
        <w:t xml:space="preserve">), and transfer of the injection-ranking direction to a second arithmetic task, modular addition, under sample-count-matched controls (§</w:t>
      </w:r>
      <w:hyperlink w:anchor="sec:results-modadd">
        <w:r>
          <w:rPr>
            <w:rStyle w:val="Hyperlink"/>
          </w:rPr>
          <w:t xml:space="preserve">4.5</w:t>
        </w:r>
      </w:hyperlink>
      <w:r>
        <w:t xml:space="preserve">).</w:t>
      </w:r>
    </w:p>
    <w:p>
      <w:pPr>
        <w:pStyle w:val="FirstParagraph"/>
      </w:pPr>
      <w:r>
        <w:t xml:space="preserve">We state our scope precisely because the boundary of what these experiments show is itself informative. The phase diagram we report is empirical and finite-budget: we do not claim an asymptotic phase transition or a critical exponent. The rescue intervention we report is the best-ranked among those we tested, not a proof of necessity. The transfer result we report is to a second</w:t>
      </w:r>
      <w:r>
        <w:t xml:space="preserve"> </w:t>
      </w:r>
      <w:r>
        <w:rPr>
          <w:iCs/>
          <w:i/>
        </w:rPr>
        <w:t xml:space="preserve">arithmetic</w:t>
      </w:r>
      <w:r>
        <w:t xml:space="preserve"> </w:t>
      </w:r>
      <w:r>
        <w:t xml:space="preserve">task; a third, non-arithmetic task (Dyck-1 forced-position prediction, §</w:t>
      </w:r>
      <w:hyperlink w:anchor="sec:results-dyck">
        <w:r>
          <w:rPr>
            <w:rStyle w:val="Hyperlink"/>
          </w:rPr>
          <w:t xml:space="preserve">4.6</w:t>
        </w:r>
      </w:hyperlink>
      <w:r>
        <w:t xml:space="preserve">) is included precisely to test how far this transfers, and it draws that boundary for us: the failure topology and the direction of the injection ranking reproduce, while complete rescue and budget-monotonic behavior do not.</w:t>
      </w:r>
    </w:p>
    <w:bookmarkEnd w:id="20"/>
    <w:bookmarkStart w:id="21" w:name="related-work"/>
    <w:p>
      <w:pPr>
        <w:pStyle w:val="Heading1"/>
      </w:pPr>
      <w:r>
        <w:rPr>
          <w:rStyle w:val="SectionNumber"/>
        </w:rPr>
        <w:t xml:space="preserve">2</w:t>
      </w:r>
      <w:r>
        <w:tab/>
      </w:r>
      <w:r>
        <w:t xml:space="preserve">Related Work</w:t>
      </w:r>
    </w:p>
    <w:p>
      <w:pPr>
        <w:pStyle w:val="FirstParagraph"/>
      </w:pPr>
      <w:r>
        <w:rPr>
          <w:bCs/>
          <w:b/>
        </w:rPr>
        <w:t xml:space="preserve">Grokking and its mechanisms.</w:t>
      </w:r>
      <w:r>
        <w:t xml:space="preserve"> </w:t>
      </w:r>
      <w:r>
        <w:t xml:space="preserve">Power et al. (2022)</w:t>
      </w:r>
      <w:r>
        <w:t xml:space="preserve"> </w:t>
      </w:r>
      <w:r>
        <w:t xml:space="preserve">established the toy-algorithmic-task recipe this paper’s LARGECOUNTER setup descends from. Subsequent work has proposed a wide range of mechanistic accounts of why grokking occurs: weight-norm dynamics and a</w:t>
      </w:r>
      <w:r>
        <w:t xml:space="preserve"> </w:t>
      </w:r>
      <w:r>
        <w:t xml:space="preserve">“</w:t>
      </w:r>
      <w:r>
        <w:t xml:space="preserve">Goldilocks zone</w:t>
      </w:r>
      <w:r>
        <w:t xml:space="preserve">”</w:t>
      </w:r>
      <w:r>
        <w:t xml:space="preserve"> </w:t>
      </w:r>
      <w:r>
        <w:t xml:space="preserve">between memorization and confusion</w:t>
      </w:r>
      <w:r>
        <w:t xml:space="preserve"> </w:t>
      </w:r>
      <w:r>
        <w:t xml:space="preserve">(Liu et al. 2022; Liu, Michaud, and Tegmark 2023)</w:t>
      </w:r>
      <w:r>
        <w:t xml:space="preserve">; measurable progress proxies tied to Fourier-structured circuits</w:t>
      </w:r>
      <w:r>
        <w:t xml:space="preserve"> </w:t>
      </w:r>
      <w:r>
        <w:t xml:space="preserve">(Nanda et al. 2023)</w:t>
      </w:r>
      <w:r>
        <w:t xml:space="preserve">; competing memorizing and generalizing circuits distinguished by parameter efficiency</w:t>
      </w:r>
      <w:r>
        <w:t xml:space="preserve"> </w:t>
      </w:r>
      <w:r>
        <w:t xml:space="preserve">(Varma et al. 2023)</w:t>
      </w:r>
      <w:r>
        <w:t xml:space="preserve">; group-theoretic representations</w:t>
      </w:r>
      <w:r>
        <w:t xml:space="preserve"> </w:t>
      </w:r>
      <w:r>
        <w:t xml:space="preserve">(Chughtai, Chan, and Nanda 2023)</w:t>
      </w:r>
      <w:r>
        <w:t xml:space="preserve">; a lazy-to-rich training-dynamics transition with rigorous sample-complexity bounds</w:t>
      </w:r>
      <w:r>
        <w:t xml:space="preserve"> </w:t>
      </w:r>
      <w:r>
        <w:t xml:space="preserve">(Mohamadi et al. 2024)</w:t>
      </w:r>
      <w:r>
        <w:t xml:space="preserve">; an early-versus-late-phase implicit-bias dichotomy under weight decay</w:t>
      </w:r>
      <w:r>
        <w:t xml:space="preserve"> </w:t>
      </w:r>
      <w:r>
        <w:t xml:space="preserve">(Lyu et al. 2024)</w:t>
      </w:r>
      <w:r>
        <w:t xml:space="preserve">; complexity and compression measures that rise then fall across training</w:t>
      </w:r>
      <w:r>
        <w:t xml:space="preserve"> </w:t>
      </w:r>
      <w:r>
        <w:t xml:space="preserve">(Liu, Zhong, and Tegmark 2023; DeMoss et al. 2025)</w:t>
      </w:r>
      <w:r>
        <w:t xml:space="preserve">; and causal, representation-level precursors to generalization onset</w:t>
      </w:r>
      <w:r>
        <w:t xml:space="preserve"> </w:t>
      </w:r>
      <w:r>
        <w:t xml:space="preserve">(Sivasankar 2026; Howe 2026)</w:t>
      </w:r>
      <w:r>
        <w:t xml:space="preserve">.</w:t>
      </w:r>
      <w:r>
        <w:t xml:space="preserve"> </w:t>
      </w:r>
      <w:r>
        <w:t xml:space="preserve">Mello Koch and Ghosh (2025)</w:t>
      </w:r>
      <w:r>
        <w:t xml:space="preserve"> </w:t>
      </w:r>
      <w:r>
        <w:t xml:space="preserve">unify grokking with double descent and the information bottleneck under a shared two-phase timescale structure, echoing the two-regime structure we report in §</w:t>
      </w:r>
      <w:hyperlink w:anchor="sec:results-map">
        <w:r>
          <w:rPr>
            <w:rStyle w:val="Hyperlink"/>
          </w:rPr>
          <w:t xml:space="preserve">4.1</w:t>
        </w:r>
      </w:hyperlink>
      <w:r>
        <w:t xml:space="preserve">. We treat this diversity of mechanistic accounts as the backdrop against which our own controlled injection ranking (§</w:t>
      </w:r>
      <w:hyperlink w:anchor="sec:results-rescue">
        <w:r>
          <w:rPr>
            <w:rStyle w:val="Hyperlink"/>
          </w:rPr>
          <w:t xml:space="preserve">4.2</w:t>
        </w:r>
      </w:hyperlink>
      <w:r>
        <w:t xml:space="preserve">) should be read: our ranking points to a data-side coverage effect, compatible with, rather than a replacement for, model-side accounts of what happens once training data is fixed.</w:t>
      </w:r>
    </w:p>
    <w:p>
      <w:pPr>
        <w:pStyle w:val="BodyText"/>
      </w:pPr>
      <w:r>
        <w:rPr>
          <w:bCs/>
          <w:b/>
        </w:rPr>
        <w:t xml:space="preserve">Phase-transition framings.</w:t>
      </w:r>
      <w:r>
        <w:t xml:space="preserve"> </w:t>
      </w:r>
      <w:r>
        <w:t xml:space="preserve">A parallel line of work treats grokking as a genuine physical phase transition and studies it with tools from statistical mechanics: finite-size scaling and Binder-cumulant crossings against group order</w:t>
      </w:r>
      <w:r>
        <w:t xml:space="preserve"> </w:t>
      </w:r>
      <w:r>
        <w:t xml:space="preserve">(Bi et al. 2026)</w:t>
      </w:r>
      <w:r>
        <w:t xml:space="preserve">; effective-dimensionality crossings interpreted as self-organized criticality</w:t>
      </w:r>
      <w:r>
        <w:t xml:space="preserve"> </w:t>
      </w:r>
      <w:r>
        <w:t xml:space="preserve">(Wang 2026)</w:t>
      </w:r>
      <w:r>
        <w:t xml:space="preserve">; adaptive-kernel feature-learning theory mapped onto first-order phase transitions</w:t>
      </w:r>
      <w:r>
        <w:t xml:space="preserve"> </w:t>
      </w:r>
      <w:r>
        <w:t xml:space="preserve">(Rubin, Seroussi, and Ringel 2024)</w:t>
      </w:r>
      <w:r>
        <w:t xml:space="preserve">; and spectral-entropy collapse of the representation covariance as a geometric phase-transition signature</w:t>
      </w:r>
      <w:r>
        <w:t xml:space="preserve"> </w:t>
      </w:r>
      <w:r>
        <w:t xml:space="preserve">(Truong et al. 2026)</w:t>
      </w:r>
      <w:r>
        <w:t xml:space="preserve">. Our</w:t>
      </w:r>
      <w:r>
        <w:t xml:space="preserve"> </w:t>
      </w:r>
      <m:oMath>
        <m:d>
          <m:dPr>
            <m:begChr m:val="("/>
            <m:endChr m:val=")"/>
            <m:sepChr m:val=""/>
            <m:grow/>
          </m:dPr>
          <m:e>
            <m:r>
              <m:t>α</m:t>
            </m:r>
            <m:r>
              <m:rPr>
                <m:sty m:val="p"/>
              </m:rPr>
              <m:t>,</m:t>
            </m:r>
            <m:r>
              <m:t>λ</m:t>
            </m:r>
          </m:e>
        </m:d>
      </m:oMath>
      <w:r>
        <w:t xml:space="preserve"> </w:t>
      </w:r>
      <w:r>
        <w:t xml:space="preserve">map uses a different, complementary axis—empirical skew and weight decay under a fixed, finite compute budget—and we do not claim the stronger asymptotic or critical-exponent language these works use.</w:t>
      </w:r>
    </w:p>
    <w:p>
      <w:pPr>
        <w:pStyle w:val="BodyText"/>
      </w:pPr>
      <w:r>
        <w:rPr>
          <w:bCs/>
          <w:b/>
        </w:rPr>
        <w:t xml:space="preserve">Rescuing and accelerating grokking.</w:t>
      </w:r>
      <w:r>
        <w:t xml:space="preserve"> </w:t>
      </w:r>
      <w:r>
        <w:t xml:space="preserve">Prior interventions to induce or accelerate grokking include knowledge distillation from an already-grokked model on a related distribution</w:t>
      </w:r>
      <w:r>
        <w:t xml:space="preserve"> </w:t>
      </w:r>
      <w:r>
        <w:t xml:space="preserve">(Singh, Belilovsky, and Aljundi 2025)</w:t>
      </w:r>
      <w:r>
        <w:t xml:space="preserve">; embedding transfer from a weaker model</w:t>
      </w:r>
      <w:r>
        <w:t xml:space="preserve"> </w:t>
      </w:r>
      <w:r>
        <w:t xml:space="preserve">(Xu et al. 2025)</w:t>
      </w:r>
      <w:r>
        <w:t xml:space="preserve">; and learned gradient transformations</w:t>
      </w:r>
      <w:r>
        <w:t xml:space="preserve"> </w:t>
      </w:r>
      <w:r>
        <w:t xml:space="preserve">(Zhou et al. 2025)</w:t>
      </w:r>
      <w:r>
        <w:t xml:space="preserve">. These operate on data quantity, initialization, or gradients respectively; our own intervention (§</w:t>
      </w:r>
      <w:hyperlink w:anchor="sec:results-rescue">
        <w:r>
          <w:rPr>
            <w:rStyle w:val="Hyperlink"/>
          </w:rPr>
          <w:t xml:space="preserve">4.2</w:t>
        </w:r>
      </w:hyperlink>
      <w:r>
        <w:t xml:space="preserve">) operates directly on the training distribution’s support and ranks coverage above quantity or targeted rarity as the more effective lever, among those tested.</w:t>
      </w:r>
    </w:p>
    <w:p>
      <w:pPr>
        <w:pStyle w:val="BodyText"/>
      </w:pPr>
      <w:r>
        <w:rPr>
          <w:bCs/>
          <w:b/>
        </w:rPr>
        <w:t xml:space="preserve">Weight decay as a modeling choice.</w:t>
      </w:r>
      <w:r>
        <w:t xml:space="preserve"> </w:t>
      </w:r>
      <w:r>
        <w:t xml:space="preserve">We use AdamW</w:t>
      </w:r>
      <w:r>
        <w:t xml:space="preserve"> </w:t>
      </w:r>
      <w:r>
        <w:t xml:space="preserve">(Loshchilov and Hutter 2019)</w:t>
      </w:r>
      <w:r>
        <w:t xml:space="preserve"> </w:t>
      </w:r>
      <w:r>
        <w:t xml:space="preserve">throughout; its implicit bias differs from that of SGD with momentum</w:t>
      </w:r>
      <w:r>
        <w:t xml:space="preserve"> </w:t>
      </w:r>
      <w:r>
        <w:t xml:space="preserve">(Xie and Li 2024)</w:t>
      </w:r>
      <w:r>
        <w:t xml:space="preserve">, which we use as a comparison point in §</w:t>
      </w:r>
      <w:hyperlink w:anchor="sec:results-robustness">
        <w:r>
          <w:rPr>
            <w:rStyle w:val="Hyperlink"/>
          </w:rPr>
          <w:t xml:space="preserve">4.4</w:t>
        </w:r>
      </w:hyperlink>
      <w:r>
        <w:t xml:space="preserve">, and its role in grokking’s timing has an independent analytic treatment orthogonal to our skew axis</w:t>
      </w:r>
      <w:r>
        <w:t xml:space="preserve"> </w:t>
      </w:r>
      <w:r>
        <w:t xml:space="preserve">(Kim 2026)</w:t>
      </w:r>
      <w:r>
        <w:t xml:space="preserve">. We also position our own findings against</w:t>
      </w:r>
      <w:r>
        <w:t xml:space="preserve"> </w:t>
      </w:r>
      <w:r>
        <w:t xml:space="preserve">Doshi et al. (2023)</w:t>
      </w:r>
      <w:r>
        <w:t xml:space="preserve">’s account of what weight decay mechanistically does to memorizing versus generalizing circuits.</w:t>
      </w:r>
    </w:p>
    <w:p>
      <w:pPr>
        <w:pStyle w:val="BodyText"/>
      </w:pPr>
      <w:r>
        <w:rPr>
          <w:bCs/>
          <w:b/>
        </w:rPr>
        <w:t xml:space="preserve">Data skew and distribution shift.</w:t>
      </w:r>
      <w:r>
        <w:t xml:space="preserve"> </w:t>
      </w:r>
      <w:r>
        <w:t xml:space="preserve">Carvalho et al. (2025)</w:t>
      </w:r>
      <w:r>
        <w:t xml:space="preserve"> </w:t>
      </w:r>
      <w:r>
        <w:t xml:space="preserve">formalize grokking as arising from a train/test distribution shift induced by controlled imbalanced sub-category sampling—the closest prior formalization of</w:t>
      </w:r>
      <w:r>
        <w:t xml:space="preserve"> </w:t>
      </w:r>
      <w:r>
        <w:t xml:space="preserve">“</w:t>
      </w:r>
      <w:r>
        <w:t xml:space="preserve">skew causes grokking failure</w:t>
      </w:r>
      <w:r>
        <w:t xml:space="preserve">”</w:t>
      </w:r>
      <w:r>
        <w:t xml:space="preserve">; our continuous-axis phase diagram substantially extends this picture.</w:t>
      </w:r>
      <w:r>
        <w:t xml:space="preserve"> </w:t>
      </w:r>
      <w:r>
        <w:t xml:space="preserve">Zhu et al. (2024)</w:t>
      </w:r>
      <w:r>
        <w:t xml:space="preserve"> </w:t>
      </w:r>
      <w:r>
        <w:t xml:space="preserve">characterize a related but distinct data-quantity axis, formalizing critical-size phase transitions as a function of model size. We further situate our skew protocol within the broader long-tailed learning literature</w:t>
      </w:r>
      <w:r>
        <w:t xml:space="preserve"> </w:t>
      </w:r>
      <w:r>
        <w:t xml:space="preserve">(Zhang et al. 2021; De Alvis and Seneviratne 2024)</w:t>
      </w:r>
      <w:r>
        <w:t xml:space="preserve"> </w:t>
      </w:r>
      <w:r>
        <w:t xml:space="preserve">and the curriculum-learning tradition</w:t>
      </w:r>
      <w:r>
        <w:t xml:space="preserve"> </w:t>
      </w:r>
      <w:r>
        <w:t xml:space="preserve">(Bengio et al. 2009)</w:t>
      </w:r>
      <w:r>
        <w:t xml:space="preserve">; our finding that broad coverage outperforms targeted rare-example injection (§</w:t>
      </w:r>
      <w:hyperlink w:anchor="sec:results-rescue">
        <w:r>
          <w:rPr>
            <w:rStyle w:val="Hyperlink"/>
          </w:rPr>
          <w:t xml:space="preserve">4.2</w:t>
        </w:r>
      </w:hyperlink>
      <w:r>
        <w:t xml:space="preserve">) directly complicates the naive curriculum-learning intuition that rare or difficult examples should be specifically targeted.</w:t>
      </w:r>
    </w:p>
    <w:p>
      <w:pPr>
        <w:pStyle w:val="BodyText"/>
      </w:pPr>
      <w:r>
        <w:rPr>
          <w:bCs/>
          <w:b/>
        </w:rPr>
        <w:t xml:space="preserve">Task foundations.</w:t>
      </w:r>
      <w:r>
        <w:t xml:space="preserve"> </w:t>
      </w:r>
      <w:r>
        <w:t xml:space="preserve">The LARGECOUNTER task is grounded in the succinctness result of</w:t>
      </w:r>
      <w:r>
        <w:t xml:space="preserve"> </w:t>
      </w:r>
      <w:r>
        <w:t xml:space="preserve">Bergsträßer, Cotterell, and Lin (2026)</w:t>
      </w:r>
      <w:r>
        <w:t xml:space="preserve"> </w:t>
      </w:r>
      <w:r>
        <w:t xml:space="preserve">and directly reproduces the design of</w:t>
      </w:r>
      <w:r>
        <w:t xml:space="preserve"> </w:t>
      </w:r>
      <w:r>
        <w:t xml:space="preserve">Zhao (2026)</w:t>
      </w:r>
      <w:r>
        <w:t xml:space="preserve">. Our second and third tasks draw on the modular-arithmetic grokking literature</w:t>
      </w:r>
      <w:r>
        <w:t xml:space="preserve"> </w:t>
      </w:r>
      <w:r>
        <w:t xml:space="preserve">(Gromov 2023; Doshi et al. 2024, 2023; McCracken et al. 2025)</w:t>
      </w:r>
      <w:r>
        <w:t xml:space="preserve"> </w:t>
      </w:r>
      <w:r>
        <w:t xml:space="preserve">and the formal-language-recognition literature establishing Transformers’ ability to recognize Dyck languages</w:t>
      </w:r>
      <w:r>
        <w:t xml:space="preserve"> </w:t>
      </w:r>
      <w:r>
        <w:t xml:space="preserve">(Weiss, Goldberg, and Yahav 2021; Ebrahimi, Gelda, and Zhang 2020; Bhattamishra, Ahuja, and Goyal 2020; Yao et al. 2021; Merrill and Sabharwal 2022; Strobl et al. 2024)</w:t>
      </w:r>
      <w:r>
        <w:t xml:space="preserve">.</w:t>
      </w:r>
    </w:p>
    <w:bookmarkEnd w:id="21"/>
    <w:bookmarkStart w:id="29" w:name="setup"/>
    <w:p>
      <w:pPr>
        <w:pStyle w:val="Heading1"/>
      </w:pPr>
      <w:r>
        <w:rPr>
          <w:rStyle w:val="SectionNumber"/>
        </w:rPr>
        <w:t xml:space="preserve">3</w:t>
      </w:r>
      <w:r>
        <w:tab/>
      </w:r>
      <w:r>
        <w:t xml:space="preserve">Setup</w:t>
      </w:r>
    </w:p>
    <w:bookmarkStart w:id="22" w:name="main-task-largecounter"/>
    <w:p>
      <w:pPr>
        <w:pStyle w:val="Heading2"/>
      </w:pPr>
      <w:r>
        <w:rPr>
          <w:rStyle w:val="SectionNumber"/>
        </w:rPr>
        <w:t xml:space="preserve">3.1</w:t>
      </w:r>
      <w:r>
        <w:tab/>
      </w:r>
      <w:r>
        <w:t xml:space="preserve">Main task: LARGECOUNTER</w:t>
      </w:r>
    </w:p>
    <w:p>
      <w:pPr>
        <w:pStyle w:val="FirstParagraph"/>
      </w:pPr>
      <w:r>
        <w:t xml:space="preserve">We reproduce Zhao’s LARGECOUNTER task faithfully: an autoregressive, big-endian binary counter over vocabulary</w:t>
      </w:r>
      <w:r>
        <w:t xml:space="preserve"> </w:t>
      </w:r>
      <m:oMath>
        <m:r>
          <m:rPr>
            <m:sty m:val="p"/>
          </m:rPr>
          <m:t>{</m:t>
        </m:r>
        <m:r>
          <m:t>0</m:t>
        </m:r>
        <m:r>
          <m:rPr>
            <m:sty m:val="p"/>
          </m:rPr>
          <m:t>,</m:t>
        </m:r>
        <m:r>
          <m:t>1</m:t>
        </m:r>
        <m:r>
          <m:rPr>
            <m:sty m:val="p"/>
          </m:rPr>
          <m:t>,</m:t>
        </m:r>
        <m:r>
          <m:rPr>
            <m:sty m:val="p"/>
          </m:rPr>
          <m:t>#</m:t>
        </m:r>
        <m:r>
          <m:rPr>
            <m:sty m:val="p"/>
          </m:rPr>
          <m:t>}</m:t>
        </m:r>
      </m:oMath>
      <w:r>
        <w:t xml:space="preserve">. Each training example is a single transition</w:t>
      </w:r>
      <w:r>
        <w:t xml:space="preserve"> </w:t>
      </w:r>
      <m:oMath>
        <m:r>
          <m:t>x</m:t>
        </m:r>
        <m:r>
          <m:rPr>
            <m:sty m:val="p"/>
          </m:rPr>
          <m:t>→</m:t>
        </m:r>
        <m:r>
          <m:t>x</m:t>
        </m:r>
        <m:r>
          <m:rPr>
            <m:sty m:val="p"/>
          </m:rPr>
          <m:t>+</m:t>
        </m:r>
        <m:r>
          <m:t>1</m:t>
        </m:r>
      </m:oMath>
      <w:r>
        <w:t xml:space="preserve">: the input token sequence is</w:t>
      </w:r>
      <w:r>
        <w:t xml:space="preserve"> </w:t>
      </w:r>
      <m:oMath>
        <m:r>
          <m:rPr>
            <m:sty m:val="p"/>
          </m:rPr>
          <m:t>b</m:t>
        </m:r>
        <m:r>
          <m:rPr>
            <m:sty m:val="p"/>
          </m:rPr>
          <m:t>i</m:t>
        </m:r>
        <m:r>
          <m:rPr>
            <m:sty m:val="p"/>
          </m:rPr>
          <m:t>n</m:t>
        </m:r>
        <m:d>
          <m:dPr>
            <m:begChr m:val="("/>
            <m:endChr m:val=")"/>
            <m:sepChr m:val=""/>
            <m:grow/>
          </m:dPr>
          <m:e>
            <m:r>
              <m:t>x</m:t>
            </m:r>
          </m:e>
        </m:d>
        <m:r>
          <m:t> </m:t>
        </m:r>
        <m:r>
          <m:rPr>
            <m:sty m:val="p"/>
          </m:rPr>
          <m:t>#</m:t>
        </m:r>
        <m:r>
          <m:t> </m:t>
        </m:r>
        <m:r>
          <m:rPr>
            <m:sty m:val="p"/>
          </m:rPr>
          <m:t>b</m:t>
        </m:r>
        <m:r>
          <m:rPr>
            <m:sty m:val="p"/>
          </m:rPr>
          <m:t>i</m:t>
        </m:r>
        <m:r>
          <m:rPr>
            <m:sty m:val="p"/>
          </m:rPr>
          <m:t>n</m:t>
        </m:r>
        <m:d>
          <m:dPr>
            <m:begChr m:val="("/>
            <m:endChr m:val=")"/>
            <m:sepChr m:val=""/>
            <m:grow/>
          </m:dPr>
          <m:e>
            <m:d>
              <m:dPr>
                <m:begChr m:val="("/>
                <m:endChr m:val=")"/>
                <m:sepChr m:val=""/>
                <m:grow/>
              </m:dPr>
              <m:e>
                <m:r>
                  <m:t>x</m:t>
                </m:r>
                <m:r>
                  <m:rPr>
                    <m:sty m:val="p"/>
                  </m:rPr>
                  <m:t>+</m:t>
                </m:r>
                <m:r>
                  <m:t>1</m:t>
                </m:r>
              </m:e>
            </m:d>
            <m:r>
              <m:t> </m:t>
            </m:r>
            <m:r>
              <m:rPr>
                <m:sty m:val="p"/>
              </m:rPr>
              <m:t>mod</m:t>
            </m:r>
            <m:r>
              <m:t> </m:t>
            </m:r>
            <m:sSup>
              <m:e>
                <m:r>
                  <m:t>2</m:t>
                </m:r>
              </m:e>
              <m:sup>
                <m:r>
                  <m:t>n</m:t>
                </m:r>
              </m:sup>
            </m:sSup>
          </m:e>
        </m:d>
      </m:oMath>
      <w:r>
        <w:t xml:space="preserve">, length</w:t>
      </w:r>
      <w:r>
        <w:t xml:space="preserve"> </w:t>
      </w:r>
      <m:oMath>
        <m:r>
          <m:t>2</m:t>
        </m:r>
        <m:r>
          <m:t>n</m:t>
        </m:r>
        <m:r>
          <m:rPr>
            <m:sty m:val="p"/>
          </m:rPr>
          <m:t>+</m:t>
        </m:r>
        <m:r>
          <m:t>1</m:t>
        </m:r>
      </m:oMath>
      <w:r>
        <w:t xml:space="preserve">, with</w:t>
      </w:r>
      <w:r>
        <w:t xml:space="preserve"> </w:t>
      </w:r>
      <m:oMath>
        <m:r>
          <m:t>x</m:t>
        </m:r>
      </m:oMath>
      <w:r>
        <w:t xml:space="preserve"> </w:t>
      </w:r>
      <w:r>
        <w:t xml:space="preserve">the state being sampled under</w:t>
      </w:r>
      <w:r>
        <w:t xml:space="preserve"> </w:t>
      </w:r>
      <m:oMath>
        <m:sSub>
          <m:e>
            <m:r>
              <m:t>P</m:t>
            </m:r>
          </m:e>
          <m:sub>
            <m:r>
              <m:t>α</m:t>
            </m:r>
          </m:sub>
        </m:sSub>
      </m:oMath>
      <w:r>
        <w:t xml:space="preserve">; the loss is masked to only the</w:t>
      </w:r>
      <w:r>
        <w:t xml:space="preserve"> </w:t>
      </w:r>
      <m:oMath>
        <m:r>
          <m:t>n</m:t>
        </m:r>
      </m:oMath>
      <w:r>
        <w:t xml:space="preserve"> </w:t>
      </w:r>
      <w:r>
        <w:t xml:space="preserve">target-bit positions after #, so the model is never asked to predict</w:t>
      </w:r>
      <w:r>
        <w:t xml:space="preserve"> </w:t>
      </w:r>
      <m:oMath>
        <m:r>
          <m:t>x</m:t>
        </m:r>
      </m:oMath>
      <w:r>
        <w:t xml:space="preserve"> </w:t>
      </w:r>
      <w:r>
        <w:t xml:space="preserve">itself, only the ripple-carry successor. Big-endian order within each</w:t>
      </w:r>
      <w:r>
        <w:t xml:space="preserve"> </w:t>
      </w:r>
      <m:oMath>
        <m:r>
          <m:t>n</m:t>
        </m:r>
      </m:oMath>
      <w:r>
        <w:t xml:space="preserve">-bit half is essential: it makes carry propagation non-local, requiring the model to resolve a low-bit carry before emitting a high-order bit that appears earlier in its own</w:t>
      </w:r>
      <w:r>
        <w:t xml:space="preserve"> </w:t>
      </w:r>
      <m:oMath>
        <m:r>
          <m:t>n</m:t>
        </m:r>
      </m:oMath>
      <w:r>
        <w:t xml:space="preserve">-bit target, which is what creates a genuine grokking delay rather than a trivial two-state transduction. We use a causal decoder-only Transformer</w:t>
      </w:r>
      <w:r>
        <w:t xml:space="preserve"> </w:t>
      </w:r>
      <w:r>
        <w:t xml:space="preserve">(Vaswani et al. 2017)</w:t>
      </w:r>
      <w:r>
        <w:t xml:space="preserve"> </w:t>
      </w:r>
      <w:r>
        <w:t xml:space="preserve">with rotary position embeddings</w:t>
      </w:r>
      <w:r>
        <w:t xml:space="preserve"> </w:t>
      </w:r>
      <w:r>
        <w:t xml:space="preserve">(Su et al. 2021)</w:t>
      </w:r>
      <w:r>
        <w:t xml:space="preserve">, 2 layers, 4 heads,</w:t>
      </w:r>
      <w:r>
        <w:t xml:space="preserve"> </w:t>
      </w:r>
      <m:oMath>
        <m:r>
          <m:t>d</m:t>
        </m:r>
        <m:r>
          <m:rPr>
            <m:sty m:val="p"/>
          </m:rPr>
          <m:t>=</m:t>
        </m:r>
        <m:r>
          <m:t>64</m:t>
        </m:r>
      </m:oMath>
      <w:r>
        <w:t xml:space="preserve"> </w:t>
      </w:r>
      <w:r>
        <w:t xml:space="preserve">unless otherwise noted, trained with AdamW</w:t>
      </w:r>
      <w:r>
        <w:t xml:space="preserve"> </w:t>
      </w:r>
      <w:r>
        <w:t xml:space="preserve">(Loshchilov and Hutter 2019)</w:t>
      </w:r>
      <w:r>
        <w:t xml:space="preserve"> </w:t>
      </w:r>
      <w:r>
        <w:t xml:space="preserve">at default</w:t>
      </w:r>
      <w:r>
        <w:t xml:space="preserve"> </w:t>
      </w:r>
      <m:oMath>
        <m:r>
          <m:t>β</m:t>
        </m:r>
        <m:r>
          <m:rPr>
            <m:sty m:val="p"/>
          </m:rPr>
          <m:t>=</m:t>
        </m:r>
        <m:d>
          <m:dPr>
            <m:begChr m:val="("/>
            <m:endChr m:val=")"/>
            <m:sepChr m:val=""/>
            <m:grow/>
          </m:dPr>
          <m:e>
            <m:r>
              <m:t>0.9</m:t>
            </m:r>
            <m:r>
              <m:rPr>
                <m:sty m:val="p"/>
              </m:rPr>
              <m:t>,</m:t>
            </m:r>
            <m:r>
              <m:t>0.999</m:t>
            </m:r>
          </m:e>
        </m:d>
      </m:oMath>
      <w:r>
        <w:t xml:space="preserve"> </w:t>
      </w:r>
      <w:r>
        <w:t xml:space="preserve">with no dropout and no gradient clipping, learning rate</w:t>
      </w:r>
      <w:r>
        <w:t xml:space="preserve"> </w:t>
      </w:r>
      <m:oMath>
        <m:sSup>
          <m:e>
            <m:r>
              <m:t>10</m:t>
            </m:r>
          </m:e>
          <m:sup>
            <m:r>
              <m:rPr>
                <m:sty m:val="p"/>
              </m:rPr>
              <m:t>−</m:t>
            </m:r>
            <m:r>
              <m:t>3</m:t>
            </m:r>
          </m:sup>
        </m:sSup>
      </m:oMath>
      <w:r>
        <w:t xml:space="preserve"> </w:t>
      </w:r>
      <w:r>
        <w:t xml:space="preserve">with a cosine-annealed schedule over the full step budget, batch size 128, and a</w:t>
      </w:r>
      <w:r>
        <w:t xml:space="preserve"> </w:t>
      </w:r>
      <m:oMath>
        <m:r>
          <m:t>10</m:t>
        </m:r>
        <m:r>
          <m:rPr>
            <m:sty m:val="p"/>
          </m:rPr>
          <m:t>×</m:t>
        </m:r>
      </m:oMath>
      <w:r>
        <w:t xml:space="preserve"> </w:t>
      </w:r>
      <w:r>
        <w:t xml:space="preserve">multiplicative rescaling of every</w:t>
      </w:r>
      <w:r>
        <w:t xml:space="preserve"> </w:t>
      </w:r>
      <w:r>
        <w:rPr>
          <w:rStyle w:val="VerbatimChar"/>
        </w:rPr>
        <w:t xml:space="preserve">nn.Linear</w:t>
      </w:r>
      <w:r>
        <w:t xml:space="preserve"> </w:t>
      </w:r>
      <w:r>
        <w:t xml:space="preserve">weight and bias after PyTorch’s default initialization; this rescaling is used for LARGECOUNTER and Dyck-1, while modular addition (§</w:t>
      </w:r>
      <w:hyperlink w:anchor="sec:results-modadd">
        <w:r>
          <w:rPr>
            <w:rStyle w:val="Hyperlink"/>
          </w:rPr>
          <w:t xml:space="preserve">4.5</w:t>
        </w:r>
      </w:hyperlink>
      <w:r>
        <w:t xml:space="preserve">) uses the unscaled default. Evaluation is teacher-forced accuracy over the</w:t>
      </w:r>
      <w:r>
        <w:t xml:space="preserve"> </w:t>
      </w:r>
      <m:oMath>
        <m:r>
          <m:t>n</m:t>
        </m:r>
      </m:oMath>
      <w:r>
        <w:t xml:space="preserve"> </w:t>
      </w:r>
      <w:r>
        <w:t xml:space="preserve">target-bit positions per transition, so a transition counts as correct only if every target bit matches, not free-running/sampled decoding;</w:t>
      </w:r>
      <w:r>
        <w:t xml:space="preserve"> </w:t>
      </w:r>
      <m:oMath>
        <m:sSub>
          <m:e>
            <m:r>
              <m:t>A</m:t>
            </m:r>
          </m:e>
          <m:sub>
            <m:r>
              <m:rPr>
                <m:sty m:val="p"/>
              </m:rPr>
              <m:t>u</m:t>
            </m:r>
            <m:r>
              <m:rPr>
                <m:sty m:val="p"/>
              </m:rPr>
              <m:t>n</m:t>
            </m:r>
            <m:r>
              <m:rPr>
                <m:sty m:val="p"/>
              </m:rPr>
              <m:t>i</m:t>
            </m:r>
            <m:r>
              <m:rPr>
                <m:sty m:val="p"/>
              </m:rPr>
              <m:t>f</m:t>
            </m:r>
          </m:sub>
        </m:sSub>
      </m:oMath>
      <w:r>
        <w:t xml:space="preserve"> </w:t>
      </w:r>
      <w:r>
        <w:t xml:space="preserve">and</w:t>
      </w:r>
      <w:r>
        <w:t xml:space="preserve"> </w:t>
      </w:r>
      <m:oMath>
        <m:sSub>
          <m:e>
            <m:r>
              <m:t>A</m:t>
            </m:r>
          </m:e>
          <m:sub>
            <m:r>
              <m:rPr>
                <m:sty m:val="p"/>
              </m:rPr>
              <m:t>h</m:t>
            </m:r>
            <m:r>
              <m:rPr>
                <m:sty m:val="p"/>
              </m:rPr>
              <m:t>i</m:t>
            </m:r>
          </m:sub>
        </m:sSub>
      </m:oMath>
      <w:r>
        <w:t xml:space="preserve"> </w:t>
      </w:r>
      <w:r>
        <w:t xml:space="preserve">average this per-transition accuracy over the</w:t>
      </w:r>
      <w:r>
        <w:t xml:space="preserve"> </w:t>
      </w:r>
      <m:oMath>
        <m:sSup>
          <m:e>
            <m:r>
              <m:t>2</m:t>
            </m:r>
          </m:e>
          <m:sup>
            <m:r>
              <m:t>n</m:t>
            </m:r>
          </m:sup>
        </m:sSup>
      </m:oMath>
      <w:r>
        <w:t xml:space="preserve"> </w:t>
      </w:r>
      <w:r>
        <w:t xml:space="preserve">possible states</w:t>
      </w:r>
      <w:r>
        <w:t xml:space="preserve"> </w:t>
      </w:r>
      <m:oMath>
        <m:r>
          <m:t>x</m:t>
        </m:r>
      </m:oMath>
      <w:r>
        <w:t xml:space="preserve">. We report results at</w:t>
      </w:r>
      <w:r>
        <w:t xml:space="preserve"> </w:t>
      </w:r>
      <m:oMath>
        <m:r>
          <m:t>n</m:t>
        </m:r>
        <m:r>
          <m:rPr>
            <m:sty m:val="p"/>
          </m:rPr>
          <m:t>=</m:t>
        </m:r>
        <m:r>
          <m:t>10</m:t>
        </m:r>
      </m:oMath>
      <w:r>
        <w:t xml:space="preserve"> </w:t>
      </w:r>
      <w:r>
        <w:t xml:space="preserve">(1024 states) as the primary setting, with</w:t>
      </w:r>
      <w:r>
        <w:t xml:space="preserve"> </w:t>
      </w:r>
      <m:oMath>
        <m:r>
          <m:t>n</m:t>
        </m:r>
        <m:r>
          <m:rPr>
            <m:sty m:val="p"/>
          </m:rPr>
          <m:t>=</m:t>
        </m:r>
        <m:r>
          <m:t>12</m:t>
        </m:r>
      </m:oMath>
      <w:r>
        <w:t xml:space="preserve"> </w:t>
      </w:r>
      <w:r>
        <w:t xml:space="preserve">used for an exposure-matched finite-size check.</w:t>
      </w:r>
    </w:p>
    <w:bookmarkEnd w:id="22"/>
    <w:bookmarkStart w:id="23" w:name="skew-protocol"/>
    <w:p>
      <w:pPr>
        <w:pStyle w:val="Heading2"/>
      </w:pPr>
      <w:r>
        <w:rPr>
          <w:rStyle w:val="SectionNumber"/>
        </w:rPr>
        <w:t xml:space="preserve">3.2</w:t>
      </w:r>
      <w:r>
        <w:tab/>
      </w:r>
      <w:r>
        <w:t xml:space="preserve">Skew protocol</w:t>
      </w:r>
    </w:p>
    <w:p>
      <w:pPr>
        <w:pStyle w:val="FirstParagraph"/>
      </w:pPr>
      <w:r>
        <w:t xml:space="preserve">We construct a continuous skew axis via frequency-weighted minibatch sampling: each training example is drawn with replacement according to</w:t>
      </w:r>
      <w:r>
        <w:t xml:space="preserve"> </w:t>
      </w:r>
      <m:oMath>
        <m:sSub>
          <m:e>
            <m:r>
              <m:t>P</m:t>
            </m:r>
          </m:e>
          <m:sub>
            <m:r>
              <m:t>α</m:t>
            </m:r>
          </m:sub>
        </m:sSub>
        <m:d>
          <m:dPr>
            <m:begChr m:val="("/>
            <m:endChr m:val=")"/>
            <m:sepChr m:val=""/>
            <m:grow/>
          </m:dPr>
          <m:e>
            <m:r>
              <m:t>x</m:t>
            </m:r>
          </m:e>
        </m:d>
        <m:r>
          <m:rPr>
            <m:sty m:val="p"/>
          </m:rPr>
          <m:t>∝</m:t>
        </m:r>
        <m:sSup>
          <m:e>
            <m:d>
              <m:dPr>
                <m:begChr m:val="("/>
                <m:endChr m:val=")"/>
                <m:sepChr m:val=""/>
                <m:grow/>
              </m:dPr>
              <m:e>
                <m:r>
                  <m:t>x</m:t>
                </m:r>
                <m:r>
                  <m:rPr>
                    <m:sty m:val="p"/>
                  </m:rPr>
                  <m:t>+</m:t>
                </m:r>
                <m:r>
                  <m:t>1</m:t>
                </m:r>
              </m:e>
            </m:d>
          </m:e>
          <m:sup>
            <m:r>
              <m:rPr>
                <m:sty m:val="p"/>
              </m:rPr>
              <m:t>−</m:t>
            </m:r>
            <m:r>
              <m:t>α</m:t>
            </m:r>
          </m:sup>
        </m:sSup>
      </m:oMath>
      <w:r>
        <w:t xml:space="preserve">, so</w:t>
      </w:r>
      <w:r>
        <w:t xml:space="preserve"> </w:t>
      </w:r>
      <m:oMath>
        <m:r>
          <m:t>α</m:t>
        </m:r>
        <m:r>
          <m:rPr>
            <m:sty m:val="p"/>
          </m:rPr>
          <m:t>=</m:t>
        </m:r>
        <m:r>
          <m:t>0</m:t>
        </m:r>
      </m:oMath>
      <w:r>
        <w:t xml:space="preserve"> </w:t>
      </w:r>
      <w:r>
        <w:t xml:space="preserve">is uniform and larger</w:t>
      </w:r>
      <w:r>
        <w:t xml:space="preserve"> </w:t>
      </w:r>
      <m:oMath>
        <m:r>
          <m:t>α</m:t>
        </m:r>
      </m:oMath>
      <w:r>
        <w:t xml:space="preserve"> </w:t>
      </w:r>
      <w:r>
        <w:t xml:space="preserve">concentrates training mass on small-</w:t>
      </w:r>
      <m:oMath>
        <m:r>
          <m:t>x</m:t>
        </m:r>
      </m:oMath>
      <w:r>
        <w:t xml:space="preserve"> </w:t>
      </w:r>
      <w:r>
        <w:t xml:space="preserve">states. Frequency weighting, rather than subset selection at a fixed skewed ratio, is necessary here: under a no-replacement fixed-fraction subset-selection protocol, the trailing-ones (carry-chain) composition of the resulting training set is empirically flat in</w:t>
      </w:r>
      <w:r>
        <w:t xml:space="preserve"> </w:t>
      </w:r>
      <m:oMath>
        <m:r>
          <m:t>α</m:t>
        </m:r>
      </m:oMath>
      <w:r>
        <w:t xml:space="preserve">, because a contiguous low-</w:t>
      </w:r>
      <m:oMath>
        <m:r>
          <m:t>x</m:t>
        </m:r>
      </m:oMath>
      <w:r>
        <w:t xml:space="preserve"> </w:t>
      </w:r>
      <w:r>
        <w:t xml:space="preserve">block has the same trailing-ones distribution as the full state space. The rarity-vs-frequency mechanism we study exists only under the frequency-weighted protocol.</w:t>
      </w:r>
    </w:p>
    <w:bookmarkEnd w:id="23"/>
    <w:bookmarkStart w:id="24" w:name="verdict-rule"/>
    <w:p>
      <w:pPr>
        <w:pStyle w:val="Heading2"/>
      </w:pPr>
      <w:r>
        <w:rPr>
          <w:rStyle w:val="SectionNumber"/>
        </w:rPr>
        <w:t xml:space="preserve">3.3</w:t>
      </w:r>
      <w:r>
        <w:tab/>
      </w:r>
      <w:r>
        <w:t xml:space="preserve">Verdict rule</w:t>
      </w:r>
    </w:p>
    <w:p>
      <w:pPr>
        <w:pStyle w:val="FirstParagraph"/>
      </w:pPr>
      <w:r>
        <w:t xml:space="preserve">We classify every trained model by two population-level accuracies:</w:t>
      </w:r>
      <w:r>
        <w:t xml:space="preserve"> </w:t>
      </w:r>
      <m:oMath>
        <m:sSub>
          <m:e>
            <m:r>
              <m:t>A</m:t>
            </m:r>
          </m:e>
          <m:sub>
            <m:r>
              <m:rPr>
                <m:sty m:val="p"/>
              </m:rPr>
              <m:t>u</m:t>
            </m:r>
            <m:r>
              <m:rPr>
                <m:sty m:val="p"/>
              </m:rPr>
              <m:t>n</m:t>
            </m:r>
            <m:r>
              <m:rPr>
                <m:sty m:val="p"/>
              </m:rPr>
              <m:t>i</m:t>
            </m:r>
            <m:r>
              <m:rPr>
                <m:sty m:val="p"/>
              </m:rPr>
              <m:t>f</m:t>
            </m:r>
          </m:sub>
        </m:sSub>
      </m:oMath>
      <w:r>
        <w:t xml:space="preserve">, whole-sequence accuracy averaged uniformly over the full state space, and</w:t>
      </w:r>
      <w:r>
        <w:t xml:space="preserve"> </w:t>
      </w:r>
      <m:oMath>
        <m:sSub>
          <m:e>
            <m:r>
              <m:t>A</m:t>
            </m:r>
          </m:e>
          <m:sub>
            <m:r>
              <m:rPr>
                <m:sty m:val="p"/>
              </m:rPr>
              <m:t>h</m:t>
            </m:r>
            <m:r>
              <m:rPr>
                <m:sty m:val="p"/>
              </m:rPr>
              <m:t>i</m:t>
            </m:r>
          </m:sub>
        </m:sSub>
      </m:oMath>
      <w:r>
        <w:t xml:space="preserve">, the same accuracy restricted to the highest-weight decile under</w:t>
      </w:r>
      <w:r>
        <w:t xml:space="preserve"> </w:t>
      </w:r>
      <m:oMath>
        <m:sSub>
          <m:e>
            <m:r>
              <m:t>P</m:t>
            </m:r>
          </m:e>
          <m:sub>
            <m:r>
              <m:t>α</m:t>
            </m:r>
          </m:sub>
        </m:sSub>
      </m:oMath>
      <w:r>
        <w:t xml:space="preserve">. A run is</w:t>
      </w:r>
      <w:r>
        <w:t xml:space="preserve"> </w:t>
      </w:r>
      <w:r>
        <w:rPr>
          <w:smallCaps/>
        </w:rPr>
        <w:t xml:space="preserve">Grok</w:t>
      </w:r>
      <w:r>
        <w:t xml:space="preserve"> </w:t>
      </w:r>
      <w:r>
        <w:t xml:space="preserve">if</w:t>
      </w:r>
      <w:r>
        <w:t xml:space="preserve"> </w:t>
      </w:r>
      <m:oMath>
        <m:sSub>
          <m:e>
            <m:r>
              <m:t>A</m:t>
            </m:r>
          </m:e>
          <m:sub>
            <m:r>
              <m:rPr>
                <m:sty m:val="p"/>
              </m:rPr>
              <m:t>u</m:t>
            </m:r>
            <m:r>
              <m:rPr>
                <m:sty m:val="p"/>
              </m:rPr>
              <m:t>n</m:t>
            </m:r>
            <m:r>
              <m:rPr>
                <m:sty m:val="p"/>
              </m:rPr>
              <m:t>i</m:t>
            </m:r>
            <m:r>
              <m:rPr>
                <m:sty m:val="p"/>
              </m:rPr>
              <m:t>f</m:t>
            </m:r>
          </m:sub>
        </m:sSub>
        <m:r>
          <m:rPr>
            <m:sty m:val="p"/>
          </m:rPr>
          <m:t>&gt;</m:t>
        </m:r>
        <m:r>
          <m:t>0.9</m:t>
        </m:r>
      </m:oMath>
      <w:r>
        <w:t xml:space="preserve">;</w:t>
      </w:r>
      <w:r>
        <w:t xml:space="preserve"> </w:t>
      </w:r>
      <w:r>
        <w:rPr>
          <w:smallCaps/>
        </w:rPr>
        <w:t xml:space="preserve">Trap</w:t>
      </w:r>
      <w:r>
        <w:t xml:space="preserve"> </w:t>
      </w:r>
      <w:r>
        <w:t xml:space="preserve">if</w:t>
      </w:r>
      <w:r>
        <w:t xml:space="preserve"> </w:t>
      </w:r>
      <m:oMath>
        <m:sSub>
          <m:e>
            <m:r>
              <m:t>A</m:t>
            </m:r>
          </m:e>
          <m:sub>
            <m:r>
              <m:rPr>
                <m:sty m:val="p"/>
              </m:rPr>
              <m:t>h</m:t>
            </m:r>
            <m:r>
              <m:rPr>
                <m:sty m:val="p"/>
              </m:rPr>
              <m:t>i</m:t>
            </m:r>
          </m:sub>
        </m:sSub>
        <m:r>
          <m:rPr>
            <m:sty m:val="p"/>
          </m:rPr>
          <m:t>&gt;</m:t>
        </m:r>
        <m:r>
          <m:t>0.9</m:t>
        </m:r>
      </m:oMath>
      <w:r>
        <w:t xml:space="preserve"> </w:t>
      </w:r>
      <w:r>
        <w:t xml:space="preserve">and</w:t>
      </w:r>
      <w:r>
        <w:t xml:space="preserve"> </w:t>
      </w:r>
      <m:oMath>
        <m:sSub>
          <m:e>
            <m:r>
              <m:t>A</m:t>
            </m:r>
          </m:e>
          <m:sub>
            <m:r>
              <m:rPr>
                <m:sty m:val="p"/>
              </m:rPr>
              <m:t>u</m:t>
            </m:r>
            <m:r>
              <m:rPr>
                <m:sty m:val="p"/>
              </m:rPr>
              <m:t>n</m:t>
            </m:r>
            <m:r>
              <m:rPr>
                <m:sty m:val="p"/>
              </m:rPr>
              <m:t>i</m:t>
            </m:r>
            <m:r>
              <m:rPr>
                <m:sty m:val="p"/>
              </m:rPr>
              <m:t>f</m:t>
            </m:r>
          </m:sub>
        </m:sSub>
        <m:r>
          <m:rPr>
            <m:sty m:val="p"/>
          </m:rPr>
          <m:t>&lt;</m:t>
        </m:r>
        <m:r>
          <m:t>0.5</m:t>
        </m:r>
      </m:oMath>
      <w:r>
        <w:t xml:space="preserve">;</w:t>
      </w:r>
      <w:r>
        <w:t xml:space="preserve"> </w:t>
      </w:r>
      <w:r>
        <w:rPr>
          <w:smallCaps/>
        </w:rPr>
        <w:t xml:space="preserve">Crush</w:t>
      </w:r>
      <w:r>
        <w:t xml:space="preserve"> </w:t>
      </w:r>
      <w:r>
        <w:t xml:space="preserve">if</w:t>
      </w:r>
      <w:r>
        <w:t xml:space="preserve"> </w:t>
      </w:r>
      <m:oMath>
        <m:sSub>
          <m:e>
            <m:r>
              <m:t>A</m:t>
            </m:r>
          </m:e>
          <m:sub>
            <m:r>
              <m:rPr>
                <m:sty m:val="p"/>
              </m:rPr>
              <m:t>h</m:t>
            </m:r>
            <m:r>
              <m:rPr>
                <m:sty m:val="p"/>
              </m:rPr>
              <m:t>i</m:t>
            </m:r>
          </m:sub>
        </m:sSub>
        <m:r>
          <m:rPr>
            <m:sty m:val="p"/>
          </m:rPr>
          <m:t>&lt;</m:t>
        </m:r>
        <m:r>
          <m:t>0.9</m:t>
        </m:r>
      </m:oMath>
      <w:r>
        <w:t xml:space="preserve"> </w:t>
      </w:r>
      <w:r>
        <w:t xml:space="preserve">and</w:t>
      </w:r>
      <w:r>
        <w:t xml:space="preserve"> </w:t>
      </w:r>
      <m:oMath>
        <m:sSub>
          <m:e>
            <m:r>
              <m:t>A</m:t>
            </m:r>
          </m:e>
          <m:sub>
            <m:r>
              <m:rPr>
                <m:sty m:val="p"/>
              </m:rPr>
              <m:t>u</m:t>
            </m:r>
            <m:r>
              <m:rPr>
                <m:sty m:val="p"/>
              </m:rPr>
              <m:t>n</m:t>
            </m:r>
            <m:r>
              <m:rPr>
                <m:sty m:val="p"/>
              </m:rPr>
              <m:t>i</m:t>
            </m:r>
            <m:r>
              <m:rPr>
                <m:sty m:val="p"/>
              </m:rPr>
              <m:t>f</m:t>
            </m:r>
          </m:sub>
        </m:sSub>
        <m:r>
          <m:rPr>
            <m:sty m:val="p"/>
          </m:rPr>
          <m:t>&lt;</m:t>
        </m:r>
        <m:r>
          <m:t>0.5</m:t>
        </m:r>
      </m:oMath>
      <w:r>
        <w:t xml:space="preserve">; and</w:t>
      </w:r>
      <w:r>
        <w:t xml:space="preserve"> </w:t>
      </w:r>
      <w:r>
        <w:rPr>
          <w:smallCaps/>
        </w:rPr>
        <w:t xml:space="preserve">Partial</w:t>
      </w:r>
      <w:r>
        <w:t xml:space="preserve"> </w:t>
      </w:r>
      <w:r>
        <w:t xml:space="preserve">otherwise. This rule is frozen prior to the experiments reported here and used unchanged throughout. Moving the</w:t>
      </w:r>
      <w:r>
        <w:t xml:space="preserve"> </w:t>
      </w:r>
      <m:oMath>
        <m:sSub>
          <m:e>
            <m:r>
              <m:t>A</m:t>
            </m:r>
          </m:e>
          <m:sub>
            <m:r>
              <m:rPr>
                <m:sty m:val="p"/>
              </m:rPr>
              <m:t>u</m:t>
            </m:r>
            <m:r>
              <m:rPr>
                <m:sty m:val="p"/>
              </m:rPr>
              <m:t>n</m:t>
            </m:r>
            <m:r>
              <m:rPr>
                <m:sty m:val="p"/>
              </m:rPr>
              <m:t>i</m:t>
            </m:r>
            <m:r>
              <m:rPr>
                <m:sty m:val="p"/>
              </m:rPr>
              <m:t>f</m:t>
            </m:r>
          </m:sub>
        </m:sSub>
      </m:oMath>
      <w:r>
        <w:t xml:space="preserve"> </w:t>
      </w:r>
      <w:r>
        <w:t xml:space="preserve">cutoff to</w:t>
      </w:r>
      <w:r>
        <w:t xml:space="preserve"> </w:t>
      </w:r>
      <m:oMath>
        <m:r>
          <m:t>0.85</m:t>
        </m:r>
      </m:oMath>
      <w:r>
        <w:t xml:space="preserve"> </w:t>
      </w:r>
      <w:r>
        <w:t xml:space="preserve">or</w:t>
      </w:r>
      <w:r>
        <w:t xml:space="preserve"> </w:t>
      </w:r>
      <m:oMath>
        <m:r>
          <m:t>0.95</m:t>
        </m:r>
      </m:oMath>
      <w:r>
        <w:t xml:space="preserve"> </w:t>
      </w:r>
      <w:r>
        <w:t xml:space="preserve">shifts the overall grok fraction on the main grid by at most</w:t>
      </w:r>
      <w:r>
        <w:t xml:space="preserve"> </w:t>
      </w:r>
      <m:oMath>
        <m:r>
          <m:t>6</m:t>
        </m:r>
      </m:oMath>
      <w:r>
        <w:t xml:space="preserve"> </w:t>
      </w:r>
      <w:r>
        <w:t xml:space="preserve">percentage points (</w:t>
      </w:r>
      <m:oMath>
        <m:r>
          <m:t>0.516</m:t>
        </m:r>
      </m:oMath>
      <w:r>
        <w:t xml:space="preserve">/</w:t>
      </w:r>
      <m:oMath>
        <m:r>
          <m:t>0.508</m:t>
        </m:r>
      </m:oMath>
      <w:r>
        <w:t xml:space="preserve">/</w:t>
      </w:r>
      <m:oMath>
        <m:r>
          <m:t>0.452</m:t>
        </m:r>
      </m:oMath>
      <w:r>
        <w:t xml:space="preserve"> </w:t>
      </w:r>
      <w:r>
        <w:t xml:space="preserve">at cutoffs</w:t>
      </w:r>
      <w:r>
        <w:t xml:space="preserve"> </w:t>
      </w:r>
      <m:oMath>
        <m:r>
          <m:t>0.85</m:t>
        </m:r>
      </m:oMath>
      <w:r>
        <w:t xml:space="preserve">/</w:t>
      </w:r>
      <m:oMath>
        <m:r>
          <m:t>0.9</m:t>
        </m:r>
      </m:oMath>
      <w:r>
        <w:t xml:space="preserve">/</w:t>
      </w:r>
      <m:oMath>
        <m:r>
          <m:t>0.95</m:t>
        </m:r>
      </m:oMath>
      <w:r>
        <w:t xml:space="preserve">) and the</w:t>
      </w:r>
      <w:r>
        <w:t xml:space="preserve"> </w:t>
      </w:r>
      <m:oMath>
        <m:r>
          <m:t>α</m:t>
        </m:r>
        <m:r>
          <m:rPr>
            <m:sty m:val="p"/>
          </m:rPr>
          <m:t>=</m:t>
        </m:r>
        <m:r>
          <m:t>2.5</m:t>
        </m:r>
      </m:oMath>
      <w:r>
        <w:t xml:space="preserve"> </w:t>
      </w:r>
      <w:r>
        <w:t xml:space="preserve">ceiling by less than</w:t>
      </w:r>
      <w:r>
        <w:t xml:space="preserve"> </w:t>
      </w:r>
      <m:oMath>
        <m:r>
          <m:t>0.04</m:t>
        </m:r>
      </m:oMath>
      <w:r>
        <w:t xml:space="preserve">, so the qualitative topology is not an artifact of the particular threshold.</w:t>
      </w:r>
    </w:p>
    <w:bookmarkEnd w:id="24"/>
    <w:bookmarkStart w:id="25" w:name="exposure-matching-protocol"/>
    <w:p>
      <w:pPr>
        <w:pStyle w:val="Heading2"/>
      </w:pPr>
      <w:r>
        <w:rPr>
          <w:rStyle w:val="SectionNumber"/>
        </w:rPr>
        <w:t xml:space="preserve">3.4</w:t>
      </w:r>
      <w:r>
        <w:tab/>
      </w:r>
      <w:r>
        <w:t xml:space="preserve">Exposure-matching protocol</w:t>
      </w:r>
    </w:p>
    <w:p>
      <w:pPr>
        <w:pStyle w:val="FirstParagraph"/>
      </w:pPr>
      <w:r>
        <w:t xml:space="preserve">Comparing training outcomes across problem sizes</w:t>
      </w:r>
      <w:r>
        <w:t xml:space="preserve"> </w:t>
      </w:r>
      <m:oMath>
        <m:r>
          <m:t>n</m:t>
        </m:r>
      </m:oMath>
      <w:r>
        <w:t xml:space="preserve"> </w:t>
      </w:r>
      <w:r>
        <w:t xml:space="preserve">requires care: doubling the state space at a fixed step budget halves the average number of times each state is visited, so an apparent boundary shift with</w:t>
      </w:r>
      <w:r>
        <w:t xml:space="preserve"> </w:t>
      </w:r>
      <m:oMath>
        <m:r>
          <m:t>n</m:t>
        </m:r>
      </m:oMath>
      <w:r>
        <w:t xml:space="preserve"> </w:t>
      </w:r>
      <w:r>
        <w:t xml:space="preserve">can reflect this exposure change rather than a change in the underlying failure structure. We therefore scale the step budget with</w:t>
      </w:r>
      <w:r>
        <w:t xml:space="preserve"> </w:t>
      </w:r>
      <m:oMath>
        <m:r>
          <m:t>n</m:t>
        </m:r>
      </m:oMath>
      <w:r>
        <w:t xml:space="preserve"> </w:t>
      </w:r>
      <w:r>
        <w:t xml:space="preserve">(specifically</w:t>
      </w:r>
      <w:r>
        <w:t xml:space="preserve"> </w:t>
      </w:r>
      <m:oMath>
        <m:sSup>
          <m:e>
            <m:r>
              <m:t>2</m:t>
            </m:r>
          </m:e>
          <m:sup>
            <m:r>
              <m:t>n</m:t>
            </m:r>
          </m:sup>
        </m:sSup>
      </m:oMath>
      <w:r>
        <w:t xml:space="preserve">) whenever comparing across problem sizes, and report both exposure-matched and unmatched comparisons where relevant.</w:t>
      </w:r>
    </w:p>
    <w:bookmarkEnd w:id="25"/>
    <w:bookmarkStart w:id="26" w:name="second-and-third-tasks"/>
    <w:p>
      <w:pPr>
        <w:pStyle w:val="Heading2"/>
      </w:pPr>
      <w:r>
        <w:rPr>
          <w:rStyle w:val="SectionNumber"/>
        </w:rPr>
        <w:t xml:space="preserve">3.5</w:t>
      </w:r>
      <w:r>
        <w:tab/>
      </w:r>
      <w:r>
        <w:t xml:space="preserve">Second and third tasks</w:t>
      </w:r>
    </w:p>
    <w:p>
      <w:pPr>
        <w:pStyle w:val="FirstParagraph"/>
      </w:pPr>
      <w:r>
        <w:t xml:space="preserve">For modular addition, each example is the length-4 sequence</w:t>
      </w:r>
      <w:r>
        <w:t xml:space="preserve"> </w:t>
      </w:r>
      <m:oMath>
        <m:d>
          <m:dPr>
            <m:begChr m:val="["/>
            <m:endChr m:val="]"/>
            <m:sepChr m:val=""/>
            <m:grow/>
          </m:dPr>
          <m:e>
            <m:r>
              <m:t>a</m:t>
            </m:r>
            <m:r>
              <m:rPr>
                <m:sty m:val="p"/>
              </m:rPr>
              <m:t>,</m:t>
            </m:r>
            <m:r>
              <m:t>b</m:t>
            </m:r>
            <m:r>
              <m:rPr>
                <m:sty m:val="p"/>
              </m:rPr>
              <m:t>,</m:t>
            </m:r>
            <m:r>
              <m:rPr>
                <m:sty m:val="p"/>
              </m:rPr>
              <m:t>S</m:t>
            </m:r>
            <m:r>
              <m:rPr>
                <m:sty m:val="p"/>
              </m:rPr>
              <m:t>E</m:t>
            </m:r>
            <m:r>
              <m:rPr>
                <m:sty m:val="p"/>
              </m:rPr>
              <m:t>P</m:t>
            </m:r>
            <m:r>
              <m:rPr>
                <m:sty m:val="p"/>
              </m:rPr>
              <m:t>,</m:t>
            </m:r>
            <m:d>
              <m:dPr>
                <m:begChr m:val="("/>
                <m:endChr m:val=")"/>
                <m:sepChr m:val=""/>
                <m:grow/>
              </m:dPr>
              <m:e>
                <m:r>
                  <m:t>a</m:t>
                </m:r>
                <m:r>
                  <m:rPr>
                    <m:sty m:val="p"/>
                  </m:rPr>
                  <m:t>+</m:t>
                </m:r>
                <m:r>
                  <m:t>b</m:t>
                </m:r>
              </m:e>
            </m:d>
            <m:r>
              <m:t> </m:t>
            </m:r>
            <m:r>
              <m:rPr>
                <m:sty m:val="p"/>
              </m:rPr>
              <m:t>mod</m:t>
            </m:r>
            <m:r>
              <m:t> </m:t>
            </m:r>
            <m:r>
              <m:t>p</m:t>
            </m:r>
          </m:e>
        </m:d>
      </m:oMath>
      <w:r>
        <w:t xml:space="preserve">, vocabulary</w:t>
      </w:r>
      <w:r>
        <w:t xml:space="preserve"> </w:t>
      </w:r>
      <m:oMath>
        <m:r>
          <m:t>p</m:t>
        </m:r>
        <m:r>
          <m:rPr>
            <m:sty m:val="p"/>
          </m:rPr>
          <m:t>+</m:t>
        </m:r>
        <m:r>
          <m:t>1</m:t>
        </m:r>
      </m:oMath>
      <w:r>
        <w:t xml:space="preserve"> </w:t>
      </w:r>
      <w:r>
        <w:t xml:space="preserve">over</w:t>
      </w:r>
      <w:r>
        <w:t xml:space="preserve"> </w:t>
      </w:r>
      <m:oMath>
        <m:sSub>
          <m:e>
            <m:r>
              <m:rPr>
                <m:sty m:val="p"/>
                <m:scr m:val="double-struck"/>
              </m:rPr>
              <m:t>Z</m:t>
            </m:r>
          </m:e>
          <m:sub>
            <m:r>
              <m:t>p</m:t>
            </m:r>
          </m:sub>
        </m:sSub>
        <m:r>
          <m:rPr>
            <m:sty m:val="p"/>
          </m:rPr>
          <m:t>∪</m:t>
        </m:r>
        <m:r>
          <m:rPr>
            <m:sty m:val="p"/>
          </m:rPr>
          <m:t>{</m:t>
        </m:r>
        <m:r>
          <m:rPr>
            <m:sty m:val="p"/>
          </m:rPr>
          <m:t>S</m:t>
        </m:r>
        <m:r>
          <m:rPr>
            <m:sty m:val="p"/>
          </m:rPr>
          <m:t>E</m:t>
        </m:r>
        <m:r>
          <m:rPr>
            <m:sty m:val="p"/>
          </m:rPr>
          <m:t>P</m:t>
        </m:r>
        <m:r>
          <m:rPr>
            <m:sty m:val="p"/>
          </m:rPr>
          <m:t>}</m:t>
        </m:r>
      </m:oMath>
      <w:r>
        <w:t xml:space="preserve"> </w:t>
      </w:r>
      <w:r>
        <w:t xml:space="preserve">with</w:t>
      </w:r>
      <w:r>
        <w:t xml:space="preserve"> </w:t>
      </w:r>
      <m:oMath>
        <m:r>
          <m:t>p</m:t>
        </m:r>
        <m:r>
          <m:rPr>
            <m:sty m:val="p"/>
          </m:rPr>
          <m:t>=</m:t>
        </m:r>
        <m:r>
          <m:t>97</m:t>
        </m:r>
      </m:oMath>
      <w:r>
        <w:t xml:space="preserve"> </w:t>
      </w:r>
      <w:r>
        <w:t xml:space="preserve">and SEP token id</w:t>
      </w:r>
      <w:r>
        <w:t xml:space="preserve"> </w:t>
      </w:r>
      <m:oMath>
        <m:r>
          <m:t>p</m:t>
        </m:r>
      </m:oMath>
      <w:r>
        <w:t xml:space="preserve">, with loss and accuracy computed only at the final position, predicting</w:t>
      </w:r>
      <w:r>
        <w:t xml:space="preserve"> </w:t>
      </w:r>
      <m:oMath>
        <m:d>
          <m:dPr>
            <m:begChr m:val="("/>
            <m:endChr m:val=")"/>
            <m:sepChr m:val=""/>
            <m:grow/>
          </m:dPr>
          <m:e>
            <m:r>
              <m:t>a</m:t>
            </m:r>
            <m:r>
              <m:rPr>
                <m:sty m:val="p"/>
              </m:rPr>
              <m:t>+</m:t>
            </m:r>
            <m:r>
              <m:t>b</m:t>
            </m:r>
          </m:e>
        </m:d>
        <m:r>
          <m:t> </m:t>
        </m:r>
        <m:r>
          <m:rPr>
            <m:sty m:val="p"/>
          </m:rPr>
          <m:t>mod</m:t>
        </m:r>
        <m:r>
          <m:t> </m:t>
        </m:r>
        <m:r>
          <m:t>p</m:t>
        </m:r>
      </m:oMath>
      <w:r>
        <w:t xml:space="preserve"> </w:t>
      </w:r>
      <w:r>
        <w:t xml:space="preserve">from</w:t>
      </w:r>
      <w:r>
        <w:t xml:space="preserve"> </w:t>
      </w:r>
      <m:oMath>
        <m:r>
          <m:t>a</m:t>
        </m:r>
        <m:r>
          <m:rPr>
            <m:sty m:val="p"/>
          </m:rPr>
          <m:t>,</m:t>
        </m:r>
        <m:r>
          <m:t>b</m:t>
        </m:r>
        <m:r>
          <m:rPr>
            <m:sty m:val="p"/>
          </m:rPr>
          <m:t>,</m:t>
        </m:r>
        <m:r>
          <m:rPr>
            <m:sty m:val="p"/>
          </m:rPr>
          <m:t>S</m:t>
        </m:r>
        <m:r>
          <m:rPr>
            <m:sty m:val="p"/>
          </m:rPr>
          <m:t>E</m:t>
        </m:r>
        <m:r>
          <m:rPr>
            <m:sty m:val="p"/>
          </m:rPr>
          <m:t>P</m:t>
        </m:r>
      </m:oMath>
      <w:r>
        <w:t xml:space="preserve">; the evaluation population is all</w:t>
      </w:r>
      <w:r>
        <w:t xml:space="preserve"> </w:t>
      </w:r>
      <m:oMath>
        <m:sSup>
          <m:e>
            <m:r>
              <m:t>p</m:t>
            </m:r>
          </m:e>
          <m:sup>
            <m:r>
              <m:t>2</m:t>
            </m:r>
          </m:sup>
        </m:sSup>
      </m:oMath>
      <w:r>
        <w:t xml:space="preserve"> </w:t>
      </w:r>
      <w:r>
        <w:t xml:space="preserve">operand pairs. We skew operand</w:t>
      </w:r>
      <w:r>
        <w:t xml:space="preserve"> </w:t>
      </w:r>
      <m:oMath>
        <m:r>
          <m:t>a</m:t>
        </m:r>
      </m:oMath>
      <w:r>
        <w:t xml:space="preserve"> </w:t>
      </w:r>
      <w:r>
        <w:t xml:space="preserve">under</w:t>
      </w:r>
      <w:r>
        <w:t xml:space="preserve"> </w:t>
      </w:r>
      <m:oMath>
        <m:sSub>
          <m:e>
            <m:r>
              <m:t>P</m:t>
            </m:r>
          </m:e>
          <m:sub>
            <m:r>
              <m:t>α</m:t>
            </m:r>
          </m:sub>
        </m:sSub>
      </m:oMath>
      <w:r>
        <w:t xml:space="preserve"> </w:t>
      </w:r>
      <w:r>
        <w:t xml:space="preserve">while sampling</w:t>
      </w:r>
      <w:r>
        <w:t xml:space="preserve"> </w:t>
      </w:r>
      <m:oMath>
        <m:r>
          <m:t>b</m:t>
        </m:r>
      </m:oMath>
      <w:r>
        <w:t xml:space="preserve"> </w:t>
      </w:r>
      <w:r>
        <w:t xml:space="preserve">uniformly; skewing the combined pair index</w:t>
      </w:r>
      <w:r>
        <w:t xml:space="preserve"> </w:t>
      </w:r>
      <m:oMath>
        <m:r>
          <m:t>a</m:t>
        </m:r>
        <m:r>
          <m:t>p</m:t>
        </m:r>
        <m:r>
          <m:rPr>
            <m:sty m:val="p"/>
          </m:rPr>
          <m:t>+</m:t>
        </m:r>
        <m:r>
          <m:t>b</m:t>
        </m:r>
      </m:oMath>
      <w:r>
        <w:t xml:space="preserve"> </w:t>
      </w:r>
      <w:r>
        <w:t xml:space="preserve">instead concentrates</w:t>
      </w:r>
      <w:r>
        <w:t xml:space="preserve"> </w:t>
      </w:r>
      <m:oMath>
        <m:r>
          <m:t>99.95</m:t>
        </m:r>
        <m:r>
          <m:rPr>
            <m:sty m:val="p"/>
          </m:rPr>
          <m:t>%</m:t>
        </m:r>
      </m:oMath>
      <w:r>
        <w:t xml:space="preserve"> </w:t>
      </w:r>
      <w:r>
        <w:t xml:space="preserve">of probability mass on a single operand value at</w:t>
      </w:r>
      <w:r>
        <w:t xml:space="preserve"> </w:t>
      </w:r>
      <m:oMath>
        <m:r>
          <m:t>α</m:t>
        </m:r>
        <m:r>
          <m:rPr>
            <m:sty m:val="p"/>
          </m:rPr>
          <m:t>=</m:t>
        </m:r>
        <m:r>
          <m:t>2.5</m:t>
        </m:r>
      </m:oMath>
      <w:r>
        <w:t xml:space="preserve"> </w:t>
      </w:r>
      <w:r>
        <w:t xml:space="preserve">and collapses the task, so we skew a single operand. The targeted injection pools are defined analogously to the counting task’s carry-length pools:</w:t>
      </w:r>
      <w:r>
        <w:t xml:space="preserve"> </w:t>
      </w:r>
      <w:r>
        <w:t xml:space="preserve">“</w:t>
      </w:r>
      <w:r>
        <w:t xml:space="preserve">tail</w:t>
      </w:r>
      <w:r>
        <w:t xml:space="preserve">”</w:t>
      </w:r>
      <w:r>
        <w:t xml:space="preserve"> </w:t>
      </w:r>
      <w:r>
        <w:t xml:space="preserve">is the rarest decile of</w:t>
      </w:r>
      <w:r>
        <w:t xml:space="preserve"> </w:t>
      </w:r>
      <m:oMath>
        <m:r>
          <m:t>a</m:t>
        </m:r>
      </m:oMath>
      <w:r>
        <w:t xml:space="preserve">-values, matching the direction the skew starves toward large</w:t>
      </w:r>
      <w:r>
        <w:t xml:space="preserve"> </w:t>
      </w:r>
      <m:oMath>
        <m:r>
          <m:t>a</m:t>
        </m:r>
      </m:oMath>
      <w:r>
        <w:t xml:space="preserve">;</w:t>
      </w:r>
      <w:r>
        <w:t xml:space="preserve"> </w:t>
      </w:r>
      <w:r>
        <w:t xml:space="preserve">“</w:t>
      </w:r>
      <w:r>
        <w:t xml:space="preserve">head</w:t>
      </w:r>
      <w:r>
        <w:t xml:space="preserve">”</w:t>
      </w:r>
      <w:r>
        <w:t xml:space="preserve"> </w:t>
      </w:r>
      <w:r>
        <w:t xml:space="preserve">is the most frequent decile, small</w:t>
      </w:r>
      <w:r>
        <w:t xml:space="preserve"> </w:t>
      </w:r>
      <m:oMath>
        <m:r>
          <m:t>a</m:t>
        </m:r>
      </m:oMath>
      <w:r>
        <w:t xml:space="preserve">. The model, optimizer, batch size, and evaluation convention match §3.1; only the initialization scale differs,</w:t>
      </w:r>
      <w:r>
        <w:t xml:space="preserve"> </w:t>
      </w:r>
      <m:oMath>
        <m:r>
          <m:t>n</m:t>
        </m:r>
        <m:r>
          <m:rPr>
            <m:sty m:val="p"/>
          </m:rPr>
          <m:t>=</m:t>
        </m:r>
        <m:r>
          <m:t>4</m:t>
        </m:r>
      </m:oMath>
      <w:r>
        <w:t xml:space="preserve"> </w:t>
      </w:r>
      <w:r>
        <w:t xml:space="preserve">replaces the counting task’s</w:t>
      </w:r>
      <w:r>
        <w:t xml:space="preserve"> </w:t>
      </w:r>
      <m:oMath>
        <m:r>
          <m:t>n</m:t>
        </m:r>
      </m:oMath>
      <w:r>
        <w:t xml:space="preserve"> </w:t>
      </w:r>
      <w:r>
        <w:t xml:space="preserve">as the task-specific input width, and the step budget is</w:t>
      </w:r>
      <w:r>
        <w:t xml:space="preserve"> </w:t>
      </w:r>
      <m:oMath>
        <m:r>
          <m:t>20</m:t>
        </m:r>
        <m:r>
          <m:rPr>
            <m:sty m:val="p"/>
          </m:rPr>
          <m:t>,</m:t>
        </m:r>
        <m:r>
          <m:t>000</m:t>
        </m:r>
      </m:oMath>
      <w:r>
        <w:t xml:space="preserve">, since the modular-addition failure region resolves at this shorter budget and the formal grid of §</w:t>
      </w:r>
      <w:hyperlink w:anchor="sec:results-modadd">
        <w:r>
          <w:rPr>
            <w:rStyle w:val="Hyperlink"/>
          </w:rPr>
          <w:t xml:space="preserve">4.5</w:t>
        </w:r>
      </w:hyperlink>
      <w:r>
        <w:t xml:space="preserve"> </w:t>
      </w:r>
      <w:r>
        <w:t xml:space="preserve">and Figure </w:t>
      </w:r>
      <w:hyperlink w:anchor="fig:modadd">
        <w:r>
          <w:rPr>
            <w:rStyle w:val="Hyperlink"/>
          </w:rPr>
          <w:t xml:space="preserve">4</w:t>
        </w:r>
      </w:hyperlink>
      <w:r>
        <w:t xml:space="preserve"> </w:t>
      </w:r>
      <w:r>
        <w:t xml:space="preserve">uses it throughout. For our third task, we use sequence length</w:t>
      </w:r>
      <w:r>
        <w:t xml:space="preserve"> </w:t>
      </w:r>
      <m:oMath>
        <m:r>
          <m:t>L</m:t>
        </m:r>
        <m:r>
          <m:rPr>
            <m:sty m:val="p"/>
          </m:rPr>
          <m:t>=</m:t>
        </m:r>
        <m:r>
          <m:t>10</m:t>
        </m:r>
      </m:oMath>
      <w:r>
        <w:t xml:space="preserve">, giving</w:t>
      </w:r>
      <w:r>
        <w:t xml:space="preserve"> </w:t>
      </w:r>
      <m:oMath>
        <m:sSub>
          <m:e>
            <m:r>
              <m:t>C</m:t>
            </m:r>
          </m:e>
          <m:sub>
            <m:r>
              <m:t>10</m:t>
            </m:r>
          </m:sub>
        </m:sSub>
        <m:r>
          <m:rPr>
            <m:sty m:val="p"/>
          </m:rPr>
          <m:t>=</m:t>
        </m:r>
        <m:r>
          <m:t>16</m:t>
        </m:r>
        <m:r>
          <m:rPr>
            <m:sty m:val="p"/>
          </m:rPr>
          <m:t>,</m:t>
        </m:r>
        <m:r>
          <m:t>796</m:t>
        </m:r>
      </m:oMath>
      <w:r>
        <w:t xml:space="preserve"> </w:t>
      </w:r>
      <w:r>
        <w:t xml:space="preserve">valid Dyck-1 paths of 10 pairs and 20 bracket tokens, the same model/optimizer/batch-size/evaluation convention as §3.1 with a</w:t>
      </w:r>
      <w:r>
        <w:t xml:space="preserve"> </w:t>
      </w:r>
      <m:oMath>
        <m:r>
          <m:t>60</m:t>
        </m:r>
        <m:r>
          <m:rPr>
            <m:sty m:val="p"/>
          </m:rPr>
          <m:t>,</m:t>
        </m:r>
        <m:r>
          <m:t>000</m:t>
        </m:r>
      </m:oMath>
      <w:r>
        <w:t xml:space="preserve">-step budget matching LARGECOUNTER’s primary budget—§</w:t>
      </w:r>
      <w:hyperlink w:anchor="sec:results-dyck">
        <w:r>
          <w:rPr>
            <w:rStyle w:val="Hyperlink"/>
          </w:rPr>
          <w:t xml:space="preserve">4.6</w:t>
        </w:r>
      </w:hyperlink>
      <w:r>
        <w:t xml:space="preserve">’s trajectory comparison additionally uses</w:t>
      </w:r>
      <w:r>
        <w:t xml:space="preserve"> </w:t>
      </w:r>
      <m:oMath>
        <m:r>
          <m:t>240</m:t>
        </m:r>
        <m:r>
          <m:rPr>
            <m:sty m:val="p"/>
          </m:rPr>
          <m:t>,</m:t>
        </m:r>
        <m:r>
          <m:t>000</m:t>
        </m:r>
      </m:oMath>
      <w:r>
        <w:t xml:space="preserve"> </w:t>
      </w:r>
      <w:r>
        <w:t xml:space="preserve">steps—and pose</w:t>
      </w:r>
      <w:r>
        <w:t xml:space="preserve"> </w:t>
      </w:r>
      <w:r>
        <w:rPr>
          <w:iCs/>
          <w:i/>
        </w:rPr>
        <w:t xml:space="preserve">forced-position next-token prediction</w:t>
      </w:r>
      <w:r>
        <w:t xml:space="preserve"> </w:t>
      </w:r>
      <w:r>
        <w:t xml:space="preserve">rather than open-vocabulary string recognition: at each position, the input prefix under the Dyck-1 grammar is deterministic, forced open at depth</w:t>
      </w:r>
      <w:r>
        <w:t xml:space="preserve"> </w:t>
      </w:r>
      <m:oMath>
        <m:r>
          <m:t>0</m:t>
        </m:r>
      </m:oMath>
      <w:r>
        <w:t xml:space="preserve"> </w:t>
      </w:r>
      <w:r>
        <w:t xml:space="preserve">and forced close when the remaining length equals the current depth, at exactly the positions used for scoring, and free elsewhere since either bracket keeps the path completable; loss and accuracy are computed only at forced positions, so getting a forced prediction wrong is the error signal a recognizer would otherwise get from an invalid string. We skew training frequency by each path’s maximum nesting depth</w:t>
      </w:r>
      <w:r>
        <w:t xml:space="preserve"> </w:t>
      </w:r>
      <m:oMath>
        <m:r>
          <m:t>m</m:t>
        </m:r>
        <m:d>
          <m:dPr>
            <m:begChr m:val="("/>
            <m:endChr m:val=")"/>
            <m:sepChr m:val=""/>
            <m:grow/>
          </m:dPr>
          <m:e>
            <m:r>
              <m:t>π</m:t>
            </m:r>
          </m:e>
        </m:d>
      </m:oMath>
      <w:r>
        <w:t xml:space="preserve">,</w:t>
      </w:r>
      <w:r>
        <w:t xml:space="preserve"> </w:t>
      </w:r>
      <m:oMath>
        <m:sSub>
          <m:e>
            <m:r>
              <m:t>P</m:t>
            </m:r>
          </m:e>
          <m:sub>
            <m:r>
              <m:t>α</m:t>
            </m:r>
          </m:sub>
        </m:sSub>
        <m:d>
          <m:dPr>
            <m:begChr m:val="("/>
            <m:endChr m:val=")"/>
            <m:sepChr m:val=""/>
            <m:grow/>
          </m:dPr>
          <m:e>
            <m:r>
              <m:t>π</m:t>
            </m:r>
          </m:e>
        </m:d>
        <m:r>
          <m:rPr>
            <m:sty m:val="p"/>
          </m:rPr>
          <m:t>∝</m:t>
        </m:r>
        <m:sSup>
          <m:e>
            <m:d>
              <m:dPr>
                <m:begChr m:val="("/>
                <m:endChr m:val=")"/>
                <m:sepChr m:val=""/>
                <m:grow/>
              </m:dPr>
              <m:e>
                <m:r>
                  <m:rPr>
                    <m:sty m:val="p"/>
                  </m:rPr>
                  <m:t>r</m:t>
                </m:r>
                <m:r>
                  <m:rPr>
                    <m:sty m:val="p"/>
                  </m:rPr>
                  <m:t>a</m:t>
                </m:r>
                <m:r>
                  <m:rPr>
                    <m:sty m:val="p"/>
                  </m:rPr>
                  <m:t>n</m:t>
                </m:r>
                <m:r>
                  <m:rPr>
                    <m:sty m:val="p"/>
                  </m:rPr>
                  <m:t>k</m:t>
                </m:r>
                <m:d>
                  <m:dPr>
                    <m:begChr m:val="("/>
                    <m:endChr m:val=")"/>
                    <m:sepChr m:val=""/>
                    <m:grow/>
                  </m:dPr>
                  <m:e>
                    <m:r>
                      <m:t>m</m:t>
                    </m:r>
                    <m:d>
                      <m:dPr>
                        <m:begChr m:val="("/>
                        <m:endChr m:val=")"/>
                        <m:sepChr m:val=""/>
                        <m:grow/>
                      </m:dPr>
                      <m:e>
                        <m:r>
                          <m:t>π</m:t>
                        </m:r>
                      </m:e>
                    </m:d>
                  </m:e>
                </m:d>
                <m:r>
                  <m:rPr>
                    <m:sty m:val="p"/>
                  </m:rPr>
                  <m:t>+</m:t>
                </m:r>
                <m:r>
                  <m:t>1</m:t>
                </m:r>
              </m:e>
            </m:d>
          </m:e>
          <m:sup>
            <m:r>
              <m:rPr>
                <m:sty m:val="p"/>
              </m:rPr>
              <m:t>−</m:t>
            </m:r>
            <m:r>
              <m:t>α</m:t>
            </m:r>
          </m:sup>
        </m:sSup>
      </m:oMath>
      <w:r>
        <w:t xml:space="preserve"> </w:t>
      </w:r>
      <w:r>
        <w:t xml:space="preserve">where</w:t>
      </w:r>
      <w:r>
        <w:t xml:space="preserve"> </w:t>
      </w:r>
      <m:oMath>
        <m:r>
          <m:rPr>
            <m:sty m:val="p"/>
          </m:rPr>
          <m:t>r</m:t>
        </m:r>
        <m:r>
          <m:rPr>
            <m:sty m:val="p"/>
          </m:rPr>
          <m:t>a</m:t>
        </m:r>
        <m:r>
          <m:rPr>
            <m:sty m:val="p"/>
          </m:rPr>
          <m:t>n</m:t>
        </m:r>
        <m:r>
          <m:rPr>
            <m:sty m:val="p"/>
          </m:rPr>
          <m:t>k</m:t>
        </m:r>
      </m:oMath>
      <w:r>
        <w:t xml:space="preserve"> </w:t>
      </w:r>
      <w:r>
        <w:t xml:space="preserve">orders paths ascending by</w:t>
      </w:r>
      <w:r>
        <w:t xml:space="preserve"> </w:t>
      </w:r>
      <m:oMath>
        <m:r>
          <m:t>m</m:t>
        </m:r>
        <m:d>
          <m:dPr>
            <m:begChr m:val="("/>
            <m:endChr m:val=")"/>
            <m:sepChr m:val=""/>
            <m:grow/>
          </m:dPr>
          <m:e>
            <m:r>
              <m:t>π</m:t>
            </m:r>
          </m:e>
        </m:d>
      </m:oMath>
      <w:r>
        <w:t xml:space="preserve">, so shallow, common paths get low rank and deep, rare paths get high rank—the Dyck-1 analogue of carry-chain length, since deep paths require longer-range tracking of nesting state. The targeted injection pools are the shallowest quintile of paths by max depth,</w:t>
      </w:r>
      <w:r>
        <w:t xml:space="preserve"> </w:t>
      </w:r>
      <w:r>
        <w:t xml:space="preserve">“</w:t>
      </w:r>
      <w:r>
        <w:t xml:space="preserve">head</w:t>
      </w:r>
      <w:r>
        <w:t xml:space="preserve">”</w:t>
      </w:r>
      <w:r>
        <w:t xml:space="preserve">, and the deepest quintile,</w:t>
      </w:r>
      <w:r>
        <w:t xml:space="preserve"> </w:t>
      </w:r>
      <w:r>
        <w:t xml:space="preserve">“</w:t>
      </w:r>
      <w:r>
        <w:t xml:space="preserve">tail</w:t>
      </w:r>
      <w:r>
        <w:t xml:space="preserve">”</w:t>
      </w:r>
      <w:r>
        <w:t xml:space="preserve">. As in §3.2, we use a frozen four-way verdict rule with</w:t>
      </w:r>
      <w:r>
        <w:t xml:space="preserve"> </w:t>
      </w:r>
      <m:oMath>
        <m:sSub>
          <m:e>
            <m:r>
              <m:t>A</m:t>
            </m:r>
          </m:e>
          <m:sub>
            <m:r>
              <m:rPr>
                <m:sty m:val="p"/>
              </m:rPr>
              <m:t>u</m:t>
            </m:r>
            <m:r>
              <m:rPr>
                <m:sty m:val="p"/>
              </m:rPr>
              <m:t>n</m:t>
            </m:r>
            <m:r>
              <m:rPr>
                <m:sty m:val="p"/>
              </m:rPr>
              <m:t>i</m:t>
            </m:r>
            <m:r>
              <m:rPr>
                <m:sty m:val="p"/>
              </m:rPr>
              <m:t>f</m:t>
            </m:r>
          </m:sub>
        </m:sSub>
      </m:oMath>
      <w:r>
        <w:t xml:space="preserve"> </w:t>
      </w:r>
      <w:r>
        <w:t xml:space="preserve">computed over the full enumerated path set and</w:t>
      </w:r>
      <w:r>
        <w:t xml:space="preserve"> </w:t>
      </w:r>
      <m:oMath>
        <m:sSub>
          <m:e>
            <m:r>
              <m:t>A</m:t>
            </m:r>
          </m:e>
          <m:sub>
            <m:r>
              <m:rPr>
                <m:sty m:val="p"/>
              </m:rPr>
              <m:t>h</m:t>
            </m:r>
            <m:r>
              <m:rPr>
                <m:sty m:val="p"/>
              </m:rPr>
              <m:t>i</m:t>
            </m:r>
          </m:sub>
        </m:sSub>
      </m:oMath>
      <w:r>
        <w:t xml:space="preserve"> </w:t>
      </w:r>
      <w:r>
        <w:t xml:space="preserve">over its highest-weight decile under</w:t>
      </w:r>
      <w:r>
        <w:t xml:space="preserve"> </w:t>
      </w:r>
      <m:oMath>
        <m:sSub>
          <m:e>
            <m:r>
              <m:t>P</m:t>
            </m:r>
          </m:e>
          <m:sub>
            <m:r>
              <m:t>α</m:t>
            </m:r>
          </m:sub>
        </m:sSub>
      </m:oMath>
      <w:r>
        <w:t xml:space="preserve">.</w:t>
      </w:r>
    </w:p>
    <w:bookmarkEnd w:id="26"/>
    <w:bookmarkStart w:id="27" w:name="preregistration"/>
    <w:p>
      <w:pPr>
        <w:pStyle w:val="Heading2"/>
      </w:pPr>
      <w:r>
        <w:rPr>
          <w:rStyle w:val="SectionNumber"/>
        </w:rPr>
        <w:t xml:space="preserve">3.6</w:t>
      </w:r>
      <w:r>
        <w:tab/>
      </w:r>
      <w:r>
        <w:t xml:space="preserve">Preregistration</w:t>
      </w:r>
    </w:p>
    <w:p>
      <w:pPr>
        <w:pStyle w:val="FirstParagraph"/>
      </w:pPr>
      <w:r>
        <w:t xml:space="preserve">Two analyses in this paper were committed to before the corresponding data were collected, with the commitment recorded by file timestamp: predictions for eight held-out</w:t>
      </w:r>
      <w:r>
        <w:t xml:space="preserve"> </w:t>
      </w:r>
      <m:oMath>
        <m:r>
          <m:t>α</m:t>
        </m:r>
      </m:oMath>
      <w:r>
        <w:t xml:space="preserve"> </w:t>
      </w:r>
      <w:r>
        <w:t xml:space="preserve">values from the family-discrimination fit (§</w:t>
      </w:r>
      <w:hyperlink w:anchor="sec:results-family">
        <w:r>
          <w:rPr>
            <w:rStyle w:val="Hyperlink"/>
          </w:rPr>
          <w:t xml:space="preserve">4.3</w:t>
        </w:r>
      </w:hyperlink>
      <w:r>
        <w:t xml:space="preserve">), and seven directional robustness predictions plus two additivity-test cells (§</w:t>
      </w:r>
      <w:hyperlink w:anchor="sec:results-robustness">
        <w:r>
          <w:rPr>
            <w:rStyle w:val="Hyperlink"/>
          </w:rPr>
          <w:t xml:space="preserve">4.4</w:t>
        </w:r>
      </w:hyperlink>
      <w:r>
        <w:t xml:space="preserve">). We use</w:t>
      </w:r>
      <w:r>
        <w:t xml:space="preserve"> </w:t>
      </w:r>
      <w:r>
        <w:t xml:space="preserve">“</w:t>
      </w:r>
      <w:r>
        <w:t xml:space="preserve">pre-specified</w:t>
      </w:r>
      <w:r>
        <w:t xml:space="preserve">”</w:t>
      </w:r>
      <w:r>
        <w:t xml:space="preserve"> </w:t>
      </w:r>
      <w:r>
        <w:t xml:space="preserve">rather than</w:t>
      </w:r>
      <w:r>
        <w:t xml:space="preserve"> </w:t>
      </w:r>
      <w:r>
        <w:t xml:space="preserve">“</w:t>
      </w:r>
      <w:r>
        <w:t xml:space="preserve">preregistered</w:t>
      </w:r>
      <w:r>
        <w:t xml:space="preserve">”</w:t>
      </w:r>
      <w:r>
        <w:t xml:space="preserve"> </w:t>
      </w:r>
      <w:r>
        <w:t xml:space="preserve">throughout, since a filesystem timestamp is evidence of pre-data specification but not registry-grade provenance.</w:t>
      </w:r>
    </w:p>
    <w:bookmarkEnd w:id="27"/>
    <w:bookmarkStart w:id="28" w:name="compute"/>
    <w:p>
      <w:pPr>
        <w:pStyle w:val="Heading2"/>
      </w:pPr>
      <w:r>
        <w:rPr>
          <w:rStyle w:val="SectionNumber"/>
        </w:rPr>
        <w:t xml:space="preserve">3.7</w:t>
      </w:r>
      <w:r>
        <w:tab/>
      </w:r>
      <w:r>
        <w:t xml:space="preserve">Compute</w:t>
      </w:r>
    </w:p>
    <w:p>
      <w:pPr>
        <w:pStyle w:val="FirstParagraph"/>
      </w:pPr>
      <w:r>
        <w:t xml:space="preserve">The full experimental program, including exploratory pilots that informed later confirmatory grid design, totals approximately 130 GPU-hours on a single consumer GPU (RTX 5080).</w:t>
      </w:r>
    </w:p>
    <w:bookmarkEnd w:id="28"/>
    <w:bookmarkEnd w:id="29"/>
    <w:bookmarkStart w:id="59" w:name="results"/>
    <w:p>
      <w:pPr>
        <w:pStyle w:val="Heading1"/>
      </w:pPr>
      <w:r>
        <w:rPr>
          <w:rStyle w:val="SectionNumber"/>
        </w:rPr>
        <w:t xml:space="preserve">4</w:t>
      </w:r>
      <w:r>
        <w:tab/>
      </w:r>
      <w:r>
        <w:t xml:space="preserve">Results</w:t>
      </w:r>
    </w:p>
    <w:bookmarkStart w:id="38" w:name="sec:results-map"/>
    <w:p>
      <w:pPr>
        <w:pStyle w:val="Heading2"/>
      </w:pPr>
      <w:r>
        <w:rPr>
          <w:rStyle w:val="SectionNumber"/>
        </w:rPr>
        <w:t xml:space="preserve">4.1</w:t>
      </w:r>
      <w:r>
        <w:tab/>
      </w:r>
      <w:r>
        <w:t xml:space="preserve">The</w:t>
      </w:r>
      <w:r>
        <w:t xml:space="preserve"> </w:t>
      </w:r>
      <m:oMath>
        <m:d>
          <m:dPr>
            <m:begChr m:val="("/>
            <m:endChr m:val=")"/>
            <m:sepChr m:val=""/>
            <m:grow/>
          </m:dPr>
          <m:e>
            <m:r>
              <m:t>α</m:t>
            </m:r>
            <m:r>
              <m:rPr>
                <m:sty m:val="p"/>
              </m:rPr>
              <m:t>,</m:t>
            </m:r>
            <m:r>
              <m:t>λ</m:t>
            </m:r>
          </m:e>
        </m:d>
      </m:oMath>
      <w:r>
        <w:t xml:space="preserve"> </w:t>
      </w:r>
      <w:r>
        <w:t xml:space="preserve">phase diagram and its kinetics</w:t>
      </w:r>
    </w:p>
    <w:p>
      <w:pPr>
        <w:pStyle w:val="FirstParagraph"/>
      </w:pPr>
      <w:r>
        <w:t xml:space="preserve">Figure </w:t>
      </w:r>
      <w:hyperlink w:anchor="fig:phasediagram">
        <w:r>
          <w:rPr>
            <w:rStyle w:val="Hyperlink"/>
          </w:rPr>
          <w:t xml:space="preserve">1</w:t>
        </w:r>
      </w:hyperlink>
      <w:r>
        <w:t xml:space="preserve"> </w:t>
      </w:r>
      <w:r>
        <w:t xml:space="preserve">maps grokkability across weight decay</w:t>
      </w:r>
      <w:r>
        <w:t xml:space="preserve"> </w:t>
      </w:r>
      <m:oMath>
        <m:r>
          <m:t>λ</m:t>
        </m:r>
        <m:r>
          <m:rPr>
            <m:sty m:val="p"/>
          </m:rPr>
          <m:t>∈</m:t>
        </m:r>
        <m:d>
          <m:dPr>
            <m:begChr m:val="["/>
            <m:endChr m:val="]"/>
            <m:sepChr m:val=""/>
            <m:grow/>
          </m:dPr>
          <m:e>
            <m:r>
              <m:t>0.05</m:t>
            </m:r>
            <m:r>
              <m:rPr>
                <m:sty m:val="p"/>
              </m:rPr>
              <m:t>,</m:t>
            </m:r>
            <m:r>
              <m:t>0.5</m:t>
            </m:r>
          </m:e>
        </m:d>
      </m:oMath>
      <w:r>
        <w:t xml:space="preserve"> </w:t>
      </w:r>
      <w:r>
        <w:t xml:space="preserve">and skew</w:t>
      </w:r>
      <w:r>
        <w:t xml:space="preserve"> </w:t>
      </w:r>
      <m:oMath>
        <m:r>
          <m:t>α</m:t>
        </m:r>
        <m:r>
          <m:rPr>
            <m:sty m:val="p"/>
          </m:rPr>
          <m:t>∈</m:t>
        </m:r>
        <m:d>
          <m:dPr>
            <m:begChr m:val="["/>
            <m:endChr m:val="]"/>
            <m:sepChr m:val=""/>
            <m:grow/>
          </m:dPr>
          <m:e>
            <m:r>
              <m:t>0</m:t>
            </m:r>
            <m:r>
              <m:rPr>
                <m:sty m:val="p"/>
              </m:rPr>
              <m:t>,</m:t>
            </m:r>
            <m:r>
              <m:t>3</m:t>
            </m:r>
          </m:e>
        </m:d>
      </m:oMath>
      <w:r>
        <w:t xml:space="preserve"> </w:t>
      </w:r>
      <w:r>
        <w:t xml:space="preserve">at</w:t>
      </w:r>
      <w:r>
        <w:t xml:space="preserve"> </w:t>
      </w:r>
      <m:oMath>
        <m:r>
          <m:t>n</m:t>
        </m:r>
        <m:r>
          <m:rPr>
            <m:sty m:val="p"/>
          </m:rPr>
          <m:t>=</m:t>
        </m:r>
        <m:r>
          <m:t>10</m:t>
        </m:r>
      </m:oMath>
      <w:r>
        <w:t xml:space="preserve">, with</w:t>
      </w:r>
      <w:r>
        <w:t xml:space="preserve"> </w:t>
      </w:r>
      <m:oMath>
        <m:r>
          <m:t>α</m:t>
        </m:r>
        <m:r>
          <m:rPr>
            <m:sty m:val="p"/>
          </m:rPr>
          <m:t>≤</m:t>
        </m:r>
        <m:r>
          <m:t>1.5</m:t>
        </m:r>
      </m:oMath>
      <w:r>
        <w:t xml:space="preserve"> </w:t>
      </w:r>
      <w:r>
        <w:t xml:space="preserve">additionally probed up to</w:t>
      </w:r>
      <w:r>
        <w:t xml:space="preserve"> </w:t>
      </w:r>
      <m:oMath>
        <m:r>
          <m:t>λ</m:t>
        </m:r>
        <m:r>
          <m:rPr>
            <m:sty m:val="p"/>
          </m:rPr>
          <m:t>=</m:t>
        </m:r>
        <m:r>
          <m:t>1.0</m:t>
        </m:r>
      </m:oMath>
      <w:r>
        <w:t xml:space="preserve"> </w:t>
      </w:r>
      <w:r>
        <w:t xml:space="preserve">to bracket the wider channel at low skew. The grok-channel weight-decay ceiling decreases monotonically with</w:t>
      </w:r>
      <w:r>
        <w:t xml:space="preserve"> </w:t>
      </w:r>
      <m:oMath>
        <m:r>
          <m:t>α</m:t>
        </m:r>
      </m:oMath>
      <w:r>
        <w:t xml:space="preserve">: bootstrapped 90% intervals place the ceiling at</w:t>
      </w:r>
      <w:r>
        <w:t xml:space="preserve"> </w:t>
      </w:r>
      <m:oMath>
        <m:r>
          <m:t>0.764</m:t>
        </m:r>
      </m:oMath>
      <w:r>
        <w:t xml:space="preserve">,</w:t>
      </w:r>
      <w:r>
        <w:t xml:space="preserve"> </w:t>
      </w:r>
      <m:oMath>
        <m:d>
          <m:dPr>
            <m:begChr m:val="["/>
            <m:endChr m:val="]"/>
            <m:sepChr m:val=""/>
            <m:grow/>
          </m:dPr>
          <m:e>
            <m:r>
              <m:t>0.703</m:t>
            </m:r>
            <m:r>
              <m:rPr>
                <m:sty m:val="p"/>
              </m:rPr>
              <m:t>,</m:t>
            </m:r>
            <m:r>
              <m:t>0.851</m:t>
            </m:r>
          </m:e>
        </m:d>
      </m:oMath>
      <w:r>
        <w:t xml:space="preserve">, resolved within the extended</w:t>
      </w:r>
      <w:r>
        <w:t xml:space="preserve"> </w:t>
      </w:r>
      <m:oMath>
        <m:r>
          <m:t>λ</m:t>
        </m:r>
        <m:r>
          <m:rPr>
            <m:sty m:val="p"/>
          </m:rPr>
          <m:t>≤</m:t>
        </m:r>
        <m:r>
          <m:t>1.0</m:t>
        </m:r>
      </m:oMath>
      <w:r>
        <w:t xml:space="preserve"> </w:t>
      </w:r>
      <w:r>
        <w:t xml:space="preserve">probe, at</w:t>
      </w:r>
      <w:r>
        <w:t xml:space="preserve"> </w:t>
      </w:r>
      <m:oMath>
        <m:r>
          <m:t>α</m:t>
        </m:r>
        <m:r>
          <m:rPr>
            <m:sty m:val="p"/>
          </m:rPr>
          <m:t>=</m:t>
        </m:r>
        <m:r>
          <m:t>1.5</m:t>
        </m:r>
      </m:oMath>
      <w:r>
        <w:t xml:space="preserve">, falling to</w:t>
      </w:r>
      <w:r>
        <w:t xml:space="preserve"> </w:t>
      </w:r>
      <m:oMath>
        <m:r>
          <m:t>0.305</m:t>
        </m:r>
      </m:oMath>
      <w:r>
        <w:t xml:space="preserve">,</w:t>
      </w:r>
      <w:r>
        <w:t xml:space="preserve"> </w:t>
      </w:r>
      <m:oMath>
        <m:d>
          <m:dPr>
            <m:begChr m:val="["/>
            <m:endChr m:val="]"/>
            <m:sepChr m:val=""/>
            <m:grow/>
          </m:dPr>
          <m:e>
            <m:r>
              <m:t>0.302</m:t>
            </m:r>
            <m:r>
              <m:rPr>
                <m:sty m:val="p"/>
              </m:rPr>
              <m:t>,</m:t>
            </m:r>
            <m:r>
              <m:t>0.401</m:t>
            </m:r>
          </m:e>
        </m:d>
      </m:oMath>
      <w:r>
        <w:t xml:space="preserve">, at</w:t>
      </w:r>
      <w:r>
        <w:t xml:space="preserve"> </w:t>
      </w:r>
      <m:oMath>
        <m:r>
          <m:t>α</m:t>
        </m:r>
        <m:r>
          <m:rPr>
            <m:sty m:val="p"/>
          </m:rPr>
          <m:t>=</m:t>
        </m:r>
        <m:r>
          <m:t>2.0</m:t>
        </m:r>
      </m:oMath>
      <w:r>
        <w:t xml:space="preserve">,</w:t>
      </w:r>
      <w:r>
        <w:t xml:space="preserve"> </w:t>
      </w:r>
      <m:oMath>
        <m:r>
          <m:t>0.190</m:t>
        </m:r>
      </m:oMath>
      <w:r>
        <w:t xml:space="preserve"> </w:t>
      </w:r>
      <w:r>
        <w:t xml:space="preserve">at</w:t>
      </w:r>
      <w:r>
        <w:t xml:space="preserve"> </w:t>
      </w:r>
      <m:oMath>
        <m:r>
          <m:t>α</m:t>
        </m:r>
        <m:r>
          <m:rPr>
            <m:sty m:val="p"/>
          </m:rPr>
          <m:t>=</m:t>
        </m:r>
        <m:r>
          <m:t>2.1</m:t>
        </m:r>
      </m:oMath>
      <w:r>
        <w:t xml:space="preserve">,</w:t>
      </w:r>
      <w:r>
        <w:t xml:space="preserve"> </w:t>
      </w:r>
      <m:oMath>
        <m:r>
          <m:t>0.123</m:t>
        </m:r>
      </m:oMath>
      <w:r>
        <w:t xml:space="preserve"> </w:t>
      </w:r>
      <w:r>
        <w:t xml:space="preserve">at</w:t>
      </w:r>
      <w:r>
        <w:t xml:space="preserve"> </w:t>
      </w:r>
      <m:oMath>
        <m:r>
          <m:t>α</m:t>
        </m:r>
        <m:r>
          <m:rPr>
            <m:sty m:val="p"/>
          </m:rPr>
          <m:t>=</m:t>
        </m:r>
        <m:r>
          <m:t>2.25</m:t>
        </m:r>
      </m:oMath>
      <w:r>
        <w:t xml:space="preserve">, and</w:t>
      </w:r>
      <w:r>
        <w:t xml:space="preserve"> </w:t>
      </w:r>
      <m:oMath>
        <m:r>
          <m:t>0.051</m:t>
        </m:r>
      </m:oMath>
      <w:r>
        <w:t xml:space="preserve">,</w:t>
      </w:r>
      <w:r>
        <w:t xml:space="preserve"> </w:t>
      </w:r>
      <m:oMath>
        <m:d>
          <m:dPr>
            <m:begChr m:val="["/>
            <m:endChr m:val="]"/>
            <m:sepChr m:val=""/>
            <m:grow/>
          </m:dPr>
          <m:e>
            <m:r>
              <m:t>0.044</m:t>
            </m:r>
            <m:r>
              <m:rPr>
                <m:sty m:val="p"/>
              </m:rPr>
              <m:t>,</m:t>
            </m:r>
            <m:r>
              <m:t>0.060</m:t>
            </m:r>
          </m:e>
        </m:d>
      </m:oMath>
      <w:r>
        <w:t xml:space="preserve">, at</w:t>
      </w:r>
      <w:r>
        <w:t xml:space="preserve"> </w:t>
      </w:r>
      <m:oMath>
        <m:r>
          <m:t>α</m:t>
        </m:r>
        <m:r>
          <m:rPr>
            <m:sty m:val="p"/>
          </m:rPr>
          <m:t>=</m:t>
        </m:r>
        <m:r>
          <m:t>2.7</m:t>
        </m:r>
      </m:oMath>
      <w:r>
        <w:t xml:space="preserve">, beyond which no tested weight decay down to</w:t>
      </w:r>
      <w:r>
        <w:t xml:space="preserve"> </w:t>
      </w:r>
      <m:oMath>
        <m:r>
          <m:t>0.02</m:t>
        </m:r>
      </m:oMath>
      <w:r>
        <w:t xml:space="preserve"> </w:t>
      </w:r>
      <w:r>
        <w:t xml:space="preserve">rescues generalization. A grid refined by a factor of roughly three around this boundary yields ceiling estimates statistically consistent with the coarser grid at every shared</w:t>
      </w:r>
      <w:r>
        <w:t xml:space="preserve"> </w:t>
      </w:r>
      <m:oMath>
        <m:r>
          <m:t>α</m:t>
        </m:r>
      </m:oMath>
      <w:r>
        <w:t xml:space="preserve"> </w:t>
      </w:r>
      <w:r>
        <w:t xml:space="preserve">(Table </w:t>
      </w:r>
      <w:hyperlink w:anchor="tab:gridconvergence">
        <w:r>
          <w:rPr>
            <w:rStyle w:val="Hyperlink"/>
          </w:rPr>
          <w:t xml:space="preserve">1</w:t>
        </w:r>
      </w:hyperlink>
      <w:r>
        <w:t xml:space="preserve">), so this near-vertical right edge is a property of the task, not an artifact of grid coarseness.</w:t>
      </w:r>
    </w:p>
    <w:p>
      <w:pPr>
        <w:pStyle w:val="BodyText"/>
      </w:pPr>
      <w:r>
        <w:t xml:space="preserve">Each cell is 3–5 seeds; ceilings are the linear interpolation of mean</w:t>
      </w:r>
      <w:r>
        <w:t xml:space="preserve"> </w:t>
      </w:r>
      <m:oMath>
        <m:sSub>
          <m:e>
            <m:r>
              <m:t>A</m:t>
            </m:r>
          </m:e>
          <m:sub>
            <m:r>
              <m:rPr>
                <m:sty m:val="p"/>
              </m:rPr>
              <m:t>u</m:t>
            </m:r>
            <m:r>
              <m:rPr>
                <m:sty m:val="p"/>
              </m:rPr>
              <m:t>n</m:t>
            </m:r>
            <m:r>
              <m:rPr>
                <m:sty m:val="p"/>
              </m:rPr>
              <m:t>i</m:t>
            </m:r>
            <m:r>
              <m:rPr>
                <m:sty m:val="p"/>
              </m:rPr>
              <m:t>f</m:t>
            </m:r>
          </m:sub>
        </m:sSub>
      </m:oMath>
      <w:r>
        <w:t xml:space="preserve"> </w:t>
      </w:r>
      <w:r>
        <w:t xml:space="preserve">across the</w:t>
      </w:r>
      <w:r>
        <w:t xml:space="preserve"> </w:t>
      </w:r>
      <m:oMath>
        <m:r>
          <m:t>λ</m:t>
        </m:r>
      </m:oMath>
      <w:r>
        <w:t xml:space="preserve"> </w:t>
      </w:r>
      <w:r>
        <w:t xml:space="preserve">grid crossing the</w:t>
      </w:r>
      <w:r>
        <w:t xml:space="preserve"> </w:t>
      </w:r>
      <m:oMath>
        <m:r>
          <m:t>0.9</m:t>
        </m:r>
      </m:oMath>
      <w:r>
        <w:t xml:space="preserve"> </w:t>
      </w:r>
      <w:r>
        <w:t xml:space="preserve">threshold, and 90% intervals are the 5th/95th percentiles of</w:t>
      </w:r>
      <w:r>
        <w:t xml:space="preserve"> </w:t>
      </w:r>
      <m:oMath>
        <m:r>
          <m:t>2</m:t>
        </m:r>
        <m:r>
          <m:rPr>
            <m:sty m:val="p"/>
          </m:rPr>
          <m:t>,</m:t>
        </m:r>
        <m:r>
          <m:t>000</m:t>
        </m:r>
      </m:oMath>
      <w:r>
        <w:t xml:space="preserve"> </w:t>
      </w:r>
      <w:r>
        <w:t xml:space="preserve">seed-level bootstrap resamples of that interpolation (Appendix A gives the full per-cell seed counts).</w:t>
      </w:r>
    </w:p>
    <w:p>
      <w:pPr>
        <w:pStyle w:val="CaptionedFigure"/>
      </w:pPr>
      <w:r>
        <w:drawing>
          <wp:inline>
            <wp:extent cx="4533900" cy="3076236"/>
            <wp:effectExtent b="0" l="0" r="0" t="0"/>
            <wp:docPr descr="" title="" id="31" name="Picture"/>
            <a:graphic>
              <a:graphicData uri="http://schemas.openxmlformats.org/drawingml/2006/picture">
                <pic:pic>
                  <pic:nvPicPr>
                    <pic:cNvPr descr="fig1_phasediagram.pdf" id="32" name="Picture"/>
                    <pic:cNvPicPr>
                      <a:picLocks noChangeArrowheads="1" noChangeAspect="1"/>
                    </pic:cNvPicPr>
                  </pic:nvPicPr>
                  <pic:blipFill>
                    <a:blip r:embed="rId30"/>
                    <a:stretch>
                      <a:fillRect/>
                    </a:stretch>
                  </pic:blipFill>
                  <pic:spPr bwMode="auto">
                    <a:xfrm>
                      <a:off x="0" y="0"/>
                      <a:ext cx="4533900" cy="3076236"/>
                    </a:xfrm>
                    <a:prstGeom prst="rect">
                      <a:avLst/>
                    </a:prstGeom>
                    <a:noFill/>
                    <a:ln w="9525">
                      <a:noFill/>
                      <a:headEnd/>
                      <a:tailEnd/>
                    </a:ln>
                  </pic:spPr>
                </pic:pic>
              </a:graphicData>
            </a:graphic>
          </wp:inline>
        </w:drawing>
      </w:r>
    </w:p>
    <w:p>
      <w:pPr>
        <w:pStyle w:val="ImageCaption"/>
      </w:pPr>
      <w:r>
        <w:t xml:space="preserve">The</w:t>
      </w:r>
      <w:r>
        <w:t xml:space="preserve"> </w:t>
      </w:r>
      <m:oMath>
        <m:d>
          <m:dPr>
            <m:begChr m:val="("/>
            <m:endChr m:val=")"/>
            <m:sepChr m:val=""/>
            <m:grow/>
          </m:dPr>
          <m:e>
            <m:r>
              <m:t>α</m:t>
            </m:r>
            <m:r>
              <m:rPr>
                <m:sty m:val="p"/>
              </m:rPr>
              <m:t>,</m:t>
            </m:r>
            <m:r>
              <m:t>λ</m:t>
            </m:r>
          </m:e>
        </m:d>
      </m:oMath>
      <w:r>
        <w:t xml:space="preserve"> </w:t>
      </w:r>
      <w:r>
        <w:t xml:space="preserve">phase diagram at</w:t>
      </w:r>
      <w:r>
        <w:t xml:space="preserve"> </w:t>
      </w:r>
      <m:oMath>
        <m:r>
          <m:t>n</m:t>
        </m:r>
        <m:r>
          <m:rPr>
            <m:sty m:val="p"/>
          </m:rPr>
          <m:t>=</m:t>
        </m:r>
        <m:r>
          <m:t>10</m:t>
        </m:r>
      </m:oMath>
      <w:r>
        <w:t xml:space="preserve">, 60</w:t>
      </w:r>
      <w:r>
        <w:t xml:space="preserve">,</w:t>
      </w:r>
      <w:r>
        <w:t xml:space="preserve">000-step budget. Color encodes mean</w:t>
      </w:r>
      <w:r>
        <w:t xml:space="preserve"> </w:t>
      </w:r>
      <m:oMath>
        <m:sSub>
          <m:e>
            <m:r>
              <m:t>A</m:t>
            </m:r>
          </m:e>
          <m:sub>
            <m:r>
              <m:rPr>
                <m:sty m:val="p"/>
              </m:rPr>
              <m:t>u</m:t>
            </m:r>
            <m:r>
              <m:rPr>
                <m:sty m:val="p"/>
              </m:rPr>
              <m:t>n</m:t>
            </m:r>
            <m:r>
              <m:rPr>
                <m:sty m:val="p"/>
              </m:rPr>
              <m:t>i</m:t>
            </m:r>
            <m:r>
              <m:rPr>
                <m:sty m:val="p"/>
              </m:rPr>
              <m:t>f</m:t>
            </m:r>
          </m:sub>
        </m:sSub>
      </m:oMath>
      <w:r>
        <w:t xml:space="preserve"> </w:t>
      </w:r>
      <w:r>
        <w:t xml:space="preserve">per cell; the red curve traces the resolved weight-decay ceiling.</w:t>
      </w:r>
    </w:p>
    <w:bookmarkStart w:id="33" w:name="tab:gridconvergence"/>
    <w:p>
      <w:pPr>
        <w:pStyle w:val="TableCaption"/>
      </w:pPr>
      <w:r>
        <w:t xml:space="preserve">Grid-resolution convergence: sparse pilot grid vs. densified grid ceiling estimates (</w:t>
      </w:r>
      <m:oMath>
        <m:r>
          <m:t>n</m:t>
        </m:r>
        <m:r>
          <m:rPr>
            <m:sty m:val="p"/>
          </m:rPr>
          <m:t>=</m:t>
        </m:r>
        <m:r>
          <m:t>10</m:t>
        </m:r>
      </m:oMath>
      <w:r>
        <w:t xml:space="preserve">, 60k budget). Estimates agree within the interpolation tolerance at every shared</w:t>
      </w:r>
      <w:r>
        <w:t xml:space="preserve"> </w:t>
      </w:r>
      <m:oMath>
        <m:r>
          <m:t>α</m:t>
        </m:r>
      </m:oMath>
      <w:r>
        <w:t xml:space="preserve">.</w:t>
      </w:r>
    </w:p>
    <w:tbl>
      <w:tblPr>
        <w:tblStyle w:val="Table"/>
        <w:tblW w:type="auto" w:w="0"/>
        <w:tblLook w:firstRow="1" w:lastRow="0" w:firstColumn="0" w:lastColumn="0" w:noHBand="0" w:noVBand="0" w:val="0020"/>
        <w:jc w:val="start"/>
        <w:tblCaption w:val="Grid-resolution convergence: sparse pilot grid vs. densified grid ceiling estimates (n=10, 60k budget). Estimates agree within the interpolation tolerance at every shared \alpha."/>
      </w:tblPr>
      <w:tblGrid>
        <w:gridCol w:w="1980"/>
        <w:gridCol w:w="1980"/>
        <w:gridCol w:w="1980"/>
        <w:gridCol w:w="1980"/>
      </w:tblGrid>
      <w:tr>
        <w:trPr>
          <w:tblHeader w:val="true"/>
        </w:trPr>
        <w:tc>
          <w:tcPr/>
          <w:p>
            <w:pPr>
              <w:pStyle w:val="Compact"/>
              <w:jc w:val="left"/>
            </w:pPr>
            <m:oMath>
              <m:r>
                <m:t>α</m:t>
              </m:r>
            </m:oMath>
          </w:p>
        </w:tc>
        <w:tc>
          <w:tcPr/>
          <w:p>
            <w:pPr>
              <w:pStyle w:val="Compact"/>
              <w:jc w:val="center"/>
            </w:pPr>
            <w:r>
              <w:t xml:space="preserve">Sparse-grid ceiling</w:t>
            </w:r>
          </w:p>
        </w:tc>
        <w:tc>
          <w:tcPr/>
          <w:p>
            <w:pPr>
              <w:pStyle w:val="Compact"/>
              <w:jc w:val="center"/>
            </w:pPr>
            <w:r>
              <w:t xml:space="preserve">Dense-grid ceiling</w:t>
            </w:r>
          </w:p>
        </w:tc>
        <w:tc>
          <w:tcPr/>
          <w:p>
            <w:pPr>
              <w:pStyle w:val="Compact"/>
              <w:jc w:val="center"/>
            </w:pPr>
            <w:r>
              <w:t xml:space="preserve"># points (sparse / dense)</w:t>
            </w:r>
          </w:p>
        </w:tc>
      </w:tr>
      <w:tr>
        <w:tc>
          <w:tcPr/>
          <w:p>
            <w:pPr>
              <w:pStyle w:val="Compact"/>
              <w:jc w:val="left"/>
            </w:pPr>
            <w:r>
              <w:t xml:space="preserve">2.0</w:t>
            </w:r>
          </w:p>
        </w:tc>
        <w:tc>
          <w:tcPr/>
          <w:p>
            <w:pPr>
              <w:pStyle w:val="Compact"/>
              <w:jc w:val="center"/>
            </w:pPr>
            <m:oMath>
              <m:r>
                <m:t>0.305</m:t>
              </m:r>
            </m:oMath>
          </w:p>
        </w:tc>
        <w:tc>
          <w:tcPr/>
          <w:p>
            <w:pPr>
              <w:pStyle w:val="Compact"/>
              <w:jc w:val="center"/>
            </w:pPr>
            <m:oMath>
              <m:r>
                <m:t>0.305</m:t>
              </m:r>
            </m:oMath>
          </w:p>
        </w:tc>
        <w:tc>
          <w:tcPr/>
          <w:p>
            <w:pPr>
              <w:pStyle w:val="Compact"/>
              <w:jc w:val="center"/>
            </w:pPr>
            <w:r>
              <w:t xml:space="preserve">9 / 11</w:t>
            </w:r>
          </w:p>
        </w:tc>
      </w:tr>
      <w:tr>
        <w:tc>
          <w:tcPr/>
          <w:p>
            <w:pPr>
              <w:pStyle w:val="Compact"/>
              <w:jc w:val="left"/>
            </w:pPr>
            <w:r>
              <w:t xml:space="preserve">2.25</w:t>
            </w:r>
          </w:p>
        </w:tc>
        <w:tc>
          <w:tcPr/>
          <w:p>
            <w:pPr>
              <w:pStyle w:val="Compact"/>
              <w:jc w:val="center"/>
            </w:pPr>
            <m:oMath>
              <m:r>
                <m:t>0.124</m:t>
              </m:r>
            </m:oMath>
          </w:p>
        </w:tc>
        <w:tc>
          <w:tcPr/>
          <w:p>
            <w:pPr>
              <w:pStyle w:val="Compact"/>
              <w:jc w:val="center"/>
            </w:pPr>
            <m:oMath>
              <m:r>
                <m:t>0.123</m:t>
              </m:r>
            </m:oMath>
          </w:p>
        </w:tc>
        <w:tc>
          <w:tcPr/>
          <w:p>
            <w:pPr>
              <w:pStyle w:val="Compact"/>
              <w:jc w:val="center"/>
            </w:pPr>
            <w:r>
              <w:t xml:space="preserve">10 / 11</w:t>
            </w:r>
          </w:p>
        </w:tc>
      </w:tr>
      <w:tr>
        <w:tc>
          <w:tcPr/>
          <w:p>
            <w:pPr>
              <w:pStyle w:val="Compact"/>
              <w:jc w:val="left"/>
            </w:pPr>
            <w:r>
              <w:t xml:space="preserve">2.5</w:t>
            </w:r>
          </w:p>
        </w:tc>
        <w:tc>
          <w:tcPr/>
          <w:p>
            <w:pPr>
              <w:pStyle w:val="Compact"/>
              <w:jc w:val="center"/>
            </w:pPr>
            <m:oMath>
              <m:r>
                <m:t>0.086</m:t>
              </m:r>
            </m:oMath>
          </w:p>
        </w:tc>
        <w:tc>
          <w:tcPr/>
          <w:p>
            <w:pPr>
              <w:pStyle w:val="Compact"/>
              <w:jc w:val="center"/>
            </w:pPr>
            <m:oMath>
              <m:r>
                <m:t>0.089</m:t>
              </m:r>
            </m:oMath>
          </w:p>
        </w:tc>
        <w:tc>
          <w:tcPr/>
          <w:p>
            <w:pPr>
              <w:pStyle w:val="Compact"/>
              <w:jc w:val="center"/>
            </w:pPr>
            <w:r>
              <w:t xml:space="preserve">10 / 11</w:t>
            </w:r>
          </w:p>
        </w:tc>
      </w:tr>
      <w:tr>
        <w:tc>
          <w:tcPr/>
          <w:p>
            <w:pPr>
              <w:pStyle w:val="Compact"/>
              <w:jc w:val="left"/>
            </w:pPr>
            <w:r>
              <w:t xml:space="preserve">2.75</w:t>
            </w:r>
          </w:p>
        </w:tc>
        <w:tc>
          <w:tcPr/>
          <w:p>
            <w:pPr>
              <w:pStyle w:val="Compact"/>
              <w:jc w:val="center"/>
            </w:pPr>
            <m:oMath>
              <m:r>
                <m:rPr>
                  <m:sty m:val="p"/>
                </m:rPr>
                <m:t>&lt;</m:t>
              </m:r>
              <m:r>
                <m:t>0.030</m:t>
              </m:r>
            </m:oMath>
          </w:p>
        </w:tc>
        <w:tc>
          <w:tcPr/>
          <w:p>
            <w:pPr>
              <w:pStyle w:val="Compact"/>
              <w:jc w:val="center"/>
            </w:pPr>
            <m:oMath>
              <m:r>
                <m:rPr>
                  <m:sty m:val="p"/>
                </m:rPr>
                <m:t>&lt;</m:t>
              </m:r>
              <m:r>
                <m:t>0.020</m:t>
              </m:r>
            </m:oMath>
          </w:p>
        </w:tc>
        <w:tc>
          <w:tcPr/>
          <w:p>
            <w:pPr>
              <w:pStyle w:val="Compact"/>
              <w:jc w:val="center"/>
            </w:pPr>
            <w:r>
              <w:t xml:space="preserve">10 / 13</w:t>
            </w:r>
          </w:p>
        </w:tc>
      </w:tr>
      <w:tr>
        <w:tc>
          <w:tcPr/>
          <w:p>
            <w:pPr>
              <w:pStyle w:val="Compact"/>
              <w:jc w:val="left"/>
            </w:pPr>
            <w:r>
              <w:t xml:space="preserve">2.9</w:t>
            </w:r>
          </w:p>
        </w:tc>
        <w:tc>
          <w:tcPr/>
          <w:p>
            <w:pPr>
              <w:pStyle w:val="Compact"/>
              <w:jc w:val="center"/>
            </w:pPr>
            <m:oMath>
              <m:r>
                <m:rPr>
                  <m:sty m:val="p"/>
                </m:rPr>
                <m:t>&lt;</m:t>
              </m:r>
              <m:r>
                <m:t>0.020</m:t>
              </m:r>
            </m:oMath>
          </w:p>
        </w:tc>
        <w:tc>
          <w:tcPr/>
          <w:p>
            <w:pPr>
              <w:pStyle w:val="Compact"/>
              <w:jc w:val="center"/>
            </w:pPr>
            <m:oMath>
              <m:r>
                <m:rPr>
                  <m:sty m:val="p"/>
                </m:rPr>
                <m:t>&lt;</m:t>
              </m:r>
              <m:r>
                <m:t>0.020</m:t>
              </m:r>
            </m:oMath>
          </w:p>
        </w:tc>
        <w:tc>
          <w:tcPr/>
          <w:p>
            <w:pPr>
              <w:pStyle w:val="Compact"/>
              <w:jc w:val="center"/>
            </w:pPr>
            <w:r>
              <w:t xml:space="preserve">4 / 6</w:t>
            </w:r>
          </w:p>
        </w:tc>
      </w:tr>
      <w:tr>
        <w:tc>
          <w:tcPr/>
          <w:p>
            <w:pPr>
              <w:pStyle w:val="Compact"/>
              <w:jc w:val="left"/>
            </w:pPr>
            <w:r>
              <w:t xml:space="preserve">3.0</w:t>
            </w:r>
          </w:p>
        </w:tc>
        <w:tc>
          <w:tcPr/>
          <w:p>
            <w:pPr>
              <w:pStyle w:val="Compact"/>
              <w:jc w:val="center"/>
            </w:pPr>
            <m:oMath>
              <m:r>
                <m:rPr>
                  <m:sty m:val="p"/>
                </m:rPr>
                <m:t>&lt;</m:t>
              </m:r>
              <m:r>
                <m:t>0.020</m:t>
              </m:r>
            </m:oMath>
          </w:p>
        </w:tc>
        <w:tc>
          <w:tcPr/>
          <w:p>
            <w:pPr>
              <w:pStyle w:val="Compact"/>
              <w:jc w:val="center"/>
            </w:pPr>
            <m:oMath>
              <m:r>
                <m:rPr>
                  <m:sty m:val="p"/>
                </m:rPr>
                <m:t>&lt;</m:t>
              </m:r>
              <m:r>
                <m:t>0.020</m:t>
              </m:r>
            </m:oMath>
          </w:p>
        </w:tc>
        <w:tc>
          <w:tcPr/>
          <w:p>
            <w:pPr>
              <w:pStyle w:val="Compact"/>
              <w:jc w:val="center"/>
            </w:pPr>
            <w:r>
              <w:t xml:space="preserve">9 / 9</w:t>
            </w:r>
          </w:p>
        </w:tc>
      </w:tr>
    </w:tbl>
    <w:bookmarkEnd w:id="33"/>
    <w:p>
      <w:pPr>
        <w:pStyle w:val="BodyText"/>
      </w:pPr>
      <w:r>
        <w:t xml:space="preserve">The diagram exhibits two regimes. Near the boundary, additional compute budget measurably improves outcomes: three cells sampled at both 60</w:t>
      </w:r>
      <w:r>
        <w:t xml:space="preserve">,</w:t>
      </w:r>
      <w:r>
        <w:t xml:space="preserve">000 and 240</w:t>
      </w:r>
      <w:r>
        <w:t xml:space="preserve">,</w:t>
      </w:r>
      <w:r>
        <w:t xml:space="preserve">000 steps each show higher mean accuracy at the longer budget, with one cell reaching full generalization at the extended budget from a partial state at the shorter one. Each budget uses its own cosine-annealed schedule over its full length (§3.1), so the 60k and 240k runs are two independently-scheduled training protocols rather than the same trajectory observed at two checkpoints; we interpret the budget comparisons accordingly. Deep in the interior, at</w:t>
      </w:r>
      <w:r>
        <w:t xml:space="preserve"> </w:t>
      </w:r>
      <m:oMath>
        <m:r>
          <m:t>α</m:t>
        </m:r>
        <m:r>
          <m:rPr>
            <m:sty m:val="p"/>
          </m:rPr>
          <m:t>=</m:t>
        </m:r>
        <m:r>
          <m:t>2.25</m:t>
        </m:r>
      </m:oMath>
      <w:r>
        <w:t xml:space="preserve"> </w:t>
      </w:r>
      <w:r>
        <w:t xml:space="preserve">and</w:t>
      </w:r>
      <w:r>
        <w:t xml:space="preserve"> </w:t>
      </w:r>
      <m:oMath>
        <m:r>
          <m:t>α</m:t>
        </m:r>
        <m:r>
          <m:rPr>
            <m:sty m:val="p"/>
          </m:rPr>
          <m:t>=</m:t>
        </m:r>
        <m:r>
          <m:t>2.5</m:t>
        </m:r>
      </m:oMath>
      <w:r>
        <w:t xml:space="preserve"> </w:t>
      </w:r>
      <w:r>
        <w:t xml:space="preserve">with</w:t>
      </w:r>
      <w:r>
        <w:t xml:space="preserve"> </w:t>
      </w:r>
      <m:oMath>
        <m:r>
          <m:t>λ</m:t>
        </m:r>
        <m:r>
          <m:rPr>
            <m:sty m:val="p"/>
          </m:rPr>
          <m:t>=</m:t>
        </m:r>
        <m:r>
          <m:t>0.3</m:t>
        </m:r>
      </m:oMath>
      <w:r>
        <w:t xml:space="preserve">, extending training to</w:t>
      </w:r>
      <w:r>
        <w:t xml:space="preserve"> </w:t>
      </w:r>
      <m:oMath>
        <m:sSup>
          <m:e>
            <m:r>
              <m:t>10</m:t>
            </m:r>
          </m:e>
          <m:sup>
            <m:r>
              <m:t>6</m:t>
            </m:r>
          </m:sup>
        </m:sSup>
      </m:oMath>
      <w:r>
        <w:t xml:space="preserve"> </w:t>
      </w:r>
      <w:r>
        <w:t xml:space="preserve">steps—four times our previously tested extended budget—does not rescue generalization in any of eight runs, with accuracy ranging</w:t>
      </w:r>
      <w:r>
        <w:t xml:space="preserve"> </w:t>
      </w:r>
      <m:oMath>
        <m:r>
          <m:t>0.35</m:t>
        </m:r>
      </m:oMath>
      <w:r>
        <w:t xml:space="preserve">–</w:t>
      </w:r>
      <m:oMath>
        <m:r>
          <m:t>0.80</m:t>
        </m:r>
      </m:oMath>
      <w:r>
        <w:t xml:space="preserve"> </w:t>
      </w:r>
      <w:r>
        <w:t xml:space="preserve">and no upward trend against budget. Repeating the full grid at</w:t>
      </w:r>
      <w:r>
        <w:t xml:space="preserve"> </w:t>
      </w:r>
      <m:oMath>
        <m:r>
          <m:t>n</m:t>
        </m:r>
        <m:r>
          <m:rPr>
            <m:sty m:val="p"/>
          </m:rPr>
          <m:t>=</m:t>
        </m:r>
        <m:r>
          <m:t>12</m:t>
        </m:r>
      </m:oMath>
      <w:r>
        <w:t xml:space="preserve"> </w:t>
      </w:r>
      <w:r>
        <w:t xml:space="preserve">under our exposure-matching protocol (Table </w:t>
      </w:r>
      <w:hyperlink w:anchor="tab:n12grid">
        <w:r>
          <w:rPr>
            <w:rStyle w:val="Hyperlink"/>
          </w:rPr>
          <w:t xml:space="preserve">2</w:t>
        </w:r>
      </w:hyperlink>
      <w:r>
        <w:t xml:space="preserve">) reproduces this structure, with the ceiling at</w:t>
      </w:r>
      <w:r>
        <w:t xml:space="preserve"> </w:t>
      </w:r>
      <m:oMath>
        <m:r>
          <m:t>α</m:t>
        </m:r>
        <m:r>
          <m:rPr>
            <m:sty m:val="p"/>
          </m:rPr>
          <m:t>=</m:t>
        </m:r>
        <m:r>
          <m:t>2.0</m:t>
        </m:r>
      </m:oMath>
      <w:r>
        <w:t xml:space="preserve"> </w:t>
      </w:r>
      <w:r>
        <w:t xml:space="preserve">falling by a factor of</w:t>
      </w:r>
      <w:r>
        <w:t xml:space="preserve"> </w:t>
      </w:r>
      <m:oMath>
        <m:r>
          <m:t>1.42</m:t>
        </m:r>
      </m:oMath>
      <w:r>
        <w:t xml:space="preserve"> </w:t>
      </w:r>
      <w:r>
        <w:t xml:space="preserve">relative to</w:t>
      </w:r>
      <w:r>
        <w:t xml:space="preserve"> </w:t>
      </w:r>
      <m:oMath>
        <m:r>
          <m:t>n</m:t>
        </m:r>
        <m:r>
          <m:rPr>
            <m:sty m:val="p"/>
          </m:rPr>
          <m:t>=</m:t>
        </m:r>
        <m:r>
          <m:t>10</m:t>
        </m:r>
      </m:oMath>
      <w:r>
        <w:t xml:space="preserve">, ruling out an</w:t>
      </w:r>
      <w:r>
        <w:t xml:space="preserve"> </w:t>
      </w:r>
      <m:oMath>
        <m:r>
          <m:t>n</m:t>
        </m:r>
        <m:r>
          <m:rPr>
            <m:sty m:val="p"/>
          </m:rPr>
          <m:t>=</m:t>
        </m:r>
        <m:r>
          <m:t>10</m:t>
        </m:r>
      </m:oMath>
      <w:r>
        <w:t xml:space="preserve">-specific artifact.</w:t>
      </w:r>
    </w:p>
    <w:bookmarkStart w:id="34" w:name="tab:n12grid"/>
    <w:p>
      <w:pPr>
        <w:pStyle w:val="TableCaption"/>
      </w:pPr>
      <m:oMath>
        <m:r>
          <m:t>n</m:t>
        </m:r>
        <m:r>
          <m:rPr>
            <m:sty m:val="p"/>
          </m:rPr>
          <m:t>=</m:t>
        </m:r>
        <m:r>
          <m:t>12</m:t>
        </m:r>
      </m:oMath>
      <w:r>
        <w:t xml:space="preserve"> </w:t>
      </w:r>
      <w:r>
        <w:t xml:space="preserve">exposure-matched grid (mean</w:t>
      </w:r>
      <w:r>
        <w:t xml:space="preserve"> </w:t>
      </w:r>
      <m:oMath>
        <m:sSub>
          <m:e>
            <m:r>
              <m:t>A</m:t>
            </m:r>
          </m:e>
          <m:sub>
            <m:r>
              <m:rPr>
                <m:sty m:val="p"/>
              </m:rPr>
              <m:t>u</m:t>
            </m:r>
            <m:r>
              <m:rPr>
                <m:sty m:val="p"/>
              </m:rPr>
              <m:t>n</m:t>
            </m:r>
            <m:r>
              <m:rPr>
                <m:sty m:val="p"/>
              </m:rPr>
              <m:t>i</m:t>
            </m:r>
            <m:r>
              <m:rPr>
                <m:sty m:val="p"/>
              </m:rPr>
              <m:t>f</m:t>
            </m:r>
          </m:sub>
        </m:sSub>
      </m:oMath>
      <w:r>
        <w:t xml:space="preserve">, 3 seeds/cell, 240</w:t>
      </w:r>
      <w:r>
        <w:t xml:space="preserve">,</w:t>
      </w:r>
      <w:r>
        <w:t xml:space="preserve">000-step budget), the full grid underlying the</w:t>
      </w:r>
      <w:r>
        <w:t xml:space="preserve"> </w:t>
      </w:r>
      <m:oMath>
        <m:r>
          <m:t>n</m:t>
        </m:r>
        <m:r>
          <m:rPr>
            <m:sty m:val="p"/>
          </m:rPr>
          <m:t>=</m:t>
        </m:r>
        <m:r>
          <m:t>12</m:t>
        </m:r>
      </m:oMath>
      <w:r>
        <w:t xml:space="preserve"> </w:t>
      </w:r>
      <w:r>
        <w:t xml:space="preserve">replication.</w:t>
      </w:r>
    </w:p>
    <w:tbl>
      <w:tblPr>
        <w:tblStyle w:val="Table"/>
        <w:tblW w:type="auto" w:w="0"/>
        <w:tblLook w:firstRow="1" w:lastRow="0" w:firstColumn="0" w:lastColumn="0" w:noHBand="0" w:noVBand="0" w:val="0020"/>
        <w:jc w:val="start"/>
        <w:tblCaption w:val="n=12 exposure-matched grid (mean A_{\mathrm{unif}}, 3 seeds/cell, 240,000-step budget), the full grid underlying the n=12 replication."/>
      </w:tblPr>
      <w:tblGrid>
        <w:gridCol w:w="1131"/>
        <w:gridCol w:w="1131"/>
        <w:gridCol w:w="1131"/>
        <w:gridCol w:w="1131"/>
        <w:gridCol w:w="1131"/>
        <w:gridCol w:w="1131"/>
        <w:gridCol w:w="1131"/>
      </w:tblGrid>
      <w:tr>
        <w:trPr>
          <w:tblHeader w:val="true"/>
        </w:trPr>
        <w:tc>
          <w:tcPr/>
          <w:p>
            <w:pPr>
              <w:pStyle w:val="Compact"/>
              <w:jc w:val="left"/>
            </w:pPr>
            <m:oMath>
              <m:r>
                <m:t>α</m:t>
              </m:r>
            </m:oMath>
          </w:p>
        </w:tc>
        <w:tc>
          <w:tcPr/>
          <w:p>
            <w:pPr>
              <w:pStyle w:val="Compact"/>
              <w:jc w:val="center"/>
            </w:pPr>
            <m:oMath>
              <m:r>
                <m:t>λ</m:t>
              </m:r>
              <m:r>
                <m:rPr>
                  <m:sty m:val="p"/>
                </m:rPr>
                <m:t>=</m:t>
              </m:r>
              <m:r>
                <m:t>0.05</m:t>
              </m:r>
            </m:oMath>
          </w:p>
        </w:tc>
        <w:tc>
          <w:tcPr/>
          <w:p>
            <w:pPr>
              <w:pStyle w:val="Compact"/>
              <w:jc w:val="center"/>
            </w:pPr>
            <m:oMath>
              <m:r>
                <m:t>0.1</m:t>
              </m:r>
            </m:oMath>
          </w:p>
        </w:tc>
        <w:tc>
          <w:tcPr/>
          <w:p>
            <w:pPr>
              <w:pStyle w:val="Compact"/>
              <w:jc w:val="center"/>
            </w:pPr>
            <m:oMath>
              <m:r>
                <m:t>0.15</m:t>
              </m:r>
            </m:oMath>
          </w:p>
        </w:tc>
        <w:tc>
          <w:tcPr/>
          <w:p>
            <w:pPr>
              <w:pStyle w:val="Compact"/>
              <w:jc w:val="center"/>
            </w:pPr>
            <m:oMath>
              <m:r>
                <m:t>0.2</m:t>
              </m:r>
            </m:oMath>
          </w:p>
        </w:tc>
        <w:tc>
          <w:tcPr/>
          <w:p>
            <w:pPr>
              <w:pStyle w:val="Compact"/>
              <w:jc w:val="center"/>
            </w:pPr>
            <m:oMath>
              <m:r>
                <m:t>0.3</m:t>
              </m:r>
            </m:oMath>
          </w:p>
        </w:tc>
        <w:tc>
          <w:tcPr/>
          <w:p>
            <w:pPr>
              <w:pStyle w:val="Compact"/>
              <w:jc w:val="center"/>
            </w:pPr>
            <m:oMath>
              <m:r>
                <m:t>0.5</m:t>
              </m:r>
            </m:oMath>
          </w:p>
        </w:tc>
      </w:tr>
      <w:tr>
        <w:tc>
          <w:tcPr/>
          <w:p>
            <w:pPr>
              <w:pStyle w:val="Compact"/>
              <w:jc w:val="left"/>
            </w:pPr>
            <w:r>
              <w:t xml:space="preserve">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r>
      <w:tr>
        <w:tc>
          <w:tcPr/>
          <w:p>
            <w:pPr>
              <w:pStyle w:val="Compact"/>
              <w:jc w:val="left"/>
            </w:pPr>
            <w:r>
              <w:t xml:space="preserve">1.0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r>
      <w:tr>
        <w:tc>
          <w:tcPr/>
          <w:p>
            <w:pPr>
              <w:pStyle w:val="Compact"/>
              <w:jc w:val="left"/>
            </w:pPr>
            <w:r>
              <w:t xml:space="preserve">2.0</w:t>
            </w:r>
          </w:p>
        </w:tc>
        <w:tc>
          <w:tcPr/>
          <w:p>
            <w:pPr>
              <w:pStyle w:val="Compact"/>
              <w:jc w:val="center"/>
            </w:pPr>
            <w:r>
              <w:t xml:space="preserve">0.99</w:t>
            </w:r>
          </w:p>
        </w:tc>
        <w:tc>
          <w:tcPr/>
          <w:p>
            <w:pPr>
              <w:pStyle w:val="Compact"/>
              <w:jc w:val="center"/>
            </w:pPr>
            <w:r>
              <w:t xml:space="preserve">0.99</w:t>
            </w:r>
          </w:p>
        </w:tc>
        <w:tc>
          <w:tcPr/>
          <w:p>
            <w:pPr>
              <w:pStyle w:val="Compact"/>
              <w:jc w:val="center"/>
            </w:pPr>
            <w:r>
              <w:t xml:space="preserve">0.91</w:t>
            </w:r>
          </w:p>
        </w:tc>
        <w:tc>
          <w:tcPr/>
          <w:p>
            <w:pPr>
              <w:pStyle w:val="Compact"/>
              <w:jc w:val="center"/>
            </w:pPr>
            <w:r>
              <w:t xml:space="preserve">0.91</w:t>
            </w:r>
          </w:p>
        </w:tc>
        <w:tc>
          <w:tcPr/>
          <w:p>
            <w:pPr>
              <w:pStyle w:val="Compact"/>
              <w:jc w:val="center"/>
            </w:pPr>
            <w:r>
              <w:t xml:space="preserve">0.80</w:t>
            </w:r>
          </w:p>
        </w:tc>
        <w:tc>
          <w:tcPr/>
          <w:p>
            <w:pPr>
              <w:pStyle w:val="Compact"/>
              <w:jc w:val="center"/>
            </w:pPr>
            <w:r>
              <w:t xml:space="preserve">0.53</w:t>
            </w:r>
          </w:p>
        </w:tc>
      </w:tr>
      <w:tr>
        <w:tc>
          <w:tcPr/>
          <w:p>
            <w:pPr>
              <w:pStyle w:val="Compact"/>
              <w:jc w:val="left"/>
            </w:pPr>
            <w:r>
              <w:t xml:space="preserve">2.25</w:t>
            </w:r>
          </w:p>
        </w:tc>
        <w:tc>
          <w:tcPr/>
          <w:p>
            <w:pPr>
              <w:pStyle w:val="Compact"/>
              <w:jc w:val="center"/>
            </w:pPr>
            <w:r>
              <w:t xml:space="preserve">0.98</w:t>
            </w:r>
          </w:p>
        </w:tc>
        <w:tc>
          <w:tcPr/>
          <w:p>
            <w:pPr>
              <w:pStyle w:val="Compact"/>
              <w:jc w:val="center"/>
            </w:pPr>
            <w:r>
              <w:t xml:space="preserve">0.96</w:t>
            </w:r>
          </w:p>
        </w:tc>
        <w:tc>
          <w:tcPr/>
          <w:p>
            <w:pPr>
              <w:pStyle w:val="Compact"/>
              <w:jc w:val="center"/>
            </w:pPr>
            <w:r>
              <w:t xml:space="preserve">0.60</w:t>
            </w:r>
          </w:p>
        </w:tc>
        <w:tc>
          <w:tcPr/>
          <w:p>
            <w:pPr>
              <w:pStyle w:val="Compact"/>
              <w:jc w:val="center"/>
            </w:pPr>
            <w:r>
              <w:t xml:space="preserve">0.60</w:t>
            </w:r>
          </w:p>
        </w:tc>
        <w:tc>
          <w:tcPr/>
          <w:p>
            <w:pPr>
              <w:pStyle w:val="Compact"/>
              <w:jc w:val="center"/>
            </w:pPr>
            <w:r>
              <w:t xml:space="preserve">0.33</w:t>
            </w:r>
          </w:p>
        </w:tc>
        <w:tc>
          <w:tcPr/>
          <w:p>
            <w:pPr>
              <w:pStyle w:val="Compact"/>
              <w:jc w:val="center"/>
            </w:pPr>
            <w:r>
              <w:t xml:space="preserve">0.23</w:t>
            </w:r>
          </w:p>
        </w:tc>
      </w:tr>
      <w:tr>
        <w:tc>
          <w:tcPr/>
          <w:p>
            <w:pPr>
              <w:pStyle w:val="Compact"/>
              <w:jc w:val="left"/>
            </w:pPr>
            <w:r>
              <w:t xml:space="preserve">2.5</w:t>
            </w:r>
          </w:p>
        </w:tc>
        <w:tc>
          <w:tcPr/>
          <w:p>
            <w:pPr>
              <w:pStyle w:val="Compact"/>
              <w:jc w:val="center"/>
            </w:pPr>
            <w:r>
              <w:t xml:space="preserve">0.88</w:t>
            </w:r>
          </w:p>
        </w:tc>
        <w:tc>
          <w:tcPr/>
          <w:p>
            <w:pPr>
              <w:pStyle w:val="Compact"/>
              <w:jc w:val="center"/>
            </w:pPr>
            <w:r>
              <w:t xml:space="preserve">0.67</w:t>
            </w:r>
          </w:p>
        </w:tc>
        <w:tc>
          <w:tcPr/>
          <w:p>
            <w:pPr>
              <w:pStyle w:val="Compact"/>
              <w:jc w:val="center"/>
            </w:pPr>
            <w:r>
              <w:t xml:space="preserve">0.36</w:t>
            </w:r>
          </w:p>
        </w:tc>
        <w:tc>
          <w:tcPr/>
          <w:p>
            <w:pPr>
              <w:pStyle w:val="Compact"/>
              <w:jc w:val="center"/>
            </w:pPr>
            <w:r>
              <w:t xml:space="preserve">0.24</w:t>
            </w:r>
          </w:p>
        </w:tc>
        <w:tc>
          <w:tcPr/>
          <w:p>
            <w:pPr>
              <w:pStyle w:val="Compact"/>
              <w:jc w:val="center"/>
            </w:pPr>
            <w:r>
              <w:t xml:space="preserve">0.16</w:t>
            </w:r>
          </w:p>
        </w:tc>
        <w:tc>
          <w:tcPr/>
          <w:p>
            <w:pPr>
              <w:pStyle w:val="Compact"/>
              <w:jc w:val="center"/>
            </w:pPr>
            <w:r>
              <w:t xml:space="preserve">0.08</w:t>
            </w:r>
          </w:p>
        </w:tc>
      </w:tr>
      <w:tr>
        <w:tc>
          <w:tcPr/>
          <w:p>
            <w:pPr>
              <w:pStyle w:val="Compact"/>
              <w:jc w:val="left"/>
            </w:pPr>
            <w:r>
              <w:t xml:space="preserve">2.75</w:t>
            </w:r>
          </w:p>
        </w:tc>
        <w:tc>
          <w:tcPr/>
          <w:p>
            <w:pPr>
              <w:pStyle w:val="Compact"/>
              <w:jc w:val="center"/>
            </w:pPr>
            <w:r>
              <w:t xml:space="preserve">0.52</w:t>
            </w:r>
          </w:p>
        </w:tc>
        <w:tc>
          <w:tcPr/>
          <w:p>
            <w:pPr>
              <w:pStyle w:val="Compact"/>
              <w:jc w:val="center"/>
            </w:pPr>
            <w:r>
              <w:t xml:space="preserve">0.29</w:t>
            </w:r>
          </w:p>
        </w:tc>
        <w:tc>
          <w:tcPr/>
          <w:p>
            <w:pPr>
              <w:pStyle w:val="Compact"/>
              <w:jc w:val="center"/>
            </w:pPr>
            <w:r>
              <w:t xml:space="preserve">0.12</w:t>
            </w:r>
          </w:p>
        </w:tc>
        <w:tc>
          <w:tcPr/>
          <w:p>
            <w:pPr>
              <w:pStyle w:val="Compact"/>
              <w:jc w:val="center"/>
            </w:pPr>
            <w:r>
              <w:t xml:space="preserve">0.09</w:t>
            </w:r>
          </w:p>
        </w:tc>
        <w:tc>
          <w:tcPr/>
          <w:p>
            <w:pPr>
              <w:pStyle w:val="Compact"/>
              <w:jc w:val="center"/>
            </w:pPr>
            <w:r>
              <w:t xml:space="preserve">0.10</w:t>
            </w:r>
          </w:p>
        </w:tc>
        <w:tc>
          <w:tcPr/>
          <w:p>
            <w:pPr>
              <w:pStyle w:val="Compact"/>
              <w:jc w:val="center"/>
            </w:pPr>
            <w:r>
              <w:t xml:space="preserve">0.02</w:t>
            </w:r>
          </w:p>
        </w:tc>
      </w:tr>
      <w:tr>
        <w:tc>
          <w:tcPr/>
          <w:p>
            <w:pPr>
              <w:pStyle w:val="Compact"/>
              <w:jc w:val="left"/>
            </w:pPr>
            <w:r>
              <w:t xml:space="preserve">3.0</w:t>
            </w:r>
          </w:p>
        </w:tc>
        <w:tc>
          <w:tcPr/>
          <w:p>
            <w:pPr>
              <w:pStyle w:val="Compact"/>
              <w:jc w:val="center"/>
            </w:pPr>
            <w:r>
              <w:t xml:space="preserve">0.21</w:t>
            </w:r>
          </w:p>
        </w:tc>
        <w:tc>
          <w:tcPr/>
          <w:p>
            <w:pPr>
              <w:pStyle w:val="Compact"/>
              <w:jc w:val="center"/>
            </w:pPr>
            <w:r>
              <w:t xml:space="preserve">0.11</w:t>
            </w:r>
          </w:p>
        </w:tc>
        <w:tc>
          <w:tcPr/>
          <w:p>
            <w:pPr>
              <w:pStyle w:val="Compact"/>
              <w:jc w:val="center"/>
            </w:pPr>
            <w:r>
              <w:t xml:space="preserve">0.08</w:t>
            </w:r>
          </w:p>
        </w:tc>
        <w:tc>
          <w:tcPr/>
          <w:p>
            <w:pPr>
              <w:pStyle w:val="Compact"/>
              <w:jc w:val="center"/>
            </w:pPr>
            <w:r>
              <w:t xml:space="preserve">0.05</w:t>
            </w:r>
          </w:p>
        </w:tc>
        <w:tc>
          <w:tcPr/>
          <w:p>
            <w:pPr>
              <w:pStyle w:val="Compact"/>
              <w:jc w:val="center"/>
            </w:pPr>
            <w:r>
              <w:t xml:space="preserve">0.03</w:t>
            </w:r>
          </w:p>
        </w:tc>
        <w:tc>
          <w:tcPr/>
          <w:p>
            <w:pPr>
              <w:pStyle w:val="Compact"/>
              <w:jc w:val="center"/>
            </w:pPr>
            <w:r>
              <w:t xml:space="preserve">0.01</w:t>
            </w:r>
          </w:p>
        </w:tc>
      </w:tr>
    </w:tbl>
    <w:bookmarkEnd w:id="34"/>
    <w:p>
      <w:pPr>
        <w:pStyle w:val="BodyText"/>
      </w:pPr>
      <w:r>
        <w:t xml:space="preserve">The same boundary is accompanied by a kinetic signature. At fixed</w:t>
      </w:r>
      <w:r>
        <w:t xml:space="preserve"> </w:t>
      </w:r>
      <m:oMath>
        <m:r>
          <m:t>λ</m:t>
        </m:r>
        <m:r>
          <m:rPr>
            <m:sty m:val="p"/>
          </m:rPr>
          <m:t>=</m:t>
        </m:r>
        <m:r>
          <m:t>0.3</m:t>
        </m:r>
      </m:oMath>
      <w:r>
        <w:t xml:space="preserve">, the fraction of runs that have not generalized after 240</w:t>
      </w:r>
      <w:r>
        <w:t xml:space="preserve">,</w:t>
      </w:r>
      <w:r>
        <w:t xml:space="preserve">000 steps rises monotonically across fifteen seeds per cell:</w:t>
      </w:r>
      <w:r>
        <w:t xml:space="preserve"> </w:t>
      </w:r>
      <m:oMath>
        <m:r>
          <m:t>0</m:t>
        </m:r>
        <m:r>
          <m:rPr>
            <m:sty m:val="p"/>
          </m:rPr>
          <m:t>%</m:t>
        </m:r>
      </m:oMath>
      <w:r>
        <w:t xml:space="preserve"> </w:t>
      </w:r>
      <w:r>
        <w:t xml:space="preserve">at</w:t>
      </w:r>
      <w:r>
        <w:t xml:space="preserve"> </w:t>
      </w:r>
      <m:oMath>
        <m:r>
          <m:t>α</m:t>
        </m:r>
        <m:r>
          <m:rPr>
            <m:sty m:val="p"/>
          </m:rPr>
          <m:t>≤</m:t>
        </m:r>
        <m:r>
          <m:t>2.0</m:t>
        </m:r>
      </m:oMath>
      <w:r>
        <w:t xml:space="preserve">,</w:t>
      </w:r>
      <w:r>
        <w:t xml:space="preserve"> </w:t>
      </w:r>
      <m:oMath>
        <m:r>
          <m:t>27</m:t>
        </m:r>
        <m:r>
          <m:rPr>
            <m:sty m:val="p"/>
          </m:rPr>
          <m:t>%</m:t>
        </m:r>
      </m:oMath>
      <w:r>
        <w:t xml:space="preserve"> </w:t>
      </w:r>
      <w:r>
        <w:t xml:space="preserve">at</w:t>
      </w:r>
      <w:r>
        <w:t xml:space="preserve"> </w:t>
      </w:r>
      <m:oMath>
        <m:r>
          <m:t>α</m:t>
        </m:r>
        <m:r>
          <m:rPr>
            <m:sty m:val="p"/>
          </m:rPr>
          <m:t>=</m:t>
        </m:r>
        <m:r>
          <m:t>2.1</m:t>
        </m:r>
      </m:oMath>
      <w:r>
        <w:t xml:space="preserve">,</w:t>
      </w:r>
      <w:r>
        <w:t xml:space="preserve"> </w:t>
      </w:r>
      <m:oMath>
        <m:r>
          <m:t>53</m:t>
        </m:r>
        <m:r>
          <m:rPr>
            <m:sty m:val="p"/>
          </m:rPr>
          <m:t>%</m:t>
        </m:r>
      </m:oMath>
      <w:r>
        <w:t xml:space="preserve"> </w:t>
      </w:r>
      <w:r>
        <w:t xml:space="preserve">at</w:t>
      </w:r>
      <w:r>
        <w:t xml:space="preserve"> </w:t>
      </w:r>
      <m:oMath>
        <m:r>
          <m:t>α</m:t>
        </m:r>
        <m:r>
          <m:rPr>
            <m:sty m:val="p"/>
          </m:rPr>
          <m:t>=</m:t>
        </m:r>
        <m:r>
          <m:t>2.2</m:t>
        </m:r>
      </m:oMath>
      <w:r>
        <w:t xml:space="preserve">, and</w:t>
      </w:r>
      <w:r>
        <w:t xml:space="preserve"> </w:t>
      </w:r>
      <m:oMath>
        <m:r>
          <m:t>60</m:t>
        </m:r>
        <m:r>
          <m:rPr>
            <m:sty m:val="p"/>
          </m:rPr>
          <m:t>%</m:t>
        </m:r>
      </m:oMath>
      <w:r>
        <w:t xml:space="preserve"> </w:t>
      </w:r>
      <w:r>
        <w:t xml:space="preserve">at</w:t>
      </w:r>
      <w:r>
        <w:t xml:space="preserve"> </w:t>
      </w:r>
      <m:oMath>
        <m:r>
          <m:t>α</m:t>
        </m:r>
        <m:r>
          <m:rPr>
            <m:sty m:val="p"/>
          </m:rPr>
          <m:t>=</m:t>
        </m:r>
        <m:r>
          <m:t>2.25</m:t>
        </m:r>
      </m:oMath>
      <w:r>
        <w:t xml:space="preserve"> </w:t>
      </w:r>
      <w:r>
        <w:t xml:space="preserve">(Figure </w:t>
      </w:r>
      <w:hyperlink w:anchor="fig:kinetics">
        <w:r>
          <w:rPr>
            <w:rStyle w:val="Hyperlink"/>
          </w:rPr>
          <w:t xml:space="preserve">2</w:t>
        </w:r>
      </w:hyperlink>
      <w:r>
        <w:t xml:space="preserve">). At the lower weight decay</w:t>
      </w:r>
      <w:r>
        <w:t xml:space="preserve"> </w:t>
      </w:r>
      <m:oMath>
        <m:r>
          <m:t>λ</m:t>
        </m:r>
        <m:r>
          <m:rPr>
            <m:sty m:val="p"/>
          </m:rPr>
          <m:t>=</m:t>
        </m:r>
        <m:r>
          <m:t>0.05</m:t>
        </m:r>
      </m:oMath>
      <w:r>
        <w:t xml:space="preserve">, where every seed eventually generalizes within budget, the median time to generalization rises from</w:t>
      </w:r>
      <w:r>
        <w:t xml:space="preserve"> </w:t>
      </w:r>
      <m:oMath>
        <m:r>
          <m:t>12</m:t>
        </m:r>
        <m:r>
          <m:rPr>
            <m:sty m:val="p"/>
          </m:rPr>
          <m:t>,</m:t>
        </m:r>
        <m:r>
          <m:t>000</m:t>
        </m:r>
      </m:oMath>
      <w:r>
        <w:t xml:space="preserve"> </w:t>
      </w:r>
      <w:r>
        <w:t xml:space="preserve">steps at</w:t>
      </w:r>
      <w:r>
        <w:t xml:space="preserve"> </w:t>
      </w:r>
      <m:oMath>
        <m:r>
          <m:t>α</m:t>
        </m:r>
        <m:r>
          <m:rPr>
            <m:sty m:val="p"/>
          </m:rPr>
          <m:t>=</m:t>
        </m:r>
        <m:r>
          <m:t>2.0</m:t>
        </m:r>
      </m:oMath>
      <w:r>
        <w:t xml:space="preserve"> </w:t>
      </w:r>
      <w:r>
        <w:t xml:space="preserve">to</w:t>
      </w:r>
      <w:r>
        <w:t xml:space="preserve"> </w:t>
      </w:r>
      <m:oMath>
        <m:r>
          <m:t>171</m:t>
        </m:r>
        <m:r>
          <m:rPr>
            <m:sty m:val="p"/>
          </m:rPr>
          <m:t>,</m:t>
        </m:r>
        <m:r>
          <m:t>250</m:t>
        </m:r>
      </m:oMath>
      <w:r>
        <w:t xml:space="preserve"> </w:t>
      </w:r>
      <w:r>
        <w:t xml:space="preserve">steps at</w:t>
      </w:r>
      <w:r>
        <w:t xml:space="preserve"> </w:t>
      </w:r>
      <m:oMath>
        <m:r>
          <m:t>α</m:t>
        </m:r>
        <m:r>
          <m:rPr>
            <m:sty m:val="p"/>
          </m:rPr>
          <m:t>=</m:t>
        </m:r>
        <m:r>
          <m:t>2.75</m:t>
        </m:r>
      </m:oMath>
      <w:r>
        <w:t xml:space="preserve">. We describe this as critical-slowing-like behavior—a monotonic rise in failure probability and generalization time approaching the boundary—without claiming a proven divergence or a critical exponent.</w:t>
      </w:r>
    </w:p>
    <w:p>
      <w:pPr>
        <w:pStyle w:val="CaptionedFigure"/>
      </w:pPr>
      <w:r>
        <w:drawing>
          <wp:inline>
            <wp:extent cx="5067300" cy="2039185"/>
            <wp:effectExtent b="0" l="0" r="0" t="0"/>
            <wp:docPr descr="" title="" id="36" name="Picture"/>
            <a:graphic>
              <a:graphicData uri="http://schemas.openxmlformats.org/drawingml/2006/picture">
                <pic:pic>
                  <pic:nvPicPr>
                    <pic:cNvPr descr="fig2_kinetics.pdf" id="37" name="Picture"/>
                    <pic:cNvPicPr>
                      <a:picLocks noChangeArrowheads="1" noChangeAspect="1"/>
                    </pic:cNvPicPr>
                  </pic:nvPicPr>
                  <pic:blipFill>
                    <a:blip r:embed="rId35"/>
                    <a:stretch>
                      <a:fillRect/>
                    </a:stretch>
                  </pic:blipFill>
                  <pic:spPr bwMode="auto">
                    <a:xfrm>
                      <a:off x="0" y="0"/>
                      <a:ext cx="5067300" cy="2039185"/>
                    </a:xfrm>
                    <a:prstGeom prst="rect">
                      <a:avLst/>
                    </a:prstGeom>
                    <a:noFill/>
                    <a:ln w="9525">
                      <a:noFill/>
                      <a:headEnd/>
                      <a:tailEnd/>
                    </a:ln>
                  </pic:spPr>
                </pic:pic>
              </a:graphicData>
            </a:graphic>
          </wp:inline>
        </w:drawing>
      </w:r>
    </w:p>
    <w:p>
      <w:pPr>
        <w:pStyle w:val="ImageCaption"/>
      </w:pPr>
      <w:r>
        <w:t xml:space="preserve">Kinetic signature of the boundary. (a) Censoring fraction (fraction not generalized by 240k steps),</w:t>
      </w:r>
      <w:r>
        <w:t xml:space="preserve"> </w:t>
      </w:r>
      <m:oMath>
        <m:r>
          <m:t>λ</m:t>
        </m:r>
        <m:r>
          <m:rPr>
            <m:sty m:val="p"/>
          </m:rPr>
          <m:t>=</m:t>
        </m:r>
        <m:r>
          <m:t>0.3</m:t>
        </m:r>
      </m:oMath>
      <w:r>
        <w:t xml:space="preserve">, 15 seeds/cell. (b) Median generalization time (observed seeds only),</w:t>
      </w:r>
      <w:r>
        <w:t xml:space="preserve"> </w:t>
      </w:r>
      <m:oMath>
        <m:r>
          <m:t>λ</m:t>
        </m:r>
        <m:r>
          <m:rPr>
            <m:sty m:val="p"/>
          </m:rPr>
          <m:t>=</m:t>
        </m:r>
        <m:r>
          <m:t>0.05</m:t>
        </m:r>
      </m:oMath>
      <w:r>
        <w:t xml:space="preserve">.</w:t>
      </w:r>
    </w:p>
    <w:bookmarkEnd w:id="38"/>
    <w:bookmarkStart w:id="43" w:name="sec:results-rescue"/>
    <w:p>
      <w:pPr>
        <w:pStyle w:val="Heading2"/>
      </w:pPr>
      <w:r>
        <w:rPr>
          <w:rStyle w:val="SectionNumber"/>
        </w:rPr>
        <w:t xml:space="preserve">4.2</w:t>
      </w:r>
      <w:r>
        <w:tab/>
      </w:r>
      <w:r>
        <w:t xml:space="preserve">A low-dose rescue intervention</w:t>
      </w:r>
    </w:p>
    <w:p>
      <w:pPr>
        <w:pStyle w:val="FirstParagraph"/>
      </w:pPr>
      <w:r>
        <w:t xml:space="preserve">Injecting a small fraction of uniformly-sampled examples into an otherwise skewed minibatch rescues both failure modes identified by the verdict rule:</w:t>
      </w:r>
      <w:r>
        <w:t xml:space="preserve"> </w:t>
      </w:r>
      <w:r>
        <w:rPr>
          <w:smallCaps/>
        </w:rPr>
        <w:t xml:space="preserve">Trap</w:t>
      </w:r>
      <w:r>
        <w:t xml:space="preserve">, where accuracy is high on the frequent head but low overall,</w:t>
      </w:r>
      <w:r>
        <w:t xml:space="preserve"> </w:t>
      </w:r>
      <w:r>
        <w:t xml:space="preserve">“</w:t>
      </w:r>
      <w:r>
        <w:t xml:space="preserve">trapped</w:t>
      </w:r>
      <w:r>
        <w:t xml:space="preserve">”</w:t>
      </w:r>
      <w:r>
        <w:t xml:space="preserve"> </w:t>
      </w:r>
      <w:r>
        <w:t xml:space="preserve">on the head, and</w:t>
      </w:r>
      <w:r>
        <w:t xml:space="preserve"> </w:t>
      </w:r>
      <w:r>
        <w:rPr>
          <w:smallCaps/>
        </w:rPr>
        <w:t xml:space="preserve">Crush</w:t>
      </w:r>
      <w:r>
        <w:t xml:space="preserve">, where accuracy is low even on the head,</w:t>
      </w:r>
      <w:r>
        <w:t xml:space="preserve"> </w:t>
      </w:r>
      <w:r>
        <w:t xml:space="preserve">“</w:t>
      </w:r>
      <w:r>
        <w:t xml:space="preserve">starved</w:t>
      </w:r>
      <w:r>
        <w:t xml:space="preserve">”</w:t>
      </w:r>
      <w:r>
        <w:t xml:space="preserve"> </w:t>
      </w:r>
      <w:r>
        <w:t xml:space="preserve">of any learnable signal. Doses below</w:t>
      </w:r>
      <w:r>
        <w:t xml:space="preserve"> </w:t>
      </w:r>
      <m:oMath>
        <m:r>
          <m:t>0.78</m:t>
        </m:r>
        <m:r>
          <m:rPr>
            <m:sty m:val="p"/>
          </m:rPr>
          <m:t>%</m:t>
        </m:r>
      </m:oMath>
      <w:r>
        <w:t xml:space="preserve">,</w:t>
      </w:r>
      <w:r>
        <w:t xml:space="preserve"> </w:t>
      </w:r>
      <m:oMath>
        <m:r>
          <m:t>k</m:t>
        </m:r>
        <m:r>
          <m:rPr>
            <m:sty m:val="p"/>
          </m:rPr>
          <m:t>=</m:t>
        </m:r>
        <m:r>
          <m:t>1</m:t>
        </m:r>
      </m:oMath>
      <w:r>
        <w:t xml:space="preserve"> </w:t>
      </w:r>
      <w:r>
        <w:t xml:space="preserve">per 128, were initially implemented by holding</w:t>
      </w:r>
      <w:r>
        <w:t xml:space="preserve"> </w:t>
      </w:r>
      <m:oMath>
        <m:r>
          <m:t>k</m:t>
        </m:r>
        <m:r>
          <m:rPr>
            <m:sty m:val="p"/>
          </m:rPr>
          <m:t>=</m:t>
        </m:r>
        <m:r>
          <m:t>1</m:t>
        </m:r>
      </m:oMath>
      <w:r>
        <w:t xml:space="preserve"> </w:t>
      </w:r>
      <w:r>
        <w:t xml:space="preserve">fixed and varying batch size,</w:t>
      </w:r>
      <w:r>
        <w:t xml:space="preserve"> </w:t>
      </w:r>
      <m:oMath>
        <m:r>
          <m:t>1024</m:t>
        </m:r>
      </m:oMath>
      <w:r>
        <w:t xml:space="preserve">,</w:t>
      </w:r>
      <w:r>
        <w:t xml:space="preserve"> </w:t>
      </w:r>
      <m:oMath>
        <m:r>
          <m:t>512</m:t>
        </m:r>
      </m:oMath>
      <w:r>
        <w:t xml:space="preserve">,</w:t>
      </w:r>
      <w:r>
        <w:t xml:space="preserve"> </w:t>
      </w:r>
      <m:oMath>
        <m:r>
          <m:t>256</m:t>
        </m:r>
      </m:oMath>
      <w:r>
        <w:t xml:space="preserve">,</w:t>
      </w:r>
      <w:r>
        <w:t xml:space="preserve"> </w:t>
      </w:r>
      <m:oMath>
        <m:r>
          <m:t>128</m:t>
        </m:r>
      </m:oMath>
      <w:r>
        <w:t xml:space="preserve">, with step count scaled inversely to hold total sample count fixed; this protocol varies batch size and optimizer-update count jointly with dose. To deconfound dose from batch size and update count, we separately ran a second dose sweep with batch size</w:t>
      </w:r>
      <w:r>
        <w:t xml:space="preserve"> </w:t>
      </w:r>
      <m:oMath>
        <m:r>
          <m:t>128</m:t>
        </m:r>
      </m:oMath>
      <w:r>
        <w:t xml:space="preserve"> </w:t>
      </w:r>
      <w:r>
        <w:t xml:space="preserve">and step count</w:t>
      </w:r>
      <w:r>
        <w:t xml:space="preserve"> </w:t>
      </w:r>
      <m:oMath>
        <m:r>
          <m:t>60</m:t>
        </m:r>
        <m:r>
          <m:rPr>
            <m:sty m:val="p"/>
          </m:rPr>
          <m:t>,</m:t>
        </m:r>
        <m:r>
          <m:t>000</m:t>
        </m:r>
      </m:oMath>
      <w:r>
        <w:t xml:space="preserve"> </w:t>
      </w:r>
      <w:r>
        <w:t xml:space="preserve">held fixed throughout: at each step, with probability</w:t>
      </w:r>
      <w:r>
        <w:t xml:space="preserve"> </w:t>
      </w:r>
      <m:oMath>
        <m:r>
          <m:t>q</m:t>
        </m:r>
      </m:oMath>
      <w:r>
        <w:t xml:space="preserve"> </w:t>
      </w:r>
      <w:r>
        <w:t xml:space="preserve">one of the 128 slots is replaced by a uniformly-sampled state, giving expected dose</w:t>
      </w:r>
      <w:r>
        <w:t xml:space="preserve"> </w:t>
      </w:r>
      <m:oMath>
        <m:r>
          <m:t>q</m:t>
        </m:r>
        <m:r>
          <m:rPr>
            <m:sty m:val="p"/>
          </m:rPr>
          <m:t>/</m:t>
        </m:r>
        <m:r>
          <m:t>128</m:t>
        </m:r>
      </m:oMath>
      <w:r>
        <w:t xml:space="preserve">;</w:t>
      </w:r>
      <w:r>
        <w:t xml:space="preserve"> </w:t>
      </w:r>
      <m:oMath>
        <m:r>
          <m:t>q</m:t>
        </m:r>
        <m:r>
          <m:rPr>
            <m:sty m:val="p"/>
          </m:rPr>
          <m:t>=</m:t>
        </m:r>
        <m:r>
          <m:t>1</m:t>
        </m:r>
      </m:oMath>
      <w:r>
        <w:t xml:space="preserve"> </w:t>
      </w:r>
      <w:r>
        <w:t xml:space="preserve">exactly reproduces the batch-128 endpoint of the first sweep. Across</w:t>
      </w:r>
      <w:r>
        <w:t xml:space="preserve"> </w:t>
      </w:r>
      <m:oMath>
        <m:r>
          <m:t>q</m:t>
        </m:r>
        <m:r>
          <m:rPr>
            <m:sty m:val="p"/>
          </m:rPr>
          <m:t>∈</m:t>
        </m:r>
        <m:r>
          <m:rPr>
            <m:sty m:val="p"/>
          </m:rPr>
          <m:t>{</m:t>
        </m:r>
        <m:r>
          <m:t>0.1</m:t>
        </m:r>
        <m:r>
          <m:rPr>
            <m:sty m:val="p"/>
          </m:rPr>
          <m:t>,</m:t>
        </m:r>
        <m:r>
          <m:t>0.25</m:t>
        </m:r>
        <m:r>
          <m:rPr>
            <m:sty m:val="p"/>
          </m:rPr>
          <m:t>,</m:t>
        </m:r>
        <m:r>
          <m:t>0.5</m:t>
        </m:r>
        <m:r>
          <m:rPr>
            <m:sty m:val="p"/>
          </m:rPr>
          <m:t>,</m:t>
        </m:r>
        <m:r>
          <m:t>0.75</m:t>
        </m:r>
        <m:r>
          <m:rPr>
            <m:sty m:val="p"/>
          </m:rPr>
          <m:t>,</m:t>
        </m:r>
        <m:r>
          <m:t>1.0</m:t>
        </m:r>
        <m:r>
          <m:rPr>
            <m:sty m:val="p"/>
          </m:rPr>
          <m:t>}</m:t>
        </m:r>
      </m:oMath>
      <w:r>
        <w:t xml:space="preserve">, expected dose</w:t>
      </w:r>
      <w:r>
        <w:t xml:space="preserve"> </w:t>
      </w:r>
      <m:oMath>
        <m:r>
          <m:t>0.078</m:t>
        </m:r>
        <m:r>
          <m:rPr>
            <m:sty m:val="p"/>
          </m:rPr>
          <m:t>%</m:t>
        </m:r>
      </m:oMath>
      <w:r>
        <w:t xml:space="preserve">–</w:t>
      </w:r>
      <m:oMath>
        <m:r>
          <m:t>0.781</m:t>
        </m:r>
        <m:r>
          <m:rPr>
            <m:sty m:val="p"/>
          </m:rPr>
          <m:t>%</m:t>
        </m:r>
      </m:oMath>
      <w:r>
        <w:t xml:space="preserve">, pooling 24 seeds per dose point across the same three</w:t>
      </w:r>
      <w:r>
        <w:t xml:space="preserve"> </w:t>
      </w:r>
      <m:oMath>
        <m:r>
          <m:t>α</m:t>
        </m:r>
      </m:oMath>
      <w:r>
        <w:t xml:space="preserve"> </w:t>
      </w:r>
      <w:r>
        <w:t xml:space="preserve">values, mean accuracy rises through</w:t>
      </w:r>
      <w:r>
        <w:t xml:space="preserve"> </w:t>
      </w:r>
      <m:oMath>
        <m:r>
          <m:t>q</m:t>
        </m:r>
        <m:r>
          <m:rPr>
            <m:sty m:val="p"/>
          </m:rPr>
          <m:t>=</m:t>
        </m:r>
        <m:r>
          <m:t>0.75</m:t>
        </m:r>
      </m:oMath>
      <w:r>
        <w:t xml:space="preserve"> </w:t>
      </w:r>
      <w:r>
        <w:t xml:space="preserve">and then plateaus within sampling noise,</w:t>
      </w:r>
      <w:r>
        <w:t xml:space="preserve"> </w:t>
      </w:r>
      <m:oMath>
        <m:r>
          <m:t>0.478</m:t>
        </m:r>
        <m:r>
          <m:rPr>
            <m:sty m:val="p"/>
          </m:rPr>
          <m:t>→</m:t>
        </m:r>
        <m:r>
          <m:t>0.683</m:t>
        </m:r>
        <m:r>
          <m:rPr>
            <m:sty m:val="p"/>
          </m:rPr>
          <m:t>→</m:t>
        </m:r>
        <m:r>
          <m:t>0.846</m:t>
        </m:r>
        <m:r>
          <m:rPr>
            <m:sty m:val="p"/>
          </m:rPr>
          <m:t>→</m:t>
        </m:r>
        <m:r>
          <m:t>0.927</m:t>
        </m:r>
        <m:r>
          <m:rPr>
            <m:sty m:val="p"/>
          </m:rPr>
          <m:t>→</m:t>
        </m:r>
        <m:r>
          <m:t>0.924</m:t>
        </m:r>
      </m:oMath>
      <w:r>
        <w:t xml:space="preserve">, and the fraction generalizing rises from</w:t>
      </w:r>
      <w:r>
        <w:t xml:space="preserve"> </w:t>
      </w:r>
      <m:oMath>
        <m:r>
          <m:t>0</m:t>
        </m:r>
        <m:r>
          <m:rPr>
            <m:sty m:val="p"/>
          </m:rPr>
          <m:t>/</m:t>
        </m:r>
        <m:r>
          <m:t>24</m:t>
        </m:r>
      </m:oMath>
      <w:r>
        <w:t xml:space="preserve"> </w:t>
      </w:r>
      <w:r>
        <w:t xml:space="preserve">at</w:t>
      </w:r>
      <w:r>
        <w:t xml:space="preserve"> </w:t>
      </w:r>
      <m:oMath>
        <m:r>
          <m:t>0.078</m:t>
        </m:r>
        <m:r>
          <m:rPr>
            <m:sty m:val="p"/>
          </m:rPr>
          <m:t>%</m:t>
        </m:r>
      </m:oMath>
      <w:r>
        <w:t xml:space="preserve">–</w:t>
      </w:r>
      <m:oMath>
        <m:r>
          <m:t>0.195</m:t>
        </m:r>
        <m:r>
          <m:rPr>
            <m:sty m:val="p"/>
          </m:rPr>
          <m:t>%</m:t>
        </m:r>
      </m:oMath>
      <w:r>
        <w:t xml:space="preserve"> </w:t>
      </w:r>
      <w:r>
        <w:t xml:space="preserve">to</w:t>
      </w:r>
      <w:r>
        <w:t xml:space="preserve"> </w:t>
      </w:r>
      <m:oMath>
        <m:r>
          <m:t>7</m:t>
        </m:r>
        <m:r>
          <m:rPr>
            <m:sty m:val="p"/>
          </m:rPr>
          <m:t>/</m:t>
        </m:r>
        <m:r>
          <m:t>24</m:t>
        </m:r>
      </m:oMath>
      <w:r>
        <w:t xml:space="preserve"> </w:t>
      </w:r>
      <w:r>
        <w:t xml:space="preserve">at</w:t>
      </w:r>
      <w:r>
        <w:t xml:space="preserve"> </w:t>
      </w:r>
      <m:oMath>
        <m:r>
          <m:t>0.391</m:t>
        </m:r>
        <m:r>
          <m:rPr>
            <m:sty m:val="p"/>
          </m:rPr>
          <m:t>%</m:t>
        </m:r>
      </m:oMath>
      <w:r>
        <w:t xml:space="preserve"> </w:t>
      </w:r>
      <w:r>
        <w:t xml:space="preserve">to</w:t>
      </w:r>
      <w:r>
        <w:t xml:space="preserve"> </w:t>
      </w:r>
      <m:oMath>
        <m:r>
          <m:t>19</m:t>
        </m:r>
        <m:r>
          <m:rPr>
            <m:sty m:val="p"/>
          </m:rPr>
          <m:t>/</m:t>
        </m:r>
        <m:r>
          <m:t>24</m:t>
        </m:r>
      </m:oMath>
      <w:r>
        <w:t xml:space="preserve"> </w:t>
      </w:r>
      <w:r>
        <w:t xml:space="preserve">at</w:t>
      </w:r>
      <w:r>
        <w:t xml:space="preserve"> </w:t>
      </w:r>
      <m:oMath>
        <m:r>
          <m:t>0.586</m:t>
        </m:r>
        <m:r>
          <m:rPr>
            <m:sty m:val="p"/>
          </m:rPr>
          <m:t>%</m:t>
        </m:r>
      </m:oMath>
      <w:r>
        <w:t xml:space="preserve">, with</w:t>
      </w:r>
      <w:r>
        <w:t xml:space="preserve"> </w:t>
      </w:r>
      <m:oMath>
        <m:r>
          <m:t>0.781</m:t>
        </m:r>
        <m:r>
          <m:rPr>
            <m:sty m:val="p"/>
          </m:rPr>
          <m:t>%</m:t>
        </m:r>
      </m:oMath>
      <w:r>
        <w:t xml:space="preserve"> </w:t>
      </w:r>
      <w:r>
        <w:t xml:space="preserve">statistically flat relative to</w:t>
      </w:r>
      <w:r>
        <w:t xml:space="preserve"> </w:t>
      </w:r>
      <m:oMath>
        <m:r>
          <m:t>0.586</m:t>
        </m:r>
        <m:r>
          <m:rPr>
            <m:sty m:val="p"/>
          </m:rPr>
          <m:t>%</m:t>
        </m:r>
      </m:oMath>
      <w:r>
        <w:t xml:space="preserve"> </w:t>
      </w:r>
      <w:r>
        <w:t xml:space="preserve">at</w:t>
      </w:r>
      <w:r>
        <w:t xml:space="preserve"> </w:t>
      </w:r>
      <m:oMath>
        <m:r>
          <m:t>17</m:t>
        </m:r>
        <m:r>
          <m:rPr>
            <m:sty m:val="p"/>
          </m:rPr>
          <m:t>/</m:t>
        </m:r>
        <m:r>
          <m:t>24</m:t>
        </m:r>
      </m:oMath>
      <w:r>
        <w:t xml:space="preserve">. The deconfounded sweep confirms the direction and rough location of the dose effect but shows a more gradual rise than the original batch-varying protocol’s near-binary jump from</w:t>
      </w:r>
      <w:r>
        <w:t xml:space="preserve"> </w:t>
      </w:r>
      <m:oMath>
        <m:r>
          <m:t>0</m:t>
        </m:r>
      </m:oMath>
      <w:r>
        <w:t xml:space="preserve">–</w:t>
      </w:r>
      <m:oMath>
        <m:r>
          <m:t>2</m:t>
        </m:r>
      </m:oMath>
      <w:r>
        <w:t xml:space="preserve"> </w:t>
      </w:r>
      <w:r>
        <w:t xml:space="preserve">of eight seeds to</w:t>
      </w:r>
      <w:r>
        <w:t xml:space="preserve"> </w:t>
      </w:r>
      <m:oMath>
        <m:r>
          <m:t>8</m:t>
        </m:r>
        <m:r>
          <m:rPr>
            <m:sty m:val="p"/>
          </m:rPr>
          <m:t>/</m:t>
        </m:r>
        <m:r>
          <m:t>8</m:t>
        </m:r>
      </m:oMath>
      <w:r>
        <w:t xml:space="preserve">; we read the original protocol’s sharpness as partly an artifact of its confound with batch size and update count, and report the deconfounded sweep as the more reliable characterization of the transition’s shape. The batch-varying sweep in Figure </w:t>
      </w:r>
      <w:hyperlink w:anchor="fig:doseresponse">
        <w:r>
          <w:rPr>
            <w:rStyle w:val="Hyperlink"/>
          </w:rPr>
          <w:t xml:space="preserve">3</w:t>
        </w:r>
      </w:hyperlink>
      <w:r>
        <w:t xml:space="preserve"> </w:t>
      </w:r>
      <w:r>
        <w:t xml:space="preserve">is retained because it is the protocol used for the injection-ranking controls and the shortened-budget result later in this section; both sweeps agree that the onset of substantial rescue probability lies in the</w:t>
      </w:r>
      <w:r>
        <w:t xml:space="preserve"> </w:t>
      </w:r>
      <m:oMath>
        <m:r>
          <m:t>0.4</m:t>
        </m:r>
        <m:r>
          <m:rPr>
            <m:sty m:val="p"/>
          </m:rPr>
          <m:t>%</m:t>
        </m:r>
      </m:oMath>
      <w:r>
        <w:t xml:space="preserve">–</w:t>
      </w:r>
      <m:oMath>
        <m:r>
          <m:t>0.8</m:t>
        </m:r>
        <m:r>
          <m:rPr>
            <m:sty m:val="p"/>
          </m:rPr>
          <m:t>%</m:t>
        </m:r>
      </m:oMath>
      <w:r>
        <w:t xml:space="preserve"> </w:t>
      </w:r>
      <w:r>
        <w:t xml:space="preserve">dose range, with dose below</w:t>
      </w:r>
      <w:r>
        <w:t xml:space="preserve"> </w:t>
      </w:r>
      <m:oMath>
        <m:r>
          <m:t>0.2</m:t>
        </m:r>
        <m:r>
          <m:rPr>
            <m:sty m:val="p"/>
          </m:rPr>
          <m:t>%</m:t>
        </m:r>
      </m:oMath>
      <w:r>
        <w:t xml:space="preserve"> </w:t>
      </w:r>
      <w:r>
        <w:t xml:space="preserve">not sufficient.</w:t>
      </w:r>
    </w:p>
    <w:p>
      <w:pPr>
        <w:pStyle w:val="CaptionedFigure"/>
      </w:pPr>
      <w:r>
        <w:drawing>
          <wp:inline>
            <wp:extent cx="3733800" cy="2459915"/>
            <wp:effectExtent b="0" l="0" r="0" t="0"/>
            <wp:docPr descr="" title="" id="40" name="Picture"/>
            <a:graphic>
              <a:graphicData uri="http://schemas.openxmlformats.org/drawingml/2006/picture">
                <pic:pic>
                  <pic:nvPicPr>
                    <pic:cNvPr descr="fig3_doseresponse.pdf" id="41" name="Picture"/>
                    <pic:cNvPicPr>
                      <a:picLocks noChangeArrowheads="1" noChangeAspect="1"/>
                    </pic:cNvPicPr>
                  </pic:nvPicPr>
                  <pic:blipFill>
                    <a:blip r:embed="rId39"/>
                    <a:stretch>
                      <a:fillRect/>
                    </a:stretch>
                  </pic:blipFill>
                  <pic:spPr bwMode="auto">
                    <a:xfrm>
                      <a:off x="0" y="0"/>
                      <a:ext cx="3733800" cy="2459915"/>
                    </a:xfrm>
                    <a:prstGeom prst="rect">
                      <a:avLst/>
                    </a:prstGeom>
                    <a:noFill/>
                    <a:ln w="9525">
                      <a:noFill/>
                      <a:headEnd/>
                      <a:tailEnd/>
                    </a:ln>
                  </pic:spPr>
                </pic:pic>
              </a:graphicData>
            </a:graphic>
          </wp:inline>
        </w:drawing>
      </w:r>
    </w:p>
    <w:p>
      <w:pPr>
        <w:pStyle w:val="ImageCaption"/>
      </w:pPr>
      <w:r>
        <w:t xml:space="preserve">Dose-response curves for uniform injection at</w:t>
      </w:r>
      <w:r>
        <w:t xml:space="preserve"> </w:t>
      </w:r>
      <m:oMath>
        <m:r>
          <m:t>λ</m:t>
        </m:r>
        <m:r>
          <m:rPr>
            <m:sty m:val="p"/>
          </m:rPr>
          <m:t>=</m:t>
        </m:r>
        <m:r>
          <m:t>0.3</m:t>
        </m:r>
      </m:oMath>
      <w:r>
        <w:t xml:space="preserve">, three skew values (batch-varying protocol). The shaded band marks the transition region.</w:t>
      </w:r>
    </w:p>
    <w:bookmarkStart w:id="42" w:name="tab:doseclean"/>
    <w:p>
      <w:pPr>
        <w:pStyle w:val="TableCaption"/>
      </w:pPr>
      <w:r>
        <w:t xml:space="preserve">Deconfounded dose sweep: batch size (128) and step count (</w:t>
      </w:r>
      <m:oMath>
        <m:r>
          <m:t>60</m:t>
        </m:r>
        <m:r>
          <m:rPr>
            <m:sty m:val="p"/>
          </m:rPr>
          <m:t>,</m:t>
        </m:r>
        <m:r>
          <m:t>000</m:t>
        </m:r>
      </m:oMath>
      <w:r>
        <w:t xml:space="preserve">) fixed throughout; expected dose</w:t>
      </w:r>
      <w:r>
        <w:t xml:space="preserve"> </w:t>
      </w:r>
      <m:oMath>
        <m:r>
          <m:t>q</m:t>
        </m:r>
        <m:r>
          <m:rPr>
            <m:sty m:val="p"/>
          </m:rPr>
          <m:t>/</m:t>
        </m:r>
        <m:r>
          <m:t>128</m:t>
        </m:r>
      </m:oMath>
      <w:r>
        <w:t xml:space="preserve"> </w:t>
      </w:r>
      <w:r>
        <w:t xml:space="preserve">implemented by probabilistic single-slot replacement. Pooled across</w:t>
      </w:r>
      <w:r>
        <w:t xml:space="preserve"> </w:t>
      </w:r>
      <m:oMath>
        <m:r>
          <m:t>α</m:t>
        </m:r>
        <m:r>
          <m:rPr>
            <m:sty m:val="p"/>
          </m:rPr>
          <m:t>∈</m:t>
        </m:r>
        <m:r>
          <m:rPr>
            <m:sty m:val="p"/>
          </m:rPr>
          <m:t>{</m:t>
        </m:r>
        <m:r>
          <m:t>2.5</m:t>
        </m:r>
        <m:r>
          <m:rPr>
            <m:sty m:val="p"/>
          </m:rPr>
          <m:t>,</m:t>
        </m:r>
        <m:r>
          <m:t>2.75</m:t>
        </m:r>
        <m:r>
          <m:rPr>
            <m:sty m:val="p"/>
          </m:rPr>
          <m:t>,</m:t>
        </m:r>
        <m:r>
          <m:t>3.0</m:t>
        </m:r>
        <m:r>
          <m:rPr>
            <m:sty m:val="p"/>
          </m:rPr>
          <m:t>}</m:t>
        </m:r>
      </m:oMath>
      <w:r>
        <w:t xml:space="preserve">, 24 seeds per dose point (per-</w:t>
      </w:r>
      <m:oMath>
        <m:r>
          <m:t>α</m:t>
        </m:r>
      </m:oMath>
      <w:r>
        <w:t xml:space="preserve"> </w:t>
      </w:r>
      <w:r>
        <w:t xml:space="preserve">breakdown in Appendix C, Table </w:t>
      </w:r>
      <w:hyperlink w:anchor="tab:doseclean-peralpha">
        <w:r>
          <w:rPr>
            <w:rStyle w:val="Hyperlink"/>
          </w:rPr>
          <w:t xml:space="preserve">10</w:t>
        </w:r>
      </w:hyperlink>
      <w:r>
        <w:t xml:space="preserve">).</w:t>
      </w:r>
    </w:p>
    <w:tbl>
      <w:tblPr>
        <w:tblStyle w:val="Table"/>
        <w:tblW w:type="auto" w:w="0"/>
        <w:tblLook w:firstRow="1" w:lastRow="0" w:firstColumn="0" w:lastColumn="0" w:noHBand="0" w:noVBand="0" w:val="0020"/>
        <w:jc w:val="start"/>
        <w:tblCaption w:val="Deconfounded dose sweep: batch size (128) and step count (60{,}000) fixed throughout; expected dose q/128 implemented by probabilistic single-slot replacement. Pooled across \alpha\in\{2.5,2.75,3.0\}, 24 seeds per dose point (per-\alpha breakdown in Appendix C, Table 10)."/>
      </w:tblPr>
      <w:tblGrid>
        <w:gridCol w:w="1980"/>
        <w:gridCol w:w="1980"/>
        <w:gridCol w:w="1980"/>
        <w:gridCol w:w="1980"/>
      </w:tblGrid>
      <w:tr>
        <w:trPr>
          <w:tblHeader w:val="true"/>
        </w:trPr>
        <w:tc>
          <w:tcPr/>
          <w:p>
            <w:pPr>
              <w:pStyle w:val="Compact"/>
              <w:jc w:val="left"/>
            </w:pPr>
            <m:oMath>
              <m:r>
                <m:t>q</m:t>
              </m:r>
            </m:oMath>
          </w:p>
        </w:tc>
        <w:tc>
          <w:tcPr/>
          <w:p>
            <w:pPr>
              <w:pStyle w:val="Compact"/>
              <w:jc w:val="center"/>
            </w:pPr>
            <w:r>
              <w:t xml:space="preserve">Expected dose</w:t>
            </w:r>
          </w:p>
        </w:tc>
        <w:tc>
          <w:tcPr/>
          <w:p>
            <w:pPr>
              <w:pStyle w:val="Compact"/>
              <w:jc w:val="center"/>
            </w:pPr>
            <w:r>
              <w:t xml:space="preserve">Fraction generalizing</w:t>
            </w:r>
          </w:p>
        </w:tc>
        <w:tc>
          <w:tcPr/>
          <w:p>
            <w:pPr>
              <w:pStyle w:val="Compact"/>
              <w:jc w:val="center"/>
            </w:pPr>
            <w:r>
              <w:t xml:space="preserve">Mean</w:t>
            </w:r>
            <w:r>
              <w:t xml:space="preserve"> </w:t>
            </w:r>
            <m:oMath>
              <m:sSub>
                <m:e>
                  <m:r>
                    <m:t>A</m:t>
                  </m:r>
                </m:e>
                <m:sub>
                  <m:r>
                    <m:rPr>
                      <m:sty m:val="p"/>
                    </m:rPr>
                    <m:t>u</m:t>
                  </m:r>
                  <m:r>
                    <m:rPr>
                      <m:sty m:val="p"/>
                    </m:rPr>
                    <m:t>n</m:t>
                  </m:r>
                  <m:r>
                    <m:rPr>
                      <m:sty m:val="p"/>
                    </m:rPr>
                    <m:t>i</m:t>
                  </m:r>
                  <m:r>
                    <m:rPr>
                      <m:sty m:val="p"/>
                    </m:rPr>
                    <m:t>f</m:t>
                  </m:r>
                </m:sub>
              </m:sSub>
            </m:oMath>
          </w:p>
        </w:tc>
      </w:tr>
      <w:tr>
        <w:tc>
          <w:tcPr/>
          <w:p>
            <w:pPr>
              <w:pStyle w:val="Compact"/>
              <w:jc w:val="left"/>
            </w:pPr>
            <w:r>
              <w:t xml:space="preserve">0.10</w:t>
            </w:r>
          </w:p>
        </w:tc>
        <w:tc>
          <w:tcPr/>
          <w:p>
            <w:pPr>
              <w:pStyle w:val="Compact"/>
              <w:jc w:val="center"/>
            </w:pPr>
            <m:oMath>
              <m:r>
                <m:t>0.078</m:t>
              </m:r>
              <m:r>
                <m:rPr>
                  <m:sty m:val="p"/>
                </m:rPr>
                <m:t>%</m:t>
              </m:r>
            </m:oMath>
          </w:p>
        </w:tc>
        <w:tc>
          <w:tcPr/>
          <w:p>
            <w:pPr>
              <w:pStyle w:val="Compact"/>
              <w:jc w:val="center"/>
            </w:pPr>
            <m:oMath>
              <m:r>
                <m:t>0</m:t>
              </m:r>
              <m:r>
                <m:rPr>
                  <m:sty m:val="p"/>
                </m:rPr>
                <m:t>/</m:t>
              </m:r>
              <m:r>
                <m:t>24</m:t>
              </m:r>
            </m:oMath>
          </w:p>
        </w:tc>
        <w:tc>
          <w:tcPr/>
          <w:p>
            <w:pPr>
              <w:pStyle w:val="Compact"/>
              <w:jc w:val="center"/>
            </w:pPr>
            <m:oMath>
              <m:r>
                <m:t>0.478</m:t>
              </m:r>
            </m:oMath>
          </w:p>
        </w:tc>
      </w:tr>
      <w:tr>
        <w:tc>
          <w:tcPr/>
          <w:p>
            <w:pPr>
              <w:pStyle w:val="Compact"/>
              <w:jc w:val="left"/>
            </w:pPr>
            <w:r>
              <w:t xml:space="preserve">0.25</w:t>
            </w:r>
          </w:p>
        </w:tc>
        <w:tc>
          <w:tcPr/>
          <w:p>
            <w:pPr>
              <w:pStyle w:val="Compact"/>
              <w:jc w:val="center"/>
            </w:pPr>
            <m:oMath>
              <m:r>
                <m:t>0.195</m:t>
              </m:r>
              <m:r>
                <m:rPr>
                  <m:sty m:val="p"/>
                </m:rPr>
                <m:t>%</m:t>
              </m:r>
            </m:oMath>
          </w:p>
        </w:tc>
        <w:tc>
          <w:tcPr/>
          <w:p>
            <w:pPr>
              <w:pStyle w:val="Compact"/>
              <w:jc w:val="center"/>
            </w:pPr>
            <m:oMath>
              <m:r>
                <m:t>0</m:t>
              </m:r>
              <m:r>
                <m:rPr>
                  <m:sty m:val="p"/>
                </m:rPr>
                <m:t>/</m:t>
              </m:r>
              <m:r>
                <m:t>24</m:t>
              </m:r>
            </m:oMath>
          </w:p>
        </w:tc>
        <w:tc>
          <w:tcPr/>
          <w:p>
            <w:pPr>
              <w:pStyle w:val="Compact"/>
              <w:jc w:val="center"/>
            </w:pPr>
            <m:oMath>
              <m:r>
                <m:t>0.683</m:t>
              </m:r>
            </m:oMath>
          </w:p>
        </w:tc>
      </w:tr>
      <w:tr>
        <w:tc>
          <w:tcPr/>
          <w:p>
            <w:pPr>
              <w:pStyle w:val="Compact"/>
              <w:jc w:val="left"/>
            </w:pPr>
            <w:r>
              <w:t xml:space="preserve">0.50</w:t>
            </w:r>
          </w:p>
        </w:tc>
        <w:tc>
          <w:tcPr/>
          <w:p>
            <w:pPr>
              <w:pStyle w:val="Compact"/>
              <w:jc w:val="center"/>
            </w:pPr>
            <m:oMath>
              <m:r>
                <m:t>0.391</m:t>
              </m:r>
              <m:r>
                <m:rPr>
                  <m:sty m:val="p"/>
                </m:rPr>
                <m:t>%</m:t>
              </m:r>
            </m:oMath>
          </w:p>
        </w:tc>
        <w:tc>
          <w:tcPr/>
          <w:p>
            <w:pPr>
              <w:pStyle w:val="Compact"/>
              <w:jc w:val="center"/>
            </w:pPr>
            <m:oMath>
              <m:r>
                <m:t>7</m:t>
              </m:r>
              <m:r>
                <m:rPr>
                  <m:sty m:val="p"/>
                </m:rPr>
                <m:t>/</m:t>
              </m:r>
              <m:r>
                <m:t>24</m:t>
              </m:r>
            </m:oMath>
          </w:p>
        </w:tc>
        <w:tc>
          <w:tcPr/>
          <w:p>
            <w:pPr>
              <w:pStyle w:val="Compact"/>
              <w:jc w:val="center"/>
            </w:pPr>
            <m:oMath>
              <m:r>
                <m:t>0.846</m:t>
              </m:r>
            </m:oMath>
          </w:p>
        </w:tc>
      </w:tr>
      <w:tr>
        <w:tc>
          <w:tcPr/>
          <w:p>
            <w:pPr>
              <w:pStyle w:val="Compact"/>
              <w:jc w:val="left"/>
            </w:pPr>
            <w:r>
              <w:t xml:space="preserve">0.75</w:t>
            </w:r>
          </w:p>
        </w:tc>
        <w:tc>
          <w:tcPr/>
          <w:p>
            <w:pPr>
              <w:pStyle w:val="Compact"/>
              <w:jc w:val="center"/>
            </w:pPr>
            <m:oMath>
              <m:r>
                <m:t>0.586</m:t>
              </m:r>
              <m:r>
                <m:rPr>
                  <m:sty m:val="p"/>
                </m:rPr>
                <m:t>%</m:t>
              </m:r>
            </m:oMath>
          </w:p>
        </w:tc>
        <w:tc>
          <w:tcPr/>
          <w:p>
            <w:pPr>
              <w:pStyle w:val="Compact"/>
              <w:jc w:val="center"/>
            </w:pPr>
            <m:oMath>
              <m:r>
                <m:t>19</m:t>
              </m:r>
              <m:r>
                <m:rPr>
                  <m:sty m:val="p"/>
                </m:rPr>
                <m:t>/</m:t>
              </m:r>
              <m:r>
                <m:t>24</m:t>
              </m:r>
            </m:oMath>
          </w:p>
        </w:tc>
        <w:tc>
          <w:tcPr/>
          <w:p>
            <w:pPr>
              <w:pStyle w:val="Compact"/>
              <w:jc w:val="center"/>
            </w:pPr>
            <m:oMath>
              <m:r>
                <m:t>0.927</m:t>
              </m:r>
            </m:oMath>
          </w:p>
        </w:tc>
      </w:tr>
      <w:tr>
        <w:tc>
          <w:tcPr/>
          <w:p>
            <w:pPr>
              <w:pStyle w:val="Compact"/>
              <w:jc w:val="left"/>
            </w:pPr>
            <w:r>
              <w:t xml:space="preserve">1.00</w:t>
            </w:r>
          </w:p>
        </w:tc>
        <w:tc>
          <w:tcPr/>
          <w:p>
            <w:pPr>
              <w:pStyle w:val="Compact"/>
              <w:jc w:val="center"/>
            </w:pPr>
            <m:oMath>
              <m:r>
                <m:t>0.781</m:t>
              </m:r>
              <m:r>
                <m:rPr>
                  <m:sty m:val="p"/>
                </m:rPr>
                <m:t>%</m:t>
              </m:r>
            </m:oMath>
          </w:p>
        </w:tc>
        <w:tc>
          <w:tcPr/>
          <w:p>
            <w:pPr>
              <w:pStyle w:val="Compact"/>
              <w:jc w:val="center"/>
            </w:pPr>
            <m:oMath>
              <m:r>
                <m:t>17</m:t>
              </m:r>
              <m:r>
                <m:rPr>
                  <m:sty m:val="p"/>
                </m:rPr>
                <m:t>/</m:t>
              </m:r>
              <m:r>
                <m:t>24</m:t>
              </m:r>
            </m:oMath>
          </w:p>
        </w:tc>
        <w:tc>
          <w:tcPr/>
          <w:p>
            <w:pPr>
              <w:pStyle w:val="Compact"/>
              <w:jc w:val="center"/>
            </w:pPr>
            <m:oMath>
              <m:r>
                <m:t>0.924</m:t>
              </m:r>
            </m:oMath>
          </w:p>
        </w:tc>
      </w:tr>
    </w:tbl>
    <w:bookmarkEnd w:id="42"/>
    <w:p>
      <w:pPr>
        <w:pStyle w:val="BodyText"/>
      </w:pPr>
      <w:r>
        <w:t xml:space="preserve">Three controls, matched for injected sample count at</w:t>
      </w:r>
      <w:r>
        <w:t xml:space="preserve"> </w:t>
      </w:r>
      <m:oMath>
        <m:r>
          <m:t>α</m:t>
        </m:r>
        <m:r>
          <m:rPr>
            <m:sty m:val="p"/>
          </m:rPr>
          <m:t>=</m:t>
        </m:r>
        <m:r>
          <m:t>2.5</m:t>
        </m:r>
      </m:oMath>
      <w:r>
        <w:t xml:space="preserve">,</w:t>
      </w:r>
      <w:r>
        <w:t xml:space="preserve"> </w:t>
      </w:r>
      <m:oMath>
        <m:r>
          <m:t>λ</m:t>
        </m:r>
        <m:r>
          <m:rPr>
            <m:sty m:val="p"/>
          </m:rPr>
          <m:t>=</m:t>
        </m:r>
        <m:r>
          <m:t>0.3</m:t>
        </m:r>
      </m:oMath>
      <w:r>
        <w:t xml:space="preserve">, rank what about the injected examples matters. Each minibatch of 128 replaces</w:t>
      </w:r>
      <w:r>
        <w:t xml:space="preserve"> </w:t>
      </w:r>
      <m:oMath>
        <m:r>
          <m:t>k</m:t>
        </m:r>
      </m:oMath>
      <w:r>
        <w:t xml:space="preserve"> </w:t>
      </w:r>
      <w:r>
        <w:t xml:space="preserve">of its 128 slots, not adds</w:t>
      </w:r>
      <w:r>
        <w:t xml:space="preserve"> </w:t>
      </w:r>
      <m:oMath>
        <m:r>
          <m:t>k</m:t>
        </m:r>
      </m:oMath>
      <w:r>
        <w:t xml:space="preserve"> </w:t>
      </w:r>
      <w:r>
        <w:t xml:space="preserve">extra, with the intervention condition, so a dose of</w:t>
      </w:r>
      <w:r>
        <w:t xml:space="preserve"> </w:t>
      </w:r>
      <m:oMath>
        <m:r>
          <m:t>k</m:t>
        </m:r>
        <m:r>
          <m:rPr>
            <m:sty m:val="p"/>
          </m:rPr>
          <m:t>=</m:t>
        </m:r>
        <m:r>
          <m:t>1</m:t>
        </m:r>
      </m:oMath>
      <w:r>
        <w:t xml:space="preserve"> </w:t>
      </w:r>
      <w:r>
        <w:t xml:space="preserve">is</w:t>
      </w:r>
      <w:r>
        <w:t xml:space="preserve"> </w:t>
      </w:r>
      <m:oMath>
        <m:r>
          <m:t>p</m:t>
        </m:r>
        <m:r>
          <m:rPr>
            <m:sty m:val="p"/>
          </m:rPr>
          <m:t>=</m:t>
        </m:r>
        <m:r>
          <m:t>1</m:t>
        </m:r>
        <m:r>
          <m:rPr>
            <m:sty m:val="p"/>
          </m:rPr>
          <m:t>/</m:t>
        </m:r>
        <m:r>
          <m:t>128</m:t>
        </m:r>
        <m:r>
          <m:rPr>
            <m:sty m:val="p"/>
          </m:rPr>
          <m:t>≈</m:t>
        </m:r>
        <m:r>
          <m:t>0.78</m:t>
        </m:r>
        <m:r>
          <m:rPr>
            <m:sty m:val="p"/>
          </m:rPr>
          <m:t>%</m:t>
        </m:r>
      </m:oMath>
      <w:r>
        <w:t xml:space="preserve"> </w:t>
      </w:r>
      <w:r>
        <w:t xml:space="preserve">of a fixed-size batch. The underlying skewed distribution</w:t>
      </w:r>
      <w:r>
        <w:t xml:space="preserve"> </w:t>
      </w:r>
      <m:oMath>
        <m:sSub>
          <m:e>
            <m:r>
              <m:t>P</m:t>
            </m:r>
          </m:e>
          <m:sub>
            <m:r>
              <m:t>α</m:t>
            </m:r>
          </m:sub>
        </m:sSub>
      </m:oMath>
      <w:r>
        <w:t xml:space="preserve"> </w:t>
      </w:r>
      <w:r>
        <w:t xml:space="preserve">already assigns positive probability to every state, so what the three controls vary is not presence versus absence of support but how broadly the injected slot itself is drawn: from the same head-concentrated distribution as the rest of the batch, from a small targeted set of rare-but-short states, defined as states with carry-chain length</w:t>
      </w:r>
      <w:r>
        <w:t xml:space="preserve"> </w:t>
      </w:r>
      <m:oMath>
        <m:r>
          <m:t>c</m:t>
        </m:r>
        <m:d>
          <m:dPr>
            <m:begChr m:val="("/>
            <m:endChr m:val=")"/>
            <m:sepChr m:val=""/>
            <m:grow/>
          </m:dPr>
          <m:e>
            <m:r>
              <m:t>x</m:t>
            </m:r>
          </m:e>
        </m:d>
        <m:r>
          <m:rPr>
            <m:sty m:val="p"/>
          </m:rPr>
          <m:t>&lt;</m:t>
        </m:r>
        <m:r>
          <m:t>n</m:t>
        </m:r>
        <m:r>
          <m:rPr>
            <m:sty m:val="p"/>
          </m:rPr>
          <m:t>/</m:t>
        </m:r>
        <m:r>
          <m:t>2</m:t>
        </m:r>
      </m:oMath>
      <w:r>
        <w:t xml:space="preserve"> </w:t>
      </w:r>
      <w:r>
        <w:t xml:space="preserve">restricted to the</w:t>
      </w:r>
      <w:r>
        <w:t xml:space="preserve"> </w:t>
      </w:r>
      <m:oMath>
        <m:r>
          <m:t>N</m:t>
        </m:r>
        <m:r>
          <m:rPr>
            <m:sty m:val="p"/>
          </m:rPr>
          <m:t>/</m:t>
        </m:r>
        <m:r>
          <m:t>10</m:t>
        </m:r>
      </m:oMath>
      <w:r>
        <w:t xml:space="preserve"> </w:t>
      </w:r>
      <w:r>
        <w:t xml:space="preserve">such states with the lowest</w:t>
      </w:r>
      <w:r>
        <w:t xml:space="preserve"> </w:t>
      </w:r>
      <m:oMath>
        <m:sSub>
          <m:e>
            <m:r>
              <m:t>P</m:t>
            </m:r>
          </m:e>
          <m:sub>
            <m:r>
              <m:t>α</m:t>
            </m:r>
          </m:sub>
        </m:sSub>
      </m:oMath>
      <w:r>
        <w:t xml:space="preserve"> </w:t>
      </w:r>
      <w:r>
        <w:t xml:space="preserve">weight and thus excluding the bottleneck states with</w:t>
      </w:r>
      <w:r>
        <w:t xml:space="preserve"> </w:t>
      </w:r>
      <m:oMath>
        <m:r>
          <m:t>c</m:t>
        </m:r>
        <m:d>
          <m:dPr>
            <m:begChr m:val="("/>
            <m:endChr m:val=")"/>
            <m:sepChr m:val=""/>
            <m:grow/>
          </m:dPr>
          <m:e>
            <m:r>
              <m:t>x</m:t>
            </m:r>
          </m:e>
        </m:d>
        <m:r>
          <m:rPr>
            <m:sty m:val="p"/>
          </m:rPr>
          <m:t>≥</m:t>
        </m:r>
        <m:r>
          <m:t>n</m:t>
        </m:r>
        <m:r>
          <m:rPr>
            <m:sty m:val="p"/>
          </m:rPr>
          <m:t>/</m:t>
        </m:r>
        <m:r>
          <m:t>2</m:t>
        </m:r>
      </m:oMath>
      <w:r>
        <w:t xml:space="preserve">, or uniformly across the entire state space. Injecting one slot drawn from the</w:t>
      </w:r>
      <w:r>
        <w:t xml:space="preserve"> </w:t>
      </w:r>
      <w:r>
        <w:rPr>
          <w:iCs/>
          <w:i/>
        </w:rPr>
        <w:t xml:space="preserve">same</w:t>
      </w:r>
      <w:r>
        <w:t xml:space="preserve"> </w:t>
      </w:r>
      <w:r>
        <w:t xml:space="preserve">skewed distribution as the rest of the batch fails to rescue, mean uniform accuracy</w:t>
      </w:r>
      <w:r>
        <w:t xml:space="preserve"> </w:t>
      </w:r>
      <m:oMath>
        <m:r>
          <m:t>0.282</m:t>
        </m:r>
      </m:oMath>
      <w:r>
        <w:t xml:space="preserve">, close to the zero-injection baseline, consistent with this control being a null resampling of the same distribution rather than a change to the batch’s composition. Injecting one slot drawn from the small targeted set of states that are rare under the skew but have short carry chains achieves partial credit, mean</w:t>
      </w:r>
      <w:r>
        <w:t xml:space="preserve"> </w:t>
      </w:r>
      <m:oMath>
        <m:r>
          <m:t>0.750</m:t>
        </m:r>
      </m:oMath>
      <w:r>
        <w:t xml:space="preserve">, without reaching the generalization threshold in any of eight seeds. Only injection drawn uniformly across the full state space achieves complete rescue, mean</w:t>
      </w:r>
      <w:r>
        <w:t xml:space="preserve"> </w:t>
      </w:r>
      <m:oMath>
        <m:r>
          <m:t>0.956</m:t>
        </m:r>
      </m:oMath>
      <w:r>
        <w:t xml:space="preserve">. Among these three tested distributions, uniform full-state injection is the one that rescues; a same-distribution replacement slot and a small targeted rare-but-unstructured set are both insufficient. This ranking alone conflates breadth, entropy, and state composition—all of which differ between uniform injection and the targeted set. Appendix D decomposes breadth from composition by holding bottleneck-state exclusion fixed, so bottleneck states are never in the injection pool, and varying only pool breadth among the remaining non-bottleneck states: generalization rises monotonically with pool size and reaches complete rescue by</w:t>
      </w:r>
      <w:r>
        <w:t xml:space="preserve"> </w:t>
      </w:r>
      <m:oMath>
        <m:r>
          <m:t>600</m:t>
        </m:r>
      </m:oMath>
      <w:r>
        <w:t xml:space="preserve"> </w:t>
      </w:r>
      <w:r>
        <w:t xml:space="preserve">of the</w:t>
      </w:r>
      <w:r>
        <w:t xml:space="preserve"> </w:t>
      </w:r>
      <m:oMath>
        <m:r>
          <m:t>992</m:t>
        </m:r>
      </m:oMath>
      <w:r>
        <w:t xml:space="preserve"> </w:t>
      </w:r>
      <w:r>
        <w:t xml:space="preserve">non-bottleneck states, matching full-state uniform injection’s mean accuracy without ever including a bottleneck state. Breadth among non-bottleneck states is therefore sufficient for rescue at this cell; the partial credit of the</w:t>
      </w:r>
      <w:r>
        <w:t xml:space="preserve"> </w:t>
      </w:r>
      <m:oMath>
        <m:r>
          <m:t>102</m:t>
        </m:r>
      </m:oMath>
      <w:r>
        <w:t xml:space="preserve">-state rare-but-short-carry pool reflects insufficient breadth rather than the absence of bottleneck states. This does not further decompose breadth from entropy, since a larger pool of non-bottleneck states also has higher entropy; we leave that finer distinction to future work. The same rescue succeeds with as few as</w:t>
      </w:r>
      <w:r>
        <w:t xml:space="preserve"> </w:t>
      </w:r>
      <m:oMath>
        <m:r>
          <m:t>15</m:t>
        </m:r>
        <m:r>
          <m:rPr>
            <m:sty m:val="p"/>
          </m:rPr>
          <m:t>,</m:t>
        </m:r>
        <m:r>
          <m:t>000</m:t>
        </m:r>
      </m:oMath>
      <w:r>
        <w:t xml:space="preserve"> </w:t>
      </w:r>
      <w:r>
        <w:t xml:space="preserve">injected samples at a shortened</w:t>
      </w:r>
      <w:r>
        <w:t xml:space="preserve"> </w:t>
      </w:r>
      <m:oMath>
        <m:r>
          <m:t>15</m:t>
        </m:r>
        <m:r>
          <m:rPr>
            <m:sty m:val="p"/>
          </m:rPr>
          <m:t>,</m:t>
        </m:r>
        <m:r>
          <m:t>000</m:t>
        </m:r>
      </m:oMath>
      <w:r>
        <w:t xml:space="preserve">-step budget, indicating the effect operates quickly rather than through slow accumulation. At a higher dose,</w:t>
      </w:r>
      <w:r>
        <w:t xml:space="preserve"> </w:t>
      </w:r>
      <m:oMath>
        <m:r>
          <m:t>k</m:t>
        </m:r>
        <m:r>
          <m:rPr>
            <m:sty m:val="p"/>
          </m:rPr>
          <m:t>=</m:t>
        </m:r>
        <m:r>
          <m:t>2</m:t>
        </m:r>
      </m:oMath>
      <w:r>
        <w:t xml:space="preserve"> </w:t>
      </w:r>
      <w:r>
        <w:t xml:space="preserve">per 128,</w:t>
      </w:r>
      <w:r>
        <w:t xml:space="preserve"> </w:t>
      </w:r>
      <m:oMath>
        <m:r>
          <m:t>p</m:t>
        </m:r>
        <m:r>
          <m:rPr>
            <m:sty m:val="p"/>
          </m:rPr>
          <m:t>≈</m:t>
        </m:r>
        <m:r>
          <m:t>1.56</m:t>
        </m:r>
        <m:r>
          <m:rPr>
            <m:sty m:val="p"/>
          </m:rPr>
          <m:t>%</m:t>
        </m:r>
      </m:oMath>
      <w:r>
        <w:t xml:space="preserve">, under the original batch-varying protocol, all eight seeds generalize at every tested</w:t>
      </w:r>
      <w:r>
        <w:t xml:space="preserve"> </w:t>
      </w:r>
      <m:oMath>
        <m:r>
          <m:t>α</m:t>
        </m:r>
      </m:oMath>
      <w:r>
        <w:t xml:space="preserve">, consistent with the deconfounded sweep’s plateau beyond</w:t>
      </w:r>
      <w:r>
        <w:t xml:space="preserve"> </w:t>
      </w:r>
      <m:oMath>
        <m:r>
          <m:t>q</m:t>
        </m:r>
        <m:r>
          <m:rPr>
            <m:sty m:val="p"/>
          </m:rPr>
          <m:t>=</m:t>
        </m:r>
        <m:r>
          <m:t>0.75</m:t>
        </m:r>
      </m:oMath>
      <w:r>
        <w:t xml:space="preserve"> </w:t>
      </w:r>
      <w:r>
        <w:t xml:space="preserve">rather than a renewed rise.</w:t>
      </w:r>
    </w:p>
    <w:bookmarkEnd w:id="43"/>
    <w:bookmarkStart w:id="45" w:name="sec:results-family"/>
    <w:p>
      <w:pPr>
        <w:pStyle w:val="Heading2"/>
      </w:pPr>
      <w:r>
        <w:rPr>
          <w:rStyle w:val="SectionNumber"/>
        </w:rPr>
        <w:t xml:space="preserve">4.3</w:t>
      </w:r>
      <w:r>
        <w:tab/>
      </w:r>
      <w:r>
        <w:t xml:space="preserve">Boundary shape: family discrimination</w:t>
      </w:r>
    </w:p>
    <w:p>
      <w:pPr>
        <w:pStyle w:val="FirstParagraph"/>
      </w:pPr>
      <w:r>
        <w:t xml:space="preserve">We compared five single-scale candidate functions of</w:t>
      </w:r>
      <w:r>
        <w:t xml:space="preserve"> </w:t>
      </w:r>
      <m:oMath>
        <m:r>
          <m:t>α</m:t>
        </m:r>
      </m:oMath>
      <w:r>
        <w:t xml:space="preserve"> </w:t>
      </w:r>
      <w:r>
        <w:t xml:space="preserve">against the measured weight-decay ceiling:</w:t>
      </w:r>
      <w:r>
        <w:t xml:space="preserve"> </w:t>
      </w:r>
      <m:oMath>
        <m:sSub>
          <m:e>
            <m:r>
              <m:t>E</m:t>
            </m:r>
          </m:e>
          <m:sub>
            <m:r>
              <m:t>α</m:t>
            </m:r>
          </m:sub>
        </m:sSub>
        <m:d>
          <m:dPr>
            <m:begChr m:val="["/>
            <m:endChr m:val="]"/>
            <m:sepChr m:val=""/>
            <m:grow/>
          </m:dPr>
          <m:e>
            <m:r>
              <m:t>c</m:t>
            </m:r>
          </m:e>
        </m:d>
        <m:r>
          <m:rPr>
            <m:sty m:val="p"/>
          </m:rPr>
          <m:t>=</m:t>
        </m:r>
        <m:nary>
          <m:naryPr>
            <m:chr m:val="∑"/>
            <m:limLoc m:val="undOvr"/>
            <m:subHide m:val="off"/>
            <m:supHide m:val="on"/>
          </m:naryPr>
          <m:sub>
            <m:r>
              <m:t>x</m:t>
            </m:r>
          </m:sub>
          <m:sup>
            <m:r>
              <m:t>​</m:t>
            </m:r>
          </m:sup>
          <m:e>
            <m:sSub>
              <m:e>
                <m:r>
                  <m:t>P</m:t>
                </m:r>
              </m:e>
              <m:sub>
                <m:r>
                  <m:t>α</m:t>
                </m:r>
              </m:sub>
            </m:sSub>
          </m:e>
        </m:nary>
        <m:d>
          <m:dPr>
            <m:begChr m:val="("/>
            <m:endChr m:val=")"/>
            <m:sepChr m:val=""/>
            <m:grow/>
          </m:dPr>
          <m:e>
            <m:r>
              <m:t>x</m:t>
            </m:r>
          </m:e>
        </m:d>
        <m:r>
          <m:t> </m:t>
        </m:r>
        <m:r>
          <m:t>c</m:t>
        </m:r>
        <m:d>
          <m:dPr>
            <m:begChr m:val="("/>
            <m:endChr m:val=")"/>
            <m:sepChr m:val=""/>
            <m:grow/>
          </m:dPr>
          <m:e>
            <m:r>
              <m:t>x</m:t>
            </m:r>
          </m:e>
        </m:d>
      </m:oMath>
      <w:r>
        <w:t xml:space="preserve">, where</w:t>
      </w:r>
      <w:r>
        <w:t xml:space="preserve"> </w:t>
      </w:r>
      <m:oMath>
        <m:r>
          <m:t>c</m:t>
        </m:r>
        <m:d>
          <m:dPr>
            <m:begChr m:val="("/>
            <m:endChr m:val=")"/>
            <m:sepChr m:val=""/>
            <m:grow/>
          </m:dPr>
          <m:e>
            <m:r>
              <m:t>x</m:t>
            </m:r>
          </m:e>
        </m:d>
      </m:oMath>
      <w:r>
        <w:t xml:space="preserve"> </w:t>
      </w:r>
      <w:r>
        <w:t xml:space="preserve">is the trailing-ones count of</w:t>
      </w:r>
      <w:r>
        <w:t xml:space="preserve"> </w:t>
      </w:r>
      <m:oMath>
        <m:r>
          <m:t>x</m:t>
        </m:r>
      </m:oMath>
      <w:r>
        <w:t xml:space="preserve">’s binary representation, the number of low-order bits that must ripple-carry when incrementing</w:t>
      </w:r>
      <w:r>
        <w:t xml:space="preserve"> </w:t>
      </w:r>
      <m:oMath>
        <m:r>
          <m:t>x</m:t>
        </m:r>
      </m:oMath>
      <w:r>
        <w:t xml:space="preserve">, with</w:t>
      </w:r>
      <w:r>
        <w:t xml:space="preserve"> </w:t>
      </w:r>
      <m:oMath>
        <m:r>
          <m:t>c</m:t>
        </m:r>
        <m:d>
          <m:dPr>
            <m:begChr m:val="("/>
            <m:endChr m:val=")"/>
            <m:sepChr m:val=""/>
            <m:grow/>
          </m:dPr>
          <m:e>
            <m:sSup>
              <m:e>
                <m:r>
                  <m:t>2</m:t>
                </m:r>
              </m:e>
              <m:sup>
                <m:r>
                  <m:t>n</m:t>
                </m:r>
              </m:sup>
            </m:sSup>
            <m:r>
              <m:rPr>
                <m:sty m:val="p"/>
              </m:rPr>
              <m:t>−</m:t>
            </m:r>
            <m:r>
              <m:t>1</m:t>
            </m:r>
          </m:e>
        </m:d>
        <m:r>
          <m:rPr>
            <m:sty m:val="p"/>
          </m:rPr>
          <m:t>=</m:t>
        </m:r>
        <m:r>
          <m:t>n</m:t>
        </m:r>
      </m:oMath>
      <w:r>
        <w:t xml:space="preserve">—the same quantity that defines the</w:t>
      </w:r>
      <w:r>
        <w:t xml:space="preserve"> </w:t>
      </w:r>
      <w:r>
        <w:t xml:space="preserve">“</w:t>
      </w:r>
      <w:r>
        <w:t xml:space="preserve">tail</w:t>
      </w:r>
      <w:r>
        <w:t xml:space="preserve">”</w:t>
      </w:r>
      <w:r>
        <w:t xml:space="preserve">/</w:t>
      </w:r>
      <w:r>
        <w:t xml:space="preserve">“</w:t>
      </w:r>
      <w:r>
        <w:t xml:space="preserve">rare-but-short-carry</w:t>
      </w:r>
      <w:r>
        <w:t xml:space="preserve">”</w:t>
      </w:r>
      <w:r>
        <w:t xml:space="preserve"> </w:t>
      </w:r>
      <w:r>
        <w:t xml:space="preserve">injection pools in §</w:t>
      </w:r>
      <w:hyperlink w:anchor="sec:results-rescue">
        <w:r>
          <w:rPr>
            <w:rStyle w:val="Hyperlink"/>
          </w:rPr>
          <w:t xml:space="preserve">4.2</w:t>
        </w:r>
      </w:hyperlink>
      <w:r>
        <w:t xml:space="preserve">—taken in expectation under the skew as the expected carry-chain length; the pure exponential</w:t>
      </w:r>
      <w:r>
        <w:t xml:space="preserve"> </w:t>
      </w:r>
      <m:oMath>
        <m:sSup>
          <m:e>
            <m:r>
              <m:t>2</m:t>
            </m:r>
          </m:e>
          <m:sup>
            <m:r>
              <m:rPr>
                <m:sty m:val="p"/>
              </m:rPr>
              <m:t>−</m:t>
            </m:r>
            <m:r>
              <m:t>α</m:t>
            </m:r>
          </m:sup>
        </m:sSup>
      </m:oMath>
      <w:r>
        <w:t xml:space="preserve">; the tail population mass at two thresholds,</w:t>
      </w:r>
      <w:r>
        <w:t xml:space="preserve"> </w:t>
      </w:r>
      <m:oMath>
        <m:sSub>
          <m:e>
            <m:r>
              <m:t>H</m:t>
            </m:r>
          </m:e>
          <m:sub>
            <m:r>
              <m:rPr>
                <m:sty m:val="p"/>
              </m:rPr>
              <m:t>l</m:t>
            </m:r>
            <m:r>
              <m:rPr>
                <m:sty m:val="p"/>
              </m:rPr>
              <m:t>o</m:t>
            </m:r>
          </m:sub>
        </m:sSub>
        <m:r>
          <m:rPr>
            <m:sty m:val="p"/>
          </m:rPr>
          <m:t>=</m:t>
        </m:r>
        <m:nary>
          <m:naryPr>
            <m:chr m:val="∑"/>
            <m:limLoc m:val="undOvr"/>
            <m:subHide m:val="off"/>
            <m:supHide m:val="on"/>
          </m:naryPr>
          <m:sub>
            <m:r>
              <m:t>x</m:t>
            </m:r>
            <m:r>
              <m:rPr>
                <m:sty m:val="p"/>
              </m:rPr>
              <m:t>≥</m:t>
            </m:r>
            <m:r>
              <m:t>N</m:t>
            </m:r>
            <m:r>
              <m:rPr>
                <m:sty m:val="p"/>
              </m:rPr>
              <m:t>/</m:t>
            </m:r>
            <m:r>
              <m:t>2</m:t>
            </m:r>
          </m:sub>
          <m:sup>
            <m:r>
              <m:t>​</m:t>
            </m:r>
          </m:sup>
          <m:e>
            <m:sSub>
              <m:e>
                <m:r>
                  <m:t>P</m:t>
                </m:r>
              </m:e>
              <m:sub>
                <m:r>
                  <m:t>α</m:t>
                </m:r>
              </m:sub>
            </m:sSub>
          </m:e>
        </m:nary>
        <m:d>
          <m:dPr>
            <m:begChr m:val="("/>
            <m:endChr m:val=")"/>
            <m:sepChr m:val=""/>
            <m:grow/>
          </m:dPr>
          <m:e>
            <m:r>
              <m:t>x</m:t>
            </m:r>
          </m:e>
        </m:d>
      </m:oMath>
      <w:r>
        <w:t xml:space="preserve"> </w:t>
      </w:r>
      <w:r>
        <w:t xml:space="preserve">and</w:t>
      </w:r>
      <w:r>
        <w:t xml:space="preserve"> </w:t>
      </w:r>
      <m:oMath>
        <m:sSub>
          <m:e>
            <m:r>
              <m:t>H</m:t>
            </m:r>
          </m:e>
          <m:sub>
            <m:r>
              <m:rPr>
                <m:sty m:val="p"/>
              </m:rPr>
              <m:t>t</m:t>
            </m:r>
            <m:r>
              <m:rPr>
                <m:sty m:val="p"/>
              </m:rPr>
              <m:t>a</m:t>
            </m:r>
            <m:r>
              <m:rPr>
                <m:sty m:val="p"/>
              </m:rPr>
              <m:t>i</m:t>
            </m:r>
            <m:r>
              <m:rPr>
                <m:sty m:val="p"/>
              </m:rPr>
              <m:t>l</m:t>
            </m:r>
            <m:r>
              <m:rPr>
                <m:sty m:val="p"/>
              </m:rPr>
              <m:t>10</m:t>
            </m:r>
          </m:sub>
        </m:sSub>
        <m:r>
          <m:rPr>
            <m:sty m:val="p"/>
          </m:rPr>
          <m:t>=</m:t>
        </m:r>
        <m:nary>
          <m:naryPr>
            <m:chr m:val="∑"/>
            <m:limLoc m:val="undOvr"/>
            <m:subHide m:val="off"/>
            <m:supHide m:val="on"/>
          </m:naryPr>
          <m:sub>
            <m:r>
              <m:t>x</m:t>
            </m:r>
            <m:r>
              <m:rPr>
                <m:sty m:val="p"/>
              </m:rPr>
              <m:t>≥</m:t>
            </m:r>
            <m:r>
              <m:t>9</m:t>
            </m:r>
            <m:r>
              <m:t>N</m:t>
            </m:r>
            <m:r>
              <m:rPr>
                <m:sty m:val="p"/>
              </m:rPr>
              <m:t>/</m:t>
            </m:r>
            <m:r>
              <m:t>10</m:t>
            </m:r>
          </m:sub>
          <m:sup>
            <m:r>
              <m:t>​</m:t>
            </m:r>
          </m:sup>
          <m:e>
            <m:sSub>
              <m:e>
                <m:r>
                  <m:t>P</m:t>
                </m:r>
              </m:e>
              <m:sub>
                <m:r>
                  <m:t>α</m:t>
                </m:r>
              </m:sub>
            </m:sSub>
          </m:e>
        </m:nary>
        <m:d>
          <m:dPr>
            <m:begChr m:val="("/>
            <m:endChr m:val=")"/>
            <m:sepChr m:val=""/>
            <m:grow/>
          </m:dPr>
          <m:e>
            <m:r>
              <m:t>x</m:t>
            </m:r>
          </m:e>
        </m:d>
      </m:oMath>
      <w:r>
        <w:t xml:space="preserve">; and the single rarest state’s probability</w:t>
      </w:r>
      <w:r>
        <w:t xml:space="preserve"> </w:t>
      </w:r>
      <m:oMath>
        <m:sSub>
          <m:e>
            <m:r>
              <m:t>p</m:t>
            </m:r>
          </m:e>
          <m:sub>
            <m:r>
              <m:rPr>
                <m:sty m:val="p"/>
              </m:rPr>
              <m:t>⋆</m:t>
            </m:r>
          </m:sub>
        </m:sSub>
        <m:r>
          <m:rPr>
            <m:sty m:val="p"/>
          </m:rPr>
          <m:t>=</m:t>
        </m:r>
        <m:sSub>
          <m:e>
            <m:r>
              <m:t>P</m:t>
            </m:r>
          </m:e>
          <m:sub>
            <m:r>
              <m:t>α</m:t>
            </m:r>
          </m:sub>
        </m:sSub>
        <m:d>
          <m:dPr>
            <m:begChr m:val="("/>
            <m:endChr m:val=")"/>
            <m:sepChr m:val=""/>
            <m:grow/>
          </m:dPr>
          <m:e>
            <m:r>
              <m:t>N</m:t>
            </m:r>
            <m:r>
              <m:rPr>
                <m:sty m:val="p"/>
              </m:rPr>
              <m:t>−</m:t>
            </m:r>
            <m:r>
              <m:t>1</m:t>
            </m:r>
          </m:e>
        </m:d>
      </m:oMath>
      <w:r>
        <w:t xml:space="preserve">, where</w:t>
      </w:r>
      <w:r>
        <w:t xml:space="preserve"> </w:t>
      </w:r>
      <m:oMath>
        <m:r>
          <m:t>N</m:t>
        </m:r>
        <m:r>
          <m:rPr>
            <m:sty m:val="p"/>
          </m:rPr>
          <m:t>=</m:t>
        </m:r>
        <m:sSup>
          <m:e>
            <m:r>
              <m:t>2</m:t>
            </m:r>
          </m:e>
          <m:sup>
            <m:r>
              <m:t>n</m:t>
            </m:r>
          </m:sup>
        </m:sSup>
      </m:oMath>
      <w:r>
        <w:t xml:space="preserve">. Each candidate is fit as ceiling</w:t>
      </w:r>
      <m:oMath>
        <m:d>
          <m:dPr>
            <m:begChr m:val="("/>
            <m:endChr m:val=")"/>
            <m:sepChr m:val=""/>
            <m:grow/>
          </m:dPr>
          <m:e>
            <m:r>
              <m:t>α</m:t>
            </m:r>
          </m:e>
        </m:d>
        <m:r>
          <m:rPr>
            <m:sty m:val="p"/>
          </m:rPr>
          <m:t>≈</m:t>
        </m:r>
        <m:r>
          <m:t>C</m:t>
        </m:r>
        <m:r>
          <m:rPr>
            <m:sty m:val="p"/>
          </m:rPr>
          <m:t>⋅</m:t>
        </m:r>
        <m:r>
          <m:t>f</m:t>
        </m:r>
        <m:d>
          <m:dPr>
            <m:begChr m:val="("/>
            <m:endChr m:val=")"/>
            <m:sepChr m:val=""/>
            <m:grow/>
          </m:dPr>
          <m:e>
            <m:r>
              <m:t>α</m:t>
            </m:r>
          </m:e>
        </m:d>
      </m:oMath>
      <w:r>
        <w:t xml:space="preserve"> </w:t>
      </w:r>
      <w:r>
        <w:t xml:space="preserve">with a single scale constant</w:t>
      </w:r>
      <w:r>
        <w:t xml:space="preserve"> </w:t>
      </w:r>
      <m:oMath>
        <m:r>
          <m:t>C</m:t>
        </m:r>
      </m:oMath>
      <w:r>
        <w:t xml:space="preserve"> </w:t>
      </w:r>
      <w:r>
        <w:t xml:space="preserve">chosen by least squares in log space over the eight originally-measured</w:t>
      </w:r>
      <w:r>
        <w:t xml:space="preserve"> </w:t>
      </w:r>
      <m:oMath>
        <m:r>
          <m:t>α</m:t>
        </m:r>
      </m:oMath>
      <w:r>
        <w:t xml:space="preserve"> </w:t>
      </w:r>
      <w:r>
        <w:t xml:space="preserve">values,</w:t>
      </w:r>
      <w:r>
        <w:t xml:space="preserve"> </w:t>
      </w:r>
      <m:oMath>
        <m:r>
          <m:t>α</m:t>
        </m:r>
        <m:r>
          <m:rPr>
            <m:sty m:val="p"/>
          </m:rPr>
          <m:t>∈</m:t>
        </m:r>
        <m:r>
          <m:rPr>
            <m:sty m:val="p"/>
          </m:rPr>
          <m:t>{</m:t>
        </m:r>
        <m:r>
          <m:t>1.5</m:t>
        </m:r>
        <m:r>
          <m:rPr>
            <m:sty m:val="p"/>
          </m:rPr>
          <m:t>,</m:t>
        </m:r>
        <m:r>
          <m:t>2.0</m:t>
        </m:r>
        <m:r>
          <m:rPr>
            <m:sty m:val="p"/>
          </m:rPr>
          <m:t>,</m:t>
        </m:r>
        <m:r>
          <m:t>2.1</m:t>
        </m:r>
        <m:r>
          <m:rPr>
            <m:sty m:val="p"/>
          </m:rPr>
          <m:t>,</m:t>
        </m:r>
        <m:r>
          <m:t>2.25</m:t>
        </m:r>
        <m:r>
          <m:rPr>
            <m:sty m:val="p"/>
          </m:rPr>
          <m:t>,</m:t>
        </m:r>
        <m:r>
          <m:t>2.4</m:t>
        </m:r>
        <m:r>
          <m:rPr>
            <m:sty m:val="p"/>
          </m:rPr>
          <m:t>,</m:t>
        </m:r>
        <m:r>
          <m:t>2.5</m:t>
        </m:r>
        <m:r>
          <m:rPr>
            <m:sty m:val="p"/>
          </m:rPr>
          <m:t>,</m:t>
        </m:r>
        <m:r>
          <m:t>2.6</m:t>
        </m:r>
        <m:r>
          <m:rPr>
            <m:sty m:val="p"/>
          </m:rPr>
          <m:t>,</m:t>
        </m:r>
        <m:r>
          <m:t>2.7</m:t>
        </m:r>
        <m:r>
          <m:rPr>
            <m:sty m:val="p"/>
          </m:rPr>
          <m:t>}</m:t>
        </m:r>
      </m:oMath>
      <w:r>
        <w:t xml:space="preserve">, then evaluated, with</w:t>
      </w:r>
      <w:r>
        <w:t xml:space="preserve"> </w:t>
      </w:r>
      <m:oMath>
        <m:r>
          <m:t>C</m:t>
        </m:r>
      </m:oMath>
      <w:r>
        <w:t xml:space="preserve"> </w:t>
      </w:r>
      <w:r>
        <w:t xml:space="preserve">frozen, at eight pre-specified held-out</w:t>
      </w:r>
      <w:r>
        <w:t xml:space="preserve"> </w:t>
      </w:r>
      <m:oMath>
        <m:r>
          <m:t>α</m:t>
        </m:r>
      </m:oMath>
      <w:r>
        <w:t xml:space="preserve"> </w:t>
      </w:r>
      <w:r>
        <w:t xml:space="preserve">values. At three of the eight,</w:t>
      </w:r>
      <w:r>
        <w:t xml:space="preserve"> </w:t>
      </w:r>
      <m:oMath>
        <m:r>
          <m:t>α</m:t>
        </m:r>
        <m:r>
          <m:rPr>
            <m:sty m:val="p"/>
          </m:rPr>
          <m:t>=</m:t>
        </m:r>
        <m:r>
          <m:t>1.7</m:t>
        </m:r>
      </m:oMath>
      <w:r>
        <w:t xml:space="preserve">,</w:t>
      </w:r>
      <w:r>
        <w:t xml:space="preserve"> </w:t>
      </w:r>
      <m:oMath>
        <m:r>
          <m:t>1.9</m:t>
        </m:r>
      </m:oMath>
      <w:r>
        <w:t xml:space="preserve">,</w:t>
      </w:r>
      <w:r>
        <w:t xml:space="preserve"> </w:t>
      </w:r>
      <m:oMath>
        <m:r>
          <m:t>2.65</m:t>
        </m:r>
      </m:oMath>
      <w:r>
        <w:t xml:space="preserve">, the tested weight-decay grid at that</w:t>
      </w:r>
      <w:r>
        <w:t xml:space="preserve"> </w:t>
      </w:r>
      <m:oMath>
        <m:r>
          <m:t>α</m:t>
        </m:r>
      </m:oMath>
      <w:r>
        <w:t xml:space="preserve"> </w:t>
      </w:r>
      <w:r>
        <w:t xml:space="preserve">does not bracket the</w:t>
      </w:r>
      <w:r>
        <w:t xml:space="preserve"> </w:t>
      </w:r>
      <m:oMath>
        <m:r>
          <m:t>0.9</m:t>
        </m:r>
      </m:oMath>
      <w:r>
        <w:t xml:space="preserve"> </w:t>
      </w:r>
      <w:r>
        <w:t xml:space="preserve">threshold—all three sampled</w:t>
      </w:r>
      <w:r>
        <w:t xml:space="preserve"> </w:t>
      </w:r>
      <m:oMath>
        <m:r>
          <m:t>λ</m:t>
        </m:r>
      </m:oMath>
      <w:r>
        <w:t xml:space="preserve"> </w:t>
      </w:r>
      <w:r>
        <w:t xml:space="preserve">give</w:t>
      </w:r>
      <w:r>
        <w:t xml:space="preserve"> </w:t>
      </w:r>
      <m:oMath>
        <m:sSub>
          <m:e>
            <m:r>
              <m:t>A</m:t>
            </m:r>
          </m:e>
          <m:sub>
            <m:r>
              <m:rPr>
                <m:sty m:val="p"/>
              </m:rPr>
              <m:t>u</m:t>
            </m:r>
            <m:r>
              <m:rPr>
                <m:sty m:val="p"/>
              </m:rPr>
              <m:t>n</m:t>
            </m:r>
            <m:r>
              <m:rPr>
                <m:sty m:val="p"/>
              </m:rPr>
              <m:t>i</m:t>
            </m:r>
            <m:r>
              <m:rPr>
                <m:sty m:val="p"/>
              </m:rPr>
              <m:t>f</m:t>
            </m:r>
          </m:sub>
        </m:sSub>
      </m:oMath>
      <w:r>
        <w:t xml:space="preserve"> </w:t>
      </w:r>
      <w:r>
        <w:t xml:space="preserve">above threshold at</w:t>
      </w:r>
      <w:r>
        <w:t xml:space="preserve"> </w:t>
      </w:r>
      <m:oMath>
        <m:r>
          <m:t>α</m:t>
        </m:r>
        <m:r>
          <m:rPr>
            <m:sty m:val="p"/>
          </m:rPr>
          <m:t>=</m:t>
        </m:r>
        <m:r>
          <m:t>1.7</m:t>
        </m:r>
      </m:oMath>
      <w:r>
        <w:t xml:space="preserve"> </w:t>
      </w:r>
      <w:r>
        <w:t xml:space="preserve">and</w:t>
      </w:r>
      <w:r>
        <w:t xml:space="preserve"> </w:t>
      </w:r>
      <m:oMath>
        <m:r>
          <m:t>1.9</m:t>
        </m:r>
      </m:oMath>
      <w:r>
        <w:t xml:space="preserve">, and all three give</w:t>
      </w:r>
      <w:r>
        <w:t xml:space="preserve"> </w:t>
      </w:r>
      <m:oMath>
        <m:sSub>
          <m:e>
            <m:r>
              <m:t>A</m:t>
            </m:r>
          </m:e>
          <m:sub>
            <m:r>
              <m:rPr>
                <m:sty m:val="p"/>
              </m:rPr>
              <m:t>u</m:t>
            </m:r>
            <m:r>
              <m:rPr>
                <m:sty m:val="p"/>
              </m:rPr>
              <m:t>n</m:t>
            </m:r>
            <m:r>
              <m:rPr>
                <m:sty m:val="p"/>
              </m:rPr>
              <m:t>i</m:t>
            </m:r>
            <m:r>
              <m:rPr>
                <m:sty m:val="p"/>
              </m:rPr>
              <m:t>f</m:t>
            </m:r>
          </m:sub>
        </m:sSub>
      </m:oMath>
      <w:r>
        <w:t xml:space="preserve"> </w:t>
      </w:r>
      <w:r>
        <w:t xml:space="preserve">below threshold at</w:t>
      </w:r>
      <w:r>
        <w:t xml:space="preserve"> </w:t>
      </w:r>
      <m:oMath>
        <m:r>
          <m:t>α</m:t>
        </m:r>
        <m:r>
          <m:rPr>
            <m:sty m:val="p"/>
          </m:rPr>
          <m:t>=</m:t>
        </m:r>
        <m:r>
          <m:t>2.65</m:t>
        </m:r>
      </m:oMath>
      <w:r>
        <w:t xml:space="preserve">—so the ceiling lies outside the tested range and is not interpolable; we report the remaining five as resolved comparisons (Table </w:t>
      </w:r>
      <w:hyperlink w:anchor="tab:heldout">
        <w:r>
          <w:rPr>
            <w:rStyle w:val="Hyperlink"/>
          </w:rPr>
          <w:t xml:space="preserve">4</w:t>
        </w:r>
      </w:hyperlink>
      <w:r>
        <w:t xml:space="preserve">) rather than extrapolate beyond measured</w:t>
      </w:r>
      <w:r>
        <w:t xml:space="preserve"> </w:t>
      </w:r>
      <m:oMath>
        <m:r>
          <m:t>λ</m:t>
        </m:r>
      </m:oMath>
      <w:r>
        <w:t xml:space="preserve">. On these five, the two best-performing candidates—expected carry-chain length</w:t>
      </w:r>
      <w:r>
        <w:t xml:space="preserve"> </w:t>
      </w:r>
      <m:oMath>
        <m:sSub>
          <m:e>
            <m:r>
              <m:t>E</m:t>
            </m:r>
          </m:e>
          <m:sub>
            <m:r>
              <m:t>α</m:t>
            </m:r>
          </m:sub>
        </m:sSub>
        <m:d>
          <m:dPr>
            <m:begChr m:val="["/>
            <m:endChr m:val="]"/>
            <m:sepChr m:val=""/>
            <m:grow/>
          </m:dPr>
          <m:e>
            <m:r>
              <m:t>c</m:t>
            </m:r>
          </m:e>
        </m:d>
      </m:oMath>
      <w:r>
        <w:t xml:space="preserve"> </w:t>
      </w:r>
      <w:r>
        <w:t xml:space="preserve">and the pure exponential</w:t>
      </w:r>
      <w:r>
        <w:t xml:space="preserve"> </w:t>
      </w:r>
      <m:oMath>
        <m:sSup>
          <m:e>
            <m:r>
              <m:t>2</m:t>
            </m:r>
          </m:e>
          <m:sup>
            <m:r>
              <m:rPr>
                <m:sty m:val="p"/>
              </m:rPr>
              <m:t>−</m:t>
            </m:r>
            <m:r>
              <m:t>α</m:t>
            </m:r>
          </m:sup>
        </m:sSup>
      </m:oMath>
      <w:r>
        <w:t xml:space="preserve">—achieve mean prediction error of</w:t>
      </w:r>
      <w:r>
        <w:t xml:space="preserve"> </w:t>
      </w:r>
      <m:oMath>
        <m:r>
          <m:t>15</m:t>
        </m:r>
        <m:r>
          <m:rPr>
            <m:sty m:val="p"/>
          </m:rPr>
          <m:t>%</m:t>
        </m:r>
      </m:oMath>
      <w:r>
        <w:t xml:space="preserve"> </w:t>
      </w:r>
      <w:r>
        <w:t xml:space="preserve">and</w:t>
      </w:r>
      <w:r>
        <w:t xml:space="preserve"> </w:t>
      </w:r>
      <m:oMath>
        <m:r>
          <m:t>18</m:t>
        </m:r>
        <m:r>
          <m:rPr>
            <m:sty m:val="p"/>
          </m:rPr>
          <m:t>%</m:t>
        </m:r>
      </m:oMath>
      <w:r>
        <w:t xml:space="preserve"> </w:t>
      </w:r>
      <w:r>
        <w:t xml:space="preserve">respectively, with maximum error</w:t>
      </w:r>
      <w:r>
        <w:t xml:space="preserve"> </w:t>
      </w:r>
      <m:oMath>
        <m:r>
          <m:t>27</m:t>
        </m:r>
        <m:r>
          <m:rPr>
            <m:sty m:val="p"/>
          </m:rPr>
          <m:t>%</m:t>
        </m:r>
      </m:oMath>
      <w:r>
        <w:t xml:space="preserve"> </w:t>
      </w:r>
      <w:r>
        <w:t xml:space="preserve">and</w:t>
      </w:r>
      <w:r>
        <w:t xml:space="preserve"> </w:t>
      </w:r>
      <m:oMath>
        <m:r>
          <m:t>33</m:t>
        </m:r>
        <m:r>
          <m:rPr>
            <m:sty m:val="p"/>
          </m:rPr>
          <m:t>%</m:t>
        </m:r>
      </m:oMath>
      <w:r>
        <w:t xml:space="preserve">, both smaller than either candidate’s in-sample fitting error on the original eight-point grid.</w:t>
      </w:r>
      <w:r>
        <w:t xml:space="preserve"> </w:t>
      </w:r>
      <m:oMath>
        <m:sSub>
          <m:e>
            <m:r>
              <m:t>E</m:t>
            </m:r>
          </m:e>
          <m:sub>
            <m:r>
              <m:t>α</m:t>
            </m:r>
          </m:sub>
        </m:sSub>
        <m:d>
          <m:dPr>
            <m:begChr m:val="["/>
            <m:endChr m:val="]"/>
            <m:sepChr m:val=""/>
            <m:grow/>
          </m:dPr>
          <m:e>
            <m:r>
              <m:t>c</m:t>
            </m:r>
          </m:e>
        </m:d>
      </m:oMath>
      <w:r>
        <w:t xml:space="preserve"> </w:t>
      </w:r>
      <w:r>
        <w:t xml:space="preserve">has the lower error at four of the five held-out points, but by a small margin at every point, with absolute error difference at most</w:t>
      </w:r>
      <w:r>
        <w:t xml:space="preserve"> </w:t>
      </w:r>
      <m:oMath>
        <m:r>
          <m:t>7.4</m:t>
        </m:r>
      </m:oMath>
      <w:r>
        <w:t xml:space="preserve"> </w:t>
      </w:r>
      <w:r>
        <w:t xml:space="preserve">percentage points, so we do not read this as a clear win for one candidate over the other. The three remaining candidates,</w:t>
      </w:r>
      <w:r>
        <w:t xml:space="preserve"> </w:t>
      </w:r>
      <m:oMath>
        <m:sSub>
          <m:e>
            <m:r>
              <m:t>H</m:t>
            </m:r>
          </m:e>
          <m:sub>
            <m:r>
              <m:rPr>
                <m:sty m:val="p"/>
              </m:rPr>
              <m:t>l</m:t>
            </m:r>
            <m:r>
              <m:rPr>
                <m:sty m:val="p"/>
              </m:rPr>
              <m:t>o</m:t>
            </m:r>
          </m:sub>
        </m:sSub>
      </m:oMath>
      <w:r>
        <w:t xml:space="preserve">,</w:t>
      </w:r>
      <w:r>
        <w:t xml:space="preserve"> </w:t>
      </w:r>
      <m:oMath>
        <m:sSub>
          <m:e>
            <m:r>
              <m:t>H</m:t>
            </m:r>
          </m:e>
          <m:sub>
            <m:r>
              <m:rPr>
                <m:sty m:val="p"/>
              </m:rPr>
              <m:t>t</m:t>
            </m:r>
            <m:r>
              <m:rPr>
                <m:sty m:val="p"/>
              </m:rPr>
              <m:t>a</m:t>
            </m:r>
            <m:r>
              <m:rPr>
                <m:sty m:val="p"/>
              </m:rPr>
              <m:t>i</m:t>
            </m:r>
            <m:r>
              <m:rPr>
                <m:sty m:val="p"/>
              </m:rPr>
              <m:t>l</m:t>
            </m:r>
            <m:r>
              <m:rPr>
                <m:sty m:val="p"/>
              </m:rPr>
              <m:t>10</m:t>
            </m:r>
          </m:sub>
        </m:sSub>
      </m:oMath>
      <w:r>
        <w:t xml:space="preserve">, and</w:t>
      </w:r>
      <w:r>
        <w:t xml:space="preserve"> </w:t>
      </w:r>
      <m:oMath>
        <m:sSub>
          <m:e>
            <m:r>
              <m:t>p</m:t>
            </m:r>
          </m:e>
          <m:sub>
            <m:r>
              <m:rPr>
                <m:sty m:val="p"/>
              </m:rPr>
              <m:t>⋆</m:t>
            </m:r>
          </m:sub>
        </m:sSub>
      </m:oMath>
      <w:r>
        <w:t xml:space="preserve">, diverge sharply from the measured ceilings at these held-out points—for example</w:t>
      </w:r>
      <w:r>
        <w:t xml:space="preserve"> </w:t>
      </w:r>
      <m:oMath>
        <m:sSub>
          <m:e>
            <m:r>
              <m:t>H</m:t>
            </m:r>
          </m:e>
          <m:sub>
            <m:r>
              <m:rPr>
                <m:sty m:val="p"/>
              </m:rPr>
              <m:t>l</m:t>
            </m:r>
            <m:r>
              <m:rPr>
                <m:sty m:val="p"/>
              </m:rPr>
              <m:t>o</m:t>
            </m:r>
          </m:sub>
        </m:sSub>
      </m:oMath>
      <w:r>
        <w:t xml:space="preserve"> </w:t>
      </w:r>
      <w:r>
        <w:t xml:space="preserve">predicts</w:t>
      </w:r>
      <w:r>
        <w:t xml:space="preserve"> </w:t>
      </w:r>
      <m:oMath>
        <m:r>
          <m:t>0.533</m:t>
        </m:r>
      </m:oMath>
      <w:r>
        <w:t xml:space="preserve"> </w:t>
      </w:r>
      <w:r>
        <w:t xml:space="preserve">against a measured</w:t>
      </w:r>
      <w:r>
        <w:t xml:space="preserve"> </w:t>
      </w:r>
      <m:oMath>
        <m:r>
          <m:t>0.155</m:t>
        </m:r>
      </m:oMath>
      <w:r>
        <w:t xml:space="preserve"> </w:t>
      </w:r>
      <w:r>
        <w:t xml:space="preserve">at</w:t>
      </w:r>
      <w:r>
        <w:t xml:space="preserve"> </w:t>
      </w:r>
      <m:oMath>
        <m:r>
          <m:t>α</m:t>
        </m:r>
        <m:r>
          <m:rPr>
            <m:sty m:val="p"/>
          </m:rPr>
          <m:t>=</m:t>
        </m:r>
        <m:r>
          <m:t>2.05</m:t>
        </m:r>
      </m:oMath>
      <w:r>
        <w:t xml:space="preserve">;</w:t>
      </w:r>
      <w:r>
        <w:t xml:space="preserve"> </w:t>
      </w:r>
      <m:oMath>
        <m:sSub>
          <m:e>
            <m:r>
              <m:t>p</m:t>
            </m:r>
          </m:e>
          <m:sub>
            <m:r>
              <m:rPr>
                <m:sty m:val="p"/>
              </m:rPr>
              <m:t>⋆</m:t>
            </m:r>
          </m:sub>
        </m:sSub>
      </m:oMath>
      <w:r>
        <w:t xml:space="preserve">, the pre-specified bottleneck-state candidate, has the largest error,</w:t>
      </w:r>
      <w:r>
        <w:t xml:space="preserve"> </w:t>
      </w:r>
      <m:oMath>
        <m:r>
          <m:t>20.5</m:t>
        </m:r>
        <m:r>
          <m:rPr>
            <m:sty m:val="p"/>
          </m:rPr>
          <m:t>×</m:t>
        </m:r>
      </m:oMath>
      <w:r>
        <w:t xml:space="preserve"> </w:t>
      </w:r>
      <w:r>
        <w:t xml:space="preserve">that of the best candidate. We read this as validating a single-scale model class for the boundary’s shape, without resolving a unique governing law.</w:t>
      </w:r>
    </w:p>
    <w:bookmarkStart w:id="44" w:name="tab:heldout"/>
    <w:p>
      <w:pPr>
        <w:pStyle w:val="TableCaption"/>
      </w:pPr>
      <w:r>
        <w:t xml:space="preserve">Pre-specified held-out predictions vs. measured ceilings at the 5 of 8</w:t>
      </w:r>
      <w:r>
        <w:t xml:space="preserve"> </w:t>
      </w:r>
      <m:oMath>
        <m:r>
          <m:t>α</m:t>
        </m:r>
      </m:oMath>
      <w:r>
        <w:t xml:space="preserve"> </w:t>
      </w:r>
      <w:r>
        <w:t xml:space="preserve">values whose tested weight-decay grid brackets the</w:t>
      </w:r>
      <w:r>
        <w:t xml:space="preserve"> </w:t>
      </w:r>
      <m:oMath>
        <m:r>
          <m:t>0.9</m:t>
        </m:r>
      </m:oMath>
      <w:r>
        <w:t xml:space="preserve"> </w:t>
      </w:r>
      <w:r>
        <w:t xml:space="preserve">threshold (interpolable); the remaining 3 (</w:t>
      </w:r>
      <m:oMath>
        <m:r>
          <m:t>α</m:t>
        </m:r>
        <m:r>
          <m:rPr>
            <m:sty m:val="p"/>
          </m:rPr>
          <m:t>=</m:t>
        </m:r>
        <m:r>
          <m:t>1.7</m:t>
        </m:r>
        <m:r>
          <m:rPr>
            <m:sty m:val="p"/>
          </m:rPr>
          <m:t>,</m:t>
        </m:r>
        <m:r>
          <m:t>1.9</m:t>
        </m:r>
        <m:r>
          <m:rPr>
            <m:sty m:val="p"/>
          </m:rPr>
          <m:t>,</m:t>
        </m:r>
        <m:r>
          <m:t>2.65</m:t>
        </m:r>
      </m:oMath>
      <w:r>
        <w:t xml:space="preserve">) fall outside their tested</w:t>
      </w:r>
      <w:r>
        <w:t xml:space="preserve"> </w:t>
      </w:r>
      <m:oMath>
        <m:r>
          <m:t>λ</m:t>
        </m:r>
      </m:oMath>
      <w:r>
        <w:t xml:space="preserve"> </w:t>
      </w:r>
      <w:r>
        <w:t xml:space="preserve">range and are not resolved here.</w:t>
      </w:r>
    </w:p>
    <w:tbl>
      <w:tblPr>
        <w:tblStyle w:val="Table"/>
        <w:tblW w:type="auto" w:w="0"/>
        <w:tblLook w:firstRow="1" w:lastRow="0" w:firstColumn="0" w:lastColumn="0" w:noHBand="0" w:noVBand="0" w:val="0020"/>
        <w:jc w:val="start"/>
        <w:tblCaption w:val="Pre-specified held-out predictions vs. measured ceilings at the 5 of 8 \alpha values whose tested weight-decay grid brackets the 0.9 threshold (interpolable); the remaining 3 (\alpha=1.7,1.9,2.65) fall outside their tested \lambda range and are not resolved here."/>
      </w:tblPr>
      <w:tblGrid>
        <w:gridCol w:w="1980"/>
        <w:gridCol w:w="1980"/>
        <w:gridCol w:w="1980"/>
        <w:gridCol w:w="1980"/>
      </w:tblGrid>
      <w:tr>
        <w:trPr>
          <w:tblHeader w:val="true"/>
        </w:trPr>
        <w:tc>
          <w:tcPr/>
          <w:p>
            <w:pPr>
              <w:pStyle w:val="Compact"/>
              <w:jc w:val="left"/>
            </w:pPr>
            <m:oMath>
              <m:r>
                <m:t>α</m:t>
              </m:r>
            </m:oMath>
          </w:p>
        </w:tc>
        <w:tc>
          <w:tcPr/>
          <w:p>
            <w:pPr>
              <w:pStyle w:val="Compact"/>
              <w:jc w:val="center"/>
            </w:pPr>
            <m:oMath>
              <m:sSub>
                <m:e>
                  <m:r>
                    <m:t>E</m:t>
                  </m:r>
                </m:e>
                <m:sub>
                  <m:r>
                    <m:t>α</m:t>
                  </m:r>
                </m:sub>
              </m:sSub>
              <m:d>
                <m:dPr>
                  <m:begChr m:val="["/>
                  <m:endChr m:val="]"/>
                  <m:sepChr m:val=""/>
                  <m:grow/>
                </m:dPr>
                <m:e>
                  <m:r>
                    <m:t>c</m:t>
                  </m:r>
                </m:e>
              </m:d>
            </m:oMath>
            <w:r>
              <w:t xml:space="preserve"> </w:t>
            </w:r>
            <w:r>
              <w:t xml:space="preserve">prediction</w:t>
            </w:r>
          </w:p>
        </w:tc>
        <w:tc>
          <w:tcPr/>
          <w:p>
            <w:pPr>
              <w:pStyle w:val="Compact"/>
              <w:jc w:val="center"/>
            </w:pPr>
            <m:oMath>
              <m:sSup>
                <m:e>
                  <m:r>
                    <m:t>2</m:t>
                  </m:r>
                </m:e>
                <m:sup>
                  <m:r>
                    <m:rPr>
                      <m:sty m:val="p"/>
                    </m:rPr>
                    <m:t>−</m:t>
                  </m:r>
                  <m:r>
                    <m:t>α</m:t>
                  </m:r>
                </m:sup>
              </m:sSup>
            </m:oMath>
            <w:r>
              <w:t xml:space="preserve"> </w:t>
            </w:r>
            <w:r>
              <w:t xml:space="preserve">prediction</w:t>
            </w:r>
          </w:p>
        </w:tc>
        <w:tc>
          <w:tcPr/>
          <w:p>
            <w:pPr>
              <w:pStyle w:val="Compact"/>
              <w:jc w:val="center"/>
            </w:pPr>
            <w:r>
              <w:t xml:space="preserve">Measured ceiling</w:t>
            </w:r>
          </w:p>
        </w:tc>
      </w:tr>
      <w:tr>
        <w:tc>
          <w:tcPr/>
          <w:p>
            <w:pPr>
              <w:pStyle w:val="Compact"/>
              <w:jc w:val="left"/>
            </w:pPr>
            <w:r>
              <w:t xml:space="preserve">2.05</w:t>
            </w:r>
          </w:p>
        </w:tc>
        <w:tc>
          <w:tcPr/>
          <w:p>
            <w:pPr>
              <w:pStyle w:val="Compact"/>
              <w:jc w:val="center"/>
            </w:pPr>
            <w:r>
              <w:t xml:space="preserve">0.173</w:t>
            </w:r>
          </w:p>
        </w:tc>
        <w:tc>
          <w:tcPr/>
          <w:p>
            <w:pPr>
              <w:pStyle w:val="Compact"/>
              <w:jc w:val="center"/>
            </w:pPr>
            <w:r>
              <w:t xml:space="preserve">0.168</w:t>
            </w:r>
          </w:p>
        </w:tc>
        <w:tc>
          <w:tcPr/>
          <w:p>
            <w:pPr>
              <w:pStyle w:val="Compact"/>
              <w:jc w:val="center"/>
            </w:pPr>
            <w:r>
              <w:t xml:space="preserve">0.155</w:t>
            </w:r>
          </w:p>
        </w:tc>
      </w:tr>
      <w:tr>
        <w:tc>
          <w:tcPr/>
          <w:p>
            <w:pPr>
              <w:pStyle w:val="Compact"/>
              <w:jc w:val="left"/>
            </w:pPr>
            <w:r>
              <w:t xml:space="preserve">2.15</w:t>
            </w:r>
          </w:p>
        </w:tc>
        <w:tc>
          <w:tcPr/>
          <w:p>
            <w:pPr>
              <w:pStyle w:val="Compact"/>
              <w:jc w:val="center"/>
            </w:pPr>
            <w:r>
              <w:t xml:space="preserve">0.158</w:t>
            </w:r>
          </w:p>
        </w:tc>
        <w:tc>
          <w:tcPr/>
          <w:p>
            <w:pPr>
              <w:pStyle w:val="Compact"/>
              <w:jc w:val="center"/>
            </w:pPr>
            <w:r>
              <w:t xml:space="preserve">0.156</w:t>
            </w:r>
          </w:p>
        </w:tc>
        <w:tc>
          <w:tcPr/>
          <w:p>
            <w:pPr>
              <w:pStyle w:val="Compact"/>
              <w:jc w:val="center"/>
            </w:pPr>
            <w:r>
              <w:t xml:space="preserve">0.167</w:t>
            </w:r>
          </w:p>
        </w:tc>
      </w:tr>
      <w:tr>
        <w:tc>
          <w:tcPr/>
          <w:p>
            <w:pPr>
              <w:pStyle w:val="Compact"/>
              <w:jc w:val="left"/>
            </w:pPr>
            <w:r>
              <w:t xml:space="preserve">2.35</w:t>
            </w:r>
          </w:p>
        </w:tc>
        <w:tc>
          <w:tcPr/>
          <w:p>
            <w:pPr>
              <w:pStyle w:val="Compact"/>
              <w:jc w:val="center"/>
            </w:pPr>
            <w:r>
              <w:t xml:space="preserve">0.133</w:t>
            </w:r>
          </w:p>
        </w:tc>
        <w:tc>
          <w:tcPr/>
          <w:p>
            <w:pPr>
              <w:pStyle w:val="Compact"/>
              <w:jc w:val="center"/>
            </w:pPr>
            <w:r>
              <w:t xml:space="preserve">0.136</w:t>
            </w:r>
          </w:p>
        </w:tc>
        <w:tc>
          <w:tcPr/>
          <w:p>
            <w:pPr>
              <w:pStyle w:val="Compact"/>
              <w:jc w:val="center"/>
            </w:pPr>
            <w:r>
              <w:t xml:space="preserve">0.126</w:t>
            </w:r>
          </w:p>
        </w:tc>
      </w:tr>
      <w:tr>
        <w:tc>
          <w:tcPr/>
          <w:p>
            <w:pPr>
              <w:pStyle w:val="Compact"/>
              <w:jc w:val="left"/>
            </w:pPr>
            <w:r>
              <w:t xml:space="preserve">2.45</w:t>
            </w:r>
          </w:p>
        </w:tc>
        <w:tc>
          <w:tcPr/>
          <w:p>
            <w:pPr>
              <w:pStyle w:val="Compact"/>
              <w:jc w:val="center"/>
            </w:pPr>
            <w:r>
              <w:t xml:space="preserve">0.122</w:t>
            </w:r>
          </w:p>
        </w:tc>
        <w:tc>
          <w:tcPr/>
          <w:p>
            <w:pPr>
              <w:pStyle w:val="Compact"/>
              <w:jc w:val="center"/>
            </w:pPr>
            <w:r>
              <w:t xml:space="preserve">0.127</w:t>
            </w:r>
          </w:p>
        </w:tc>
        <w:tc>
          <w:tcPr/>
          <w:p>
            <w:pPr>
              <w:pStyle w:val="Compact"/>
              <w:jc w:val="center"/>
            </w:pPr>
            <w:r>
              <w:t xml:space="preserve">0.096</w:t>
            </w:r>
          </w:p>
        </w:tc>
      </w:tr>
      <w:tr>
        <w:tc>
          <w:tcPr/>
          <w:p>
            <w:pPr>
              <w:pStyle w:val="Compact"/>
              <w:jc w:val="left"/>
            </w:pPr>
            <w:r>
              <w:t xml:space="preserve">2.55</w:t>
            </w:r>
          </w:p>
        </w:tc>
        <w:tc>
          <w:tcPr/>
          <w:p>
            <w:pPr>
              <w:pStyle w:val="Compact"/>
              <w:jc w:val="center"/>
            </w:pPr>
            <w:r>
              <w:t xml:space="preserve">0.112</w:t>
            </w:r>
          </w:p>
        </w:tc>
        <w:tc>
          <w:tcPr/>
          <w:p>
            <w:pPr>
              <w:pStyle w:val="Compact"/>
              <w:jc w:val="center"/>
            </w:pPr>
            <w:r>
              <w:t xml:space="preserve">0.119</w:t>
            </w:r>
          </w:p>
        </w:tc>
        <w:tc>
          <w:tcPr/>
          <w:p>
            <w:pPr>
              <w:pStyle w:val="Compact"/>
              <w:jc w:val="center"/>
            </w:pPr>
            <w:r>
              <w:t xml:space="preserve">0.089</w:t>
            </w:r>
          </w:p>
        </w:tc>
      </w:tr>
    </w:tbl>
    <w:bookmarkEnd w:id="44"/>
    <w:bookmarkEnd w:id="45"/>
    <w:bookmarkStart w:id="47" w:name="sec:results-robustness"/>
    <w:p>
      <w:pPr>
        <w:pStyle w:val="Heading2"/>
      </w:pPr>
      <w:r>
        <w:rPr>
          <w:rStyle w:val="SectionNumber"/>
        </w:rPr>
        <w:t xml:space="preserve">4.4</w:t>
      </w:r>
      <w:r>
        <w:tab/>
      </w:r>
      <w:r>
        <w:t xml:space="preserve">Local robustness and task transfer</w:t>
      </w:r>
    </w:p>
    <w:p>
      <w:pPr>
        <w:pStyle w:val="FirstParagraph"/>
      </w:pPr>
      <w:r>
        <w:t xml:space="preserve">We pre-specified, before running the corresponding experiments, the direction in which seven single-factor perturbations should move mean accuracy at two boundary-adjacent cells relative to the</w:t>
      </w:r>
      <w:r>
        <w:t xml:space="preserve"> </w:t>
      </w:r>
      <m:oMath>
        <m:r>
          <m:t>d</m:t>
        </m:r>
        <m:r>
          <m:rPr>
            <m:sty m:val="p"/>
          </m:rPr>
          <m:t>=</m:t>
        </m:r>
        <m:r>
          <m:t>64</m:t>
        </m:r>
      </m:oMath>
      <w:r>
        <w:t xml:space="preserve">, lr</w:t>
      </w:r>
      <m:oMath>
        <m:r>
          <m:rPr>
            <m:sty m:val="p"/>
          </m:rPr>
          <m:t>=</m:t>
        </m:r>
        <m:sSup>
          <m:e>
            <m:r>
              <m:t>10</m:t>
            </m:r>
          </m:e>
          <m:sup>
            <m:r>
              <m:rPr>
                <m:sty m:val="p"/>
              </m:rPr>
              <m:t>−</m:t>
            </m:r>
            <m:r>
              <m:t>3</m:t>
            </m:r>
          </m:sup>
        </m:sSup>
      </m:oMath>
      <w:r>
        <w:t xml:space="preserve">, 2-layer, AdamW baseline of §3.1, whose mean accuracy is</w:t>
      </w:r>
      <w:r>
        <w:t xml:space="preserve"> </w:t>
      </w:r>
      <m:oMath>
        <m:r>
          <m:t>0.974</m:t>
        </m:r>
      </m:oMath>
      <w:r>
        <w:t xml:space="preserve"> </w:t>
      </w:r>
      <w:r>
        <w:t xml:space="preserve">at</w:t>
      </w:r>
      <w:r>
        <w:t xml:space="preserve"> </w:t>
      </w:r>
      <m:oMath>
        <m:r>
          <m:t>α</m:t>
        </m:r>
        <m:r>
          <m:rPr>
            <m:sty m:val="p"/>
          </m:rPr>
          <m:t>=</m:t>
        </m:r>
        <m:r>
          <m:t>2.5</m:t>
        </m:r>
        <m:r>
          <m:rPr>
            <m:sty m:val="p"/>
          </m:rPr>
          <m:t>,</m:t>
        </m:r>
        <m:r>
          <m:t>λ</m:t>
        </m:r>
        <m:r>
          <m:rPr>
            <m:sty m:val="p"/>
          </m:rPr>
          <m:t>=</m:t>
        </m:r>
        <m:r>
          <m:t>0.085</m:t>
        </m:r>
      </m:oMath>
      <w:r>
        <w:t xml:space="preserve"> </w:t>
      </w:r>
      <w:r>
        <w:t xml:space="preserve">and</w:t>
      </w:r>
      <w:r>
        <w:t xml:space="preserve"> </w:t>
      </w:r>
      <m:oMath>
        <m:r>
          <m:t>0.853</m:t>
        </m:r>
      </m:oMath>
      <w:r>
        <w:t xml:space="preserve"> </w:t>
      </w:r>
      <w:r>
        <w:t xml:space="preserve">at</w:t>
      </w:r>
      <w:r>
        <w:t xml:space="preserve"> </w:t>
      </w:r>
      <m:oMath>
        <m:r>
          <m:t>α</m:t>
        </m:r>
        <m:r>
          <m:rPr>
            <m:sty m:val="p"/>
          </m:rPr>
          <m:t>=</m:t>
        </m:r>
        <m:r>
          <m:t>2.25</m:t>
        </m:r>
        <m:r>
          <m:rPr>
            <m:sty m:val="p"/>
          </m:rPr>
          <m:t>,</m:t>
        </m:r>
        <m:r>
          <m:t>λ</m:t>
        </m:r>
        <m:r>
          <m:rPr>
            <m:sty m:val="p"/>
          </m:rPr>
          <m:t>=</m:t>
        </m:r>
        <m:r>
          <m:t>0.125</m:t>
        </m:r>
      </m:oMath>
      <w:r>
        <w:t xml:space="preserve">: width</w:t>
      </w:r>
      <w:r>
        <w:t xml:space="preserve"> </w:t>
      </w:r>
      <m:oMath>
        <m:r>
          <m:t>d</m:t>
        </m:r>
        <m:r>
          <m:rPr>
            <m:sty m:val="p"/>
          </m:rPr>
          <m:t>=</m:t>
        </m:r>
        <m:r>
          <m:t>32</m:t>
        </m:r>
      </m:oMath>
      <w:r>
        <w:t xml:space="preserve"> </w:t>
      </w:r>
      <w:r>
        <w:t xml:space="preserve">harder and</w:t>
      </w:r>
      <w:r>
        <w:t xml:space="preserve"> </w:t>
      </w:r>
      <m:oMath>
        <m:r>
          <m:t>d</m:t>
        </m:r>
        <m:r>
          <m:rPr>
            <m:sty m:val="p"/>
          </m:rPr>
          <m:t>=</m:t>
        </m:r>
        <m:r>
          <m:t>128</m:t>
        </m:r>
      </m:oMath>
      <w:r>
        <w:t xml:space="preserve"> </w:t>
      </w:r>
      <w:r>
        <w:t xml:space="preserve">easier; learning rate</w:t>
      </w:r>
      <w:r>
        <w:t xml:space="preserve"> </w:t>
      </w:r>
      <m:oMath>
        <m:r>
          <m:t>5</m:t>
        </m:r>
        <m:r>
          <m:rPr>
            <m:sty m:val="p"/>
          </m:rPr>
          <m:t>×</m:t>
        </m:r>
        <m:sSup>
          <m:e>
            <m:r>
              <m:t>10</m:t>
            </m:r>
          </m:e>
          <m:sup>
            <m:r>
              <m:rPr>
                <m:sty m:val="p"/>
              </m:rPr>
              <m:t>−</m:t>
            </m:r>
            <m:r>
              <m:t>4</m:t>
            </m:r>
          </m:sup>
        </m:sSup>
      </m:oMath>
      <w:r>
        <w:t xml:space="preserve"> </w:t>
      </w:r>
      <w:r>
        <w:t xml:space="preserve">easier and</w:t>
      </w:r>
      <w:r>
        <w:t xml:space="preserve"> </w:t>
      </w:r>
      <m:oMath>
        <m:r>
          <m:t>2</m:t>
        </m:r>
        <m:r>
          <m:rPr>
            <m:sty m:val="p"/>
          </m:rPr>
          <m:t>×</m:t>
        </m:r>
        <m:sSup>
          <m:e>
            <m:r>
              <m:t>10</m:t>
            </m:r>
          </m:e>
          <m:sup>
            <m:r>
              <m:rPr>
                <m:sty m:val="p"/>
              </m:rPr>
              <m:t>−</m:t>
            </m:r>
            <m:r>
              <m:t>3</m:t>
            </m:r>
          </m:sup>
        </m:sSup>
      </m:oMath>
      <w:r>
        <w:t xml:space="preserve"> </w:t>
      </w:r>
      <w:r>
        <w:t xml:space="preserve">harder; depth 1 layer harder and 3 layers easier; and switching from AdamW to SGD with momentum</w:t>
      </w:r>
      <w:r>
        <w:t xml:space="preserve"> </w:t>
      </w:r>
      <m:oMath>
        <m:r>
          <m:t>0.9</m:t>
        </m:r>
      </m:oMath>
      <w:r>
        <w:t xml:space="preserve">, at otherwise unchanged hyperparameters, was predicted to perform substantially worse, following the literature on adaptive optimizers’ role in grokking. Two further cells,</w:t>
      </w:r>
      <w:r>
        <w:t xml:space="preserve"> </w:t>
      </w:r>
      <m:oMath>
        <m:r>
          <m:t>d</m:t>
        </m:r>
        <m:r>
          <m:rPr>
            <m:sty m:val="p"/>
          </m:rPr>
          <m:t>=</m:t>
        </m:r>
        <m:r>
          <m:t>32</m:t>
        </m:r>
      </m:oMath>
      <w:r>
        <w:t xml:space="preserve">,lr</w:t>
      </w:r>
      <m:oMath>
        <m:r>
          <m:rPr>
            <m:sty m:val="p"/>
          </m:rPr>
          <m:t>=</m:t>
        </m:r>
        <m:r>
          <m:t>5</m:t>
        </m:r>
        <m:r>
          <m:rPr>
            <m:sty m:val="p"/>
          </m:rPr>
          <m:t>×</m:t>
        </m:r>
        <m:sSup>
          <m:e>
            <m:r>
              <m:t>10</m:t>
            </m:r>
          </m:e>
          <m:sup>
            <m:r>
              <m:rPr>
                <m:sty m:val="p"/>
              </m:rPr>
              <m:t>−</m:t>
            </m:r>
            <m:r>
              <m:t>4</m:t>
            </m:r>
          </m:sup>
        </m:sSup>
      </m:oMath>
      <w:r>
        <w:t xml:space="preserve"> </w:t>
      </w:r>
      <w:r>
        <w:t xml:space="preserve">and</w:t>
      </w:r>
      <w:r>
        <w:t xml:space="preserve"> </w:t>
      </w:r>
      <m:oMath>
        <m:r>
          <m:t>d</m:t>
        </m:r>
        <m:r>
          <m:rPr>
            <m:sty m:val="p"/>
          </m:rPr>
          <m:t>=</m:t>
        </m:r>
        <m:r>
          <m:t>128</m:t>
        </m:r>
      </m:oMath>
      <w:r>
        <w:t xml:space="preserve">,lr</w:t>
      </w:r>
      <m:oMath>
        <m:r>
          <m:rPr>
            <m:sty m:val="p"/>
          </m:rPr>
          <m:t>=</m:t>
        </m:r>
        <m:r>
          <m:t>2</m:t>
        </m:r>
        <m:r>
          <m:rPr>
            <m:sty m:val="p"/>
          </m:rPr>
          <m:t>×</m:t>
        </m:r>
        <m:sSup>
          <m:e>
            <m:r>
              <m:t>10</m:t>
            </m:r>
          </m:e>
          <m:sup>
            <m:r>
              <m:rPr>
                <m:sty m:val="p"/>
              </m:rPr>
              <m:t>−</m:t>
            </m:r>
            <m:r>
              <m:t>3</m:t>
            </m:r>
          </m:sup>
        </m:sSup>
      </m:oMath>
      <w:r>
        <w:t xml:space="preserve">, test whether the width and learning-rate effects combine additively, with no directional prediction attached. A perturbation counts as confirmed if mean accuracy moves in the predicted direction at both cells (Table </w:t>
      </w:r>
      <w:hyperlink w:anchor="tab:robustness">
        <w:r>
          <w:rPr>
            <w:rStyle w:val="Hyperlink"/>
          </w:rPr>
          <w:t xml:space="preserve">5</w:t>
        </w:r>
      </w:hyperlink>
      <w:r>
        <w:t xml:space="preserve">). Four of the seven directional predictions are confirmed at both cells: width</w:t>
      </w:r>
      <w:r>
        <w:t xml:space="preserve"> </w:t>
      </w:r>
      <m:oMath>
        <m:r>
          <m:t>d</m:t>
        </m:r>
        <m:r>
          <m:rPr>
            <m:sty m:val="p"/>
          </m:rPr>
          <m:t>=</m:t>
        </m:r>
        <m:r>
          <m:t>32</m:t>
        </m:r>
      </m:oMath>
      <w:r>
        <w:t xml:space="preserve"> </w:t>
      </w:r>
      <w:r>
        <w:t xml:space="preserve">is harder, learning rate</w:t>
      </w:r>
      <w:r>
        <w:t xml:space="preserve"> </w:t>
      </w:r>
      <m:oMath>
        <m:r>
          <m:t>2</m:t>
        </m:r>
        <m:r>
          <m:rPr>
            <m:sty m:val="p"/>
          </m:rPr>
          <m:t>×</m:t>
        </m:r>
        <m:sSup>
          <m:e>
            <m:r>
              <m:t>10</m:t>
            </m:r>
          </m:e>
          <m:sup>
            <m:r>
              <m:rPr>
                <m:sty m:val="p"/>
              </m:rPr>
              <m:t>−</m:t>
            </m:r>
            <m:r>
              <m:t>3</m:t>
            </m:r>
          </m:sup>
        </m:sSup>
      </m:oMath>
      <w:r>
        <w:t xml:space="preserve"> </w:t>
      </w:r>
      <w:r>
        <w:t xml:space="preserve">is harder, depth 1 layer is harder, and SGD with momentum is substantially worse, mean</w:t>
      </w:r>
      <w:r>
        <w:t xml:space="preserve"> </w:t>
      </w:r>
      <m:oMath>
        <m:r>
          <m:t>0.001</m:t>
        </m:r>
      </m:oMath>
      <w:r>
        <w:t xml:space="preserve"> </w:t>
      </w:r>
      <w:r>
        <w:t xml:space="preserve">against the AdamW baseline. Width</w:t>
      </w:r>
      <w:r>
        <w:t xml:space="preserve"> </w:t>
      </w:r>
      <m:oMath>
        <m:r>
          <m:t>d</m:t>
        </m:r>
        <m:r>
          <m:rPr>
            <m:sty m:val="p"/>
          </m:rPr>
          <m:t>=</m:t>
        </m:r>
        <m:r>
          <m:t>128</m:t>
        </m:r>
      </m:oMath>
      <w:r>
        <w:t xml:space="preserve"> </w:t>
      </w:r>
      <w:r>
        <w:t xml:space="preserve">and learning rate</w:t>
      </w:r>
      <w:r>
        <w:t xml:space="preserve"> </w:t>
      </w:r>
      <m:oMath>
        <m:r>
          <m:t>5</m:t>
        </m:r>
        <m:r>
          <m:rPr>
            <m:sty m:val="p"/>
          </m:rPr>
          <m:t>×</m:t>
        </m:r>
        <m:sSup>
          <m:e>
            <m:r>
              <m:t>10</m:t>
            </m:r>
          </m:e>
          <m:sup>
            <m:r>
              <m:rPr>
                <m:sty m:val="p"/>
              </m:rPr>
              <m:t>−</m:t>
            </m:r>
            <m:r>
              <m:t>4</m:t>
            </m:r>
          </m:sup>
        </m:sSup>
      </m:oMath>
      <w:r>
        <w:t xml:space="preserve">, both predicted easier, are confirmed only at</w:t>
      </w:r>
      <w:r>
        <w:t xml:space="preserve"> </w:t>
      </w:r>
      <m:oMath>
        <m:r>
          <m:t>α</m:t>
        </m:r>
        <m:r>
          <m:rPr>
            <m:sty m:val="p"/>
          </m:rPr>
          <m:t>=</m:t>
        </m:r>
        <m:r>
          <m:t>2.25</m:t>
        </m:r>
        <m:r>
          <m:rPr>
            <m:sty m:val="p"/>
          </m:rPr>
          <m:t>,</m:t>
        </m:r>
        <m:r>
          <m:t>λ</m:t>
        </m:r>
        <m:r>
          <m:rPr>
            <m:sty m:val="p"/>
          </m:rPr>
          <m:t>=</m:t>
        </m:r>
        <m:r>
          <m:t>0.125</m:t>
        </m:r>
      </m:oMath>
      <w:r>
        <w:t xml:space="preserve">; at</w:t>
      </w:r>
      <w:r>
        <w:t xml:space="preserve"> </w:t>
      </w:r>
      <m:oMath>
        <m:r>
          <m:t>α</m:t>
        </m:r>
        <m:r>
          <m:rPr>
            <m:sty m:val="p"/>
          </m:rPr>
          <m:t>=</m:t>
        </m:r>
        <m:r>
          <m:t>2.5</m:t>
        </m:r>
        <m:r>
          <m:rPr>
            <m:sty m:val="p"/>
          </m:rPr>
          <m:t>,</m:t>
        </m:r>
        <m:r>
          <m:t>λ</m:t>
        </m:r>
        <m:r>
          <m:rPr>
            <m:sty m:val="p"/>
          </m:rPr>
          <m:t>=</m:t>
        </m:r>
        <m:r>
          <m:t>0.085</m:t>
        </m:r>
      </m:oMath>
      <w:r>
        <w:t xml:space="preserve">, the baseline is already within a few points of the</w:t>
      </w:r>
      <w:r>
        <w:t xml:space="preserve"> </w:t>
      </w:r>
      <m:oMath>
        <m:r>
          <m:t>0.9</m:t>
        </m:r>
      </m:oMath>
      <w:r>
        <w:t xml:space="preserve">-threshold ceiling, mean</w:t>
      </w:r>
      <w:r>
        <w:t xml:space="preserve"> </w:t>
      </w:r>
      <m:oMath>
        <m:r>
          <m:t>0.974</m:t>
        </m:r>
      </m:oMath>
      <w:r>
        <w:t xml:space="preserve">, leaving little room to move further in the easier direction, and both show a small mean decrease there instead. Depth 3 layers, predicted easier, is confirmed at neither cell: mean accuracy is essentially unchanged at the first cell and falls at the second. Because SGD with momentum was not independently tuned, we read its result as evidence that the effect is not optimizer-invariant, rather than as a controlled ranking of optimizers.</w:t>
      </w:r>
    </w:p>
    <w:bookmarkStart w:id="46" w:name="tab:robustness"/>
    <w:p>
      <w:pPr>
        <w:pStyle w:val="TableCaption"/>
      </w:pPr>
      <w:r>
        <w:t xml:space="preserve">Pre-specified directional predictions and outcomes at two boundary-adjacent cells (</w:t>
      </w:r>
      <m:oMath>
        <m:r>
          <m:t>α</m:t>
        </m:r>
        <m:r>
          <m:rPr>
            <m:sty m:val="p"/>
          </m:rPr>
          <m:t>=</m:t>
        </m:r>
        <m:r>
          <m:t>2.5</m:t>
        </m:r>
        <m:r>
          <m:rPr>
            <m:sty m:val="p"/>
          </m:rPr>
          <m:t>,</m:t>
        </m:r>
        <m:r>
          <m:t>λ</m:t>
        </m:r>
        <m:r>
          <m:rPr>
            <m:sty m:val="p"/>
          </m:rPr>
          <m:t>=</m:t>
        </m:r>
        <m:r>
          <m:t>0.085</m:t>
        </m:r>
      </m:oMath>
      <w:r>
        <w:t xml:space="preserve">, baseline mean</w:t>
      </w:r>
      <w:r>
        <w:t xml:space="preserve"> </w:t>
      </w:r>
      <m:oMath>
        <m:r>
          <m:t>0.974</m:t>
        </m:r>
      </m:oMath>
      <w:r>
        <w:t xml:space="preserve">; and</w:t>
      </w:r>
      <w:r>
        <w:t xml:space="preserve"> </w:t>
      </w:r>
      <m:oMath>
        <m:r>
          <m:t>α</m:t>
        </m:r>
        <m:r>
          <m:rPr>
            <m:sty m:val="p"/>
          </m:rPr>
          <m:t>=</m:t>
        </m:r>
        <m:r>
          <m:t>2.25</m:t>
        </m:r>
        <m:r>
          <m:rPr>
            <m:sty m:val="p"/>
          </m:rPr>
          <m:t>,</m:t>
        </m:r>
        <m:r>
          <m:t>λ</m:t>
        </m:r>
        <m:r>
          <m:rPr>
            <m:sty m:val="p"/>
          </m:rPr>
          <m:t>=</m:t>
        </m:r>
        <m:r>
          <m:t>0.125</m:t>
        </m:r>
      </m:oMath>
      <w:r>
        <w:t xml:space="preserve">, baseline mean</w:t>
      </w:r>
      <w:r>
        <w:t xml:space="preserve"> </w:t>
      </w:r>
      <m:oMath>
        <m:r>
          <m:t>0.853</m:t>
        </m:r>
      </m:oMath>
      <w:r>
        <w:t xml:space="preserve">), 5 seeds each. Confirmation criterion: mean accuracy moves in the predicted direction at both cells. Four of seven directional predictions confirmed at both cells; the two interaction cells test additivity and carry no direction.</w:t>
      </w:r>
    </w:p>
    <w:tbl>
      <w:tblPr>
        <w:tblStyle w:val="Table"/>
        <w:tblW w:type="auto" w:w="0"/>
        <w:tblLook w:firstRow="1" w:lastRow="0" w:firstColumn="0" w:lastColumn="0" w:noHBand="0" w:noVBand="0" w:val="0020"/>
        <w:jc w:val="start"/>
        <w:tblCaption w:val="Pre-specified directional predictions and outcomes at two boundary-adjacent cells (\alpha{=}2.5,\lambda{=}0.085, baseline mean 0.974; and \alpha{=}2.25,\lambda{=}0.125, baseline mean 0.853), 5 seeds each. Confirmation criterion: mean accuracy moves in the predicted direction at both cells. Four of seven directional predictions confirmed at both cells; the two interaction cells test additivity and carry no direction."/>
      </w:tblPr>
      <w:tblGrid>
        <w:gridCol w:w="1980"/>
        <w:gridCol w:w="1980"/>
        <w:gridCol w:w="1980"/>
        <w:gridCol w:w="1980"/>
      </w:tblGrid>
      <w:tr>
        <w:trPr>
          <w:tblHeader w:val="true"/>
        </w:trPr>
        <w:tc>
          <w:tcPr/>
          <w:p>
            <w:pPr>
              <w:pStyle w:val="Compact"/>
              <w:jc w:val="left"/>
            </w:pPr>
            <w:r>
              <w:t xml:space="preserve">Perturbation</w:t>
            </w:r>
          </w:p>
        </w:tc>
        <w:tc>
          <w:tcPr/>
          <w:p>
            <w:pPr>
              <w:pStyle w:val="Compact"/>
              <w:jc w:val="left"/>
            </w:pPr>
            <w:r>
              <w:t xml:space="preserve">Predicted direction</w:t>
            </w:r>
          </w:p>
        </w:tc>
        <w:tc>
          <w:tcPr/>
          <w:p>
            <w:pPr>
              <w:pStyle w:val="Compact"/>
              <w:jc w:val="left"/>
            </w:pPr>
            <w:r>
              <w:t xml:space="preserve">Mean accuracy (both cells)</w:t>
            </w:r>
          </w:p>
        </w:tc>
        <w:tc>
          <w:tcPr/>
          <w:p>
            <w:pPr>
              <w:pStyle w:val="Compact"/>
              <w:jc w:val="left"/>
            </w:pPr>
            <w:r>
              <w:t xml:space="preserve">Outcome</w:t>
            </w:r>
          </w:p>
        </w:tc>
      </w:tr>
      <w:tr>
        <w:tc>
          <w:tcPr/>
          <w:p>
            <w:pPr>
              <w:pStyle w:val="Compact"/>
              <w:jc w:val="left"/>
            </w:pPr>
            <w:r>
              <w:t xml:space="preserve">Width</w:t>
            </w:r>
            <w:r>
              <w:t xml:space="preserve"> </w:t>
            </w:r>
            <m:oMath>
              <m:r>
                <m:t>d</m:t>
              </m:r>
              <m:r>
                <m:rPr>
                  <m:sty m:val="p"/>
                </m:rPr>
                <m:t>=</m:t>
              </m:r>
              <m:r>
                <m:t>32</m:t>
              </m:r>
            </m:oMath>
          </w:p>
        </w:tc>
        <w:tc>
          <w:tcPr/>
          <w:p>
            <w:pPr>
              <w:pStyle w:val="Compact"/>
              <w:jc w:val="left"/>
            </w:pPr>
            <w:r>
              <w:t xml:space="preserve">harder</w:t>
            </w:r>
          </w:p>
        </w:tc>
        <w:tc>
          <w:tcPr/>
          <w:p>
            <w:pPr>
              <w:pStyle w:val="Compact"/>
              <w:jc w:val="left"/>
            </w:pPr>
            <m:oMath>
              <m:r>
                <m:t>0.384</m:t>
              </m:r>
            </m:oMath>
            <w:r>
              <w:t xml:space="preserve">,</w:t>
            </w:r>
            <w:r>
              <w:t xml:space="preserve"> </w:t>
            </w:r>
            <m:oMath>
              <m:r>
                <m:t>0.357</m:t>
              </m:r>
            </m:oMath>
          </w:p>
        </w:tc>
        <w:tc>
          <w:tcPr/>
          <w:p>
            <w:pPr>
              <w:pStyle w:val="Compact"/>
              <w:jc w:val="left"/>
            </w:pPr>
            <w:r>
              <w:t xml:space="preserve">confirmed</w:t>
            </w:r>
          </w:p>
        </w:tc>
      </w:tr>
      <w:tr>
        <w:tc>
          <w:tcPr/>
          <w:p>
            <w:pPr>
              <w:pStyle w:val="Compact"/>
              <w:jc w:val="left"/>
            </w:pPr>
            <w:r>
              <w:t xml:space="preserve">Width</w:t>
            </w:r>
            <w:r>
              <w:t xml:space="preserve"> </w:t>
            </w:r>
            <m:oMath>
              <m:r>
                <m:t>d</m:t>
              </m:r>
              <m:r>
                <m:rPr>
                  <m:sty m:val="p"/>
                </m:rPr>
                <m:t>=</m:t>
              </m:r>
              <m:r>
                <m:t>128</m:t>
              </m:r>
            </m:oMath>
          </w:p>
        </w:tc>
        <w:tc>
          <w:tcPr/>
          <w:p>
            <w:pPr>
              <w:pStyle w:val="Compact"/>
              <w:jc w:val="left"/>
            </w:pPr>
            <w:r>
              <w:t xml:space="preserve">easier</w:t>
            </w:r>
          </w:p>
        </w:tc>
        <w:tc>
          <w:tcPr/>
          <w:p>
            <w:pPr>
              <w:pStyle w:val="Compact"/>
              <w:jc w:val="left"/>
            </w:pPr>
            <m:oMath>
              <m:r>
                <m:t>0.951</m:t>
              </m:r>
            </m:oMath>
            <w:r>
              <w:t xml:space="preserve">,</w:t>
            </w:r>
            <w:r>
              <w:t xml:space="preserve"> </w:t>
            </w:r>
            <m:oMath>
              <m:r>
                <m:t>0.992</m:t>
              </m:r>
            </m:oMath>
          </w:p>
        </w:tc>
        <w:tc>
          <w:tcPr/>
          <w:p>
            <w:pPr>
              <w:pStyle w:val="Compact"/>
              <w:jc w:val="left"/>
            </w:pPr>
            <w:r>
              <w:t xml:space="preserve">confirmed at cell 2 only</w:t>
            </w:r>
          </w:p>
        </w:tc>
      </w:tr>
      <w:tr>
        <w:tc>
          <w:tcPr/>
          <w:p>
            <w:pPr>
              <w:pStyle w:val="Compact"/>
              <w:jc w:val="left"/>
            </w:pPr>
            <w:r>
              <w:t xml:space="preserve">Learning rate</w:t>
            </w:r>
            <w:r>
              <w:t xml:space="preserve"> </w:t>
            </w:r>
            <m:oMath>
              <m:r>
                <m:t>5</m:t>
              </m:r>
              <m:r>
                <m:rPr>
                  <m:sty m:val="p"/>
                </m:rPr>
                <m:t>×</m:t>
              </m:r>
              <m:sSup>
                <m:e>
                  <m:r>
                    <m:t>10</m:t>
                  </m:r>
                </m:e>
                <m:sup>
                  <m:r>
                    <m:rPr>
                      <m:sty m:val="p"/>
                    </m:rPr>
                    <m:t>−</m:t>
                  </m:r>
                  <m:r>
                    <m:t>4</m:t>
                  </m:r>
                </m:sup>
              </m:sSup>
            </m:oMath>
          </w:p>
        </w:tc>
        <w:tc>
          <w:tcPr/>
          <w:p>
            <w:pPr>
              <w:pStyle w:val="Compact"/>
              <w:jc w:val="left"/>
            </w:pPr>
            <w:r>
              <w:t xml:space="preserve">easier</w:t>
            </w:r>
          </w:p>
        </w:tc>
        <w:tc>
          <w:tcPr/>
          <w:p>
            <w:pPr>
              <w:pStyle w:val="Compact"/>
              <w:jc w:val="left"/>
            </w:pPr>
            <m:oMath>
              <m:r>
                <m:t>0.970</m:t>
              </m:r>
            </m:oMath>
            <w:r>
              <w:t xml:space="preserve">,</w:t>
            </w:r>
            <w:r>
              <w:t xml:space="preserve"> </w:t>
            </w:r>
            <m:oMath>
              <m:r>
                <m:t>0.979</m:t>
              </m:r>
            </m:oMath>
          </w:p>
        </w:tc>
        <w:tc>
          <w:tcPr/>
          <w:p>
            <w:pPr>
              <w:pStyle w:val="Compact"/>
              <w:jc w:val="left"/>
            </w:pPr>
            <w:r>
              <w:t xml:space="preserve">confirmed at cell 2 only</w:t>
            </w:r>
          </w:p>
        </w:tc>
      </w:tr>
      <w:tr>
        <w:tc>
          <w:tcPr/>
          <w:p>
            <w:pPr>
              <w:pStyle w:val="Compact"/>
              <w:jc w:val="left"/>
            </w:pPr>
            <w:r>
              <w:t xml:space="preserve">Learning rate</w:t>
            </w:r>
            <w:r>
              <w:t xml:space="preserve"> </w:t>
            </w:r>
            <m:oMath>
              <m:r>
                <m:t>2</m:t>
              </m:r>
              <m:r>
                <m:rPr>
                  <m:sty m:val="p"/>
                </m:rPr>
                <m:t>×</m:t>
              </m:r>
              <m:sSup>
                <m:e>
                  <m:r>
                    <m:t>10</m:t>
                  </m:r>
                </m:e>
                <m:sup>
                  <m:r>
                    <m:rPr>
                      <m:sty m:val="p"/>
                    </m:rPr>
                    <m:t>−</m:t>
                  </m:r>
                  <m:r>
                    <m:t>3</m:t>
                  </m:r>
                </m:sup>
              </m:sSup>
            </m:oMath>
          </w:p>
        </w:tc>
        <w:tc>
          <w:tcPr/>
          <w:p>
            <w:pPr>
              <w:pStyle w:val="Compact"/>
              <w:jc w:val="left"/>
            </w:pPr>
            <w:r>
              <w:t xml:space="preserve">harder</w:t>
            </w:r>
          </w:p>
        </w:tc>
        <w:tc>
          <w:tcPr/>
          <w:p>
            <w:pPr>
              <w:pStyle w:val="Compact"/>
              <w:jc w:val="left"/>
            </w:pPr>
            <m:oMath>
              <m:r>
                <m:t>0.845</m:t>
              </m:r>
            </m:oMath>
            <w:r>
              <w:t xml:space="preserve">,</w:t>
            </w:r>
            <w:r>
              <w:t xml:space="preserve"> </w:t>
            </w:r>
            <m:oMath>
              <m:r>
                <m:t>0.813</m:t>
              </m:r>
            </m:oMath>
          </w:p>
        </w:tc>
        <w:tc>
          <w:tcPr/>
          <w:p>
            <w:pPr>
              <w:pStyle w:val="Compact"/>
              <w:jc w:val="left"/>
            </w:pPr>
            <w:r>
              <w:t xml:space="preserve">confirmed</w:t>
            </w:r>
          </w:p>
        </w:tc>
      </w:tr>
      <w:tr>
        <w:tc>
          <w:tcPr/>
          <w:p>
            <w:pPr>
              <w:pStyle w:val="Compact"/>
              <w:jc w:val="left"/>
            </w:pPr>
            <w:r>
              <w:t xml:space="preserve">Depth 1 layer</w:t>
            </w:r>
          </w:p>
        </w:tc>
        <w:tc>
          <w:tcPr/>
          <w:p>
            <w:pPr>
              <w:pStyle w:val="Compact"/>
              <w:jc w:val="left"/>
            </w:pPr>
            <w:r>
              <w:t xml:space="preserve">harder</w:t>
            </w:r>
          </w:p>
        </w:tc>
        <w:tc>
          <w:tcPr/>
          <w:p>
            <w:pPr>
              <w:pStyle w:val="Compact"/>
              <w:jc w:val="left"/>
            </w:pPr>
            <m:oMath>
              <m:r>
                <m:t>0.731</m:t>
              </m:r>
            </m:oMath>
            <w:r>
              <w:t xml:space="preserve">,</w:t>
            </w:r>
            <w:r>
              <w:t xml:space="preserve"> </w:t>
            </w:r>
            <m:oMath>
              <m:r>
                <m:t>0.828</m:t>
              </m:r>
            </m:oMath>
          </w:p>
        </w:tc>
        <w:tc>
          <w:tcPr/>
          <w:p>
            <w:pPr>
              <w:pStyle w:val="Compact"/>
              <w:jc w:val="left"/>
            </w:pPr>
            <w:r>
              <w:t xml:space="preserve">confirmed</w:t>
            </w:r>
          </w:p>
        </w:tc>
      </w:tr>
      <w:tr>
        <w:tc>
          <w:tcPr/>
          <w:p>
            <w:pPr>
              <w:pStyle w:val="Compact"/>
              <w:jc w:val="left"/>
            </w:pPr>
            <w:r>
              <w:t xml:space="preserve">Depth 3 layers</w:t>
            </w:r>
          </w:p>
        </w:tc>
        <w:tc>
          <w:tcPr/>
          <w:p>
            <w:pPr>
              <w:pStyle w:val="Compact"/>
              <w:jc w:val="left"/>
            </w:pPr>
            <w:r>
              <w:t xml:space="preserve">easier</w:t>
            </w:r>
          </w:p>
        </w:tc>
        <w:tc>
          <w:tcPr/>
          <w:p>
            <w:pPr>
              <w:pStyle w:val="Compact"/>
              <w:jc w:val="left"/>
            </w:pPr>
            <m:oMath>
              <m:r>
                <m:t>0.974</m:t>
              </m:r>
            </m:oMath>
            <w:r>
              <w:t xml:space="preserve">,</w:t>
            </w:r>
            <w:r>
              <w:t xml:space="preserve"> </w:t>
            </w:r>
            <m:oMath>
              <m:r>
                <m:t>0.807</m:t>
              </m:r>
            </m:oMath>
          </w:p>
        </w:tc>
        <w:tc>
          <w:tcPr/>
          <w:p>
            <w:pPr>
              <w:pStyle w:val="Compact"/>
              <w:jc w:val="left"/>
            </w:pPr>
            <w:r>
              <w:t xml:space="preserve">not confirmed</w:t>
            </w:r>
          </w:p>
        </w:tc>
      </w:tr>
      <w:tr>
        <w:tc>
          <w:tcPr/>
          <w:p>
            <w:pPr>
              <w:pStyle w:val="Compact"/>
              <w:jc w:val="left"/>
            </w:pPr>
            <m:oMath>
              <m:r>
                <m:t>d</m:t>
              </m:r>
              <m:r>
                <m:rPr>
                  <m:sty m:val="p"/>
                </m:rPr>
                <m:t>=</m:t>
              </m:r>
              <m:r>
                <m:t>32</m:t>
              </m:r>
            </m:oMath>
            <w:r>
              <w:t xml:space="preserve">, lr</w:t>
            </w:r>
            <m:oMath>
              <m:r>
                <m:rPr>
                  <m:sty m:val="p"/>
                </m:rPr>
                <m:t>=</m:t>
              </m:r>
              <m:r>
                <m:t>5</m:t>
              </m:r>
              <m:r>
                <m:rPr>
                  <m:sty m:val="p"/>
                </m:rPr>
                <m:t>×</m:t>
              </m:r>
              <m:sSup>
                <m:e>
                  <m:r>
                    <m:t>10</m:t>
                  </m:r>
                </m:e>
                <m:sup>
                  <m:r>
                    <m:rPr>
                      <m:sty m:val="p"/>
                    </m:rPr>
                    <m:t>−</m:t>
                  </m:r>
                  <m:r>
                    <m:t>4</m:t>
                  </m:r>
                </m:sup>
              </m:sSup>
            </m:oMath>
            <w:r>
              <w:t xml:space="preserve"> </w:t>
            </w:r>
            <w:r>
              <w:t xml:space="preserve">(interaction)</w:t>
            </w:r>
          </w:p>
        </w:tc>
        <w:tc>
          <w:tcPr/>
          <w:p>
            <w:pPr>
              <w:pStyle w:val="Compact"/>
              <w:jc w:val="left"/>
            </w:pPr>
            <w:r>
              <w:t xml:space="preserve">no direction (additivity test)</w:t>
            </w:r>
          </w:p>
        </w:tc>
        <w:tc>
          <w:tcPr/>
          <w:p>
            <w:pPr>
              <w:pStyle w:val="Compact"/>
              <w:jc w:val="left"/>
            </w:pPr>
            <m:oMath>
              <m:r>
                <m:t>0.444</m:t>
              </m:r>
            </m:oMath>
            <w:r>
              <w:t xml:space="preserve">,</w:t>
            </w:r>
            <w:r>
              <w:t xml:space="preserve"> </w:t>
            </w:r>
            <m:oMath>
              <m:r>
                <m:t>0.623</m:t>
              </m:r>
            </m:oMath>
          </w:p>
        </w:tc>
        <w:tc>
          <w:tcPr/>
          <w:p>
            <w:pPr>
              <w:pStyle w:val="Compact"/>
              <w:jc w:val="left"/>
            </w:pPr>
            <w:r>
              <w:t xml:space="preserve">width dominates</w:t>
            </w:r>
          </w:p>
        </w:tc>
      </w:tr>
      <w:tr>
        <w:tc>
          <w:tcPr/>
          <w:p>
            <w:pPr>
              <w:pStyle w:val="Compact"/>
              <w:jc w:val="left"/>
            </w:pPr>
            <m:oMath>
              <m:r>
                <m:t>d</m:t>
              </m:r>
              <m:r>
                <m:rPr>
                  <m:sty m:val="p"/>
                </m:rPr>
                <m:t>=</m:t>
              </m:r>
              <m:r>
                <m:t>128</m:t>
              </m:r>
            </m:oMath>
            <w:r>
              <w:t xml:space="preserve">, lr</w:t>
            </w:r>
            <m:oMath>
              <m:r>
                <m:rPr>
                  <m:sty m:val="p"/>
                </m:rPr>
                <m:t>=</m:t>
              </m:r>
              <m:r>
                <m:t>2</m:t>
              </m:r>
              <m:r>
                <m:rPr>
                  <m:sty m:val="p"/>
                </m:rPr>
                <m:t>×</m:t>
              </m:r>
              <m:sSup>
                <m:e>
                  <m:r>
                    <m:t>10</m:t>
                  </m:r>
                </m:e>
                <m:sup>
                  <m:r>
                    <m:rPr>
                      <m:sty m:val="p"/>
                    </m:rPr>
                    <m:t>−</m:t>
                  </m:r>
                  <m:r>
                    <m:t>3</m:t>
                  </m:r>
                </m:sup>
              </m:sSup>
            </m:oMath>
            <w:r>
              <w:t xml:space="preserve"> </w:t>
            </w:r>
            <w:r>
              <w:t xml:space="preserve">(interaction)</w:t>
            </w:r>
          </w:p>
        </w:tc>
        <w:tc>
          <w:tcPr/>
          <w:p>
            <w:pPr>
              <w:pStyle w:val="Compact"/>
              <w:jc w:val="left"/>
            </w:pPr>
            <w:r>
              <w:t xml:space="preserve">no direction (additivity test)</w:t>
            </w:r>
          </w:p>
        </w:tc>
        <w:tc>
          <w:tcPr/>
          <w:p>
            <w:pPr>
              <w:pStyle w:val="Compact"/>
              <w:jc w:val="left"/>
            </w:pPr>
            <m:oMath>
              <m:r>
                <m:t>0.930</m:t>
              </m:r>
            </m:oMath>
            <w:r>
              <w:t xml:space="preserve">,</w:t>
            </w:r>
            <w:r>
              <w:t xml:space="preserve"> </w:t>
            </w:r>
            <m:oMath>
              <m:r>
                <m:t>0.931</m:t>
              </m:r>
            </m:oMath>
          </w:p>
        </w:tc>
        <w:tc>
          <w:tcPr/>
          <w:p>
            <w:pPr>
              <w:pStyle w:val="Compact"/>
              <w:jc w:val="left"/>
            </w:pPr>
            <w:r>
              <w:t xml:space="preserve">width dominates</w:t>
            </w:r>
          </w:p>
        </w:tc>
      </w:tr>
      <w:tr>
        <w:tc>
          <w:tcPr/>
          <w:p>
            <w:pPr>
              <w:pStyle w:val="Compact"/>
              <w:jc w:val="left"/>
            </w:pPr>
            <w:r>
              <w:t xml:space="preserve">SGD, momentum</w:t>
            </w:r>
            <w:r>
              <w:t xml:space="preserve"> </w:t>
            </w:r>
            <m:oMath>
              <m:r>
                <m:t>0.9</m:t>
              </m:r>
            </m:oMath>
          </w:p>
        </w:tc>
        <w:tc>
          <w:tcPr/>
          <w:p>
            <w:pPr>
              <w:pStyle w:val="Compact"/>
              <w:jc w:val="left"/>
            </w:pPr>
            <w:r>
              <w:t xml:space="preserve">substantially worse</w:t>
            </w:r>
          </w:p>
        </w:tc>
        <w:tc>
          <w:tcPr/>
          <w:p>
            <w:pPr>
              <w:pStyle w:val="Compact"/>
              <w:jc w:val="left"/>
            </w:pPr>
            <m:oMath>
              <m:r>
                <m:t>0.001</m:t>
              </m:r>
            </m:oMath>
            <w:r>
              <w:t xml:space="preserve">,</w:t>
            </w:r>
            <w:r>
              <w:t xml:space="preserve"> </w:t>
            </w:r>
            <m:oMath>
              <m:r>
                <m:t>0.001</m:t>
              </m:r>
            </m:oMath>
          </w:p>
        </w:tc>
        <w:tc>
          <w:tcPr/>
          <w:p>
            <w:pPr>
              <w:pStyle w:val="Compact"/>
              <w:jc w:val="left"/>
            </w:pPr>
            <w:r>
              <w:t xml:space="preserve">confirmed</w:t>
            </w:r>
          </w:p>
        </w:tc>
      </w:tr>
    </w:tbl>
    <w:bookmarkEnd w:id="46"/>
    <w:bookmarkEnd w:id="47"/>
    <w:bookmarkStart w:id="51" w:name="sec:results-modadd"/>
    <w:p>
      <w:pPr>
        <w:pStyle w:val="Heading2"/>
      </w:pPr>
      <w:r>
        <w:rPr>
          <w:rStyle w:val="SectionNumber"/>
        </w:rPr>
        <w:t xml:space="preserve">4.5</w:t>
      </w:r>
      <w:r>
        <w:tab/>
      </w:r>
      <w:r>
        <w:t xml:space="preserve">Transfer to modular addition</w:t>
      </w:r>
    </w:p>
    <w:p>
      <w:pPr>
        <w:pStyle w:val="FirstParagraph"/>
      </w:pPr>
      <w:r>
        <w:t xml:space="preserve">We repeated the injection comparison from §</w:t>
      </w:r>
      <w:hyperlink w:anchor="sec:results-rescue">
        <w:r>
          <w:rPr>
            <w:rStyle w:val="Hyperlink"/>
          </w:rPr>
          <w:t xml:space="preserve">4.2</w:t>
        </w:r>
      </w:hyperlink>
      <w:r>
        <w:t xml:space="preserve"> </w:t>
      </w:r>
      <w:r>
        <w:t xml:space="preserve">on modular addition,</w:t>
      </w:r>
      <w:r>
        <w:t xml:space="preserve"> </w:t>
      </w:r>
      <m:oMath>
        <m:r>
          <m:t>p</m:t>
        </m:r>
        <m:r>
          <m:rPr>
            <m:sty m:val="p"/>
          </m:rPr>
          <m:t>=</m:t>
        </m:r>
        <m:r>
          <m:t>97</m:t>
        </m:r>
      </m:oMath>
      <w:r>
        <w:t xml:space="preserve">, at its own clean failure region,</w:t>
      </w:r>
      <w:r>
        <w:t xml:space="preserve"> </w:t>
      </w:r>
      <m:oMath>
        <m:r>
          <m:t>α</m:t>
        </m:r>
        <m:r>
          <m:rPr>
            <m:sty m:val="p"/>
          </m:rPr>
          <m:t>=</m:t>
        </m:r>
        <m:r>
          <m:t>3.0</m:t>
        </m:r>
      </m:oMath>
      <w:r>
        <w:t xml:space="preserve">,</w:t>
      </w:r>
      <w:r>
        <w:t xml:space="preserve"> </w:t>
      </w:r>
      <m:oMath>
        <m:r>
          <m:t>λ</m:t>
        </m:r>
        <m:r>
          <m:rPr>
            <m:sty m:val="p"/>
          </m:rPr>
          <m:t>=</m:t>
        </m:r>
        <m:r>
          <m:t>0.3</m:t>
        </m:r>
      </m:oMath>
      <w:r>
        <w:t xml:space="preserve">, with the same dose,</w:t>
      </w:r>
      <w:r>
        <w:t xml:space="preserve"> </w:t>
      </w:r>
      <m:oMath>
        <m:r>
          <m:t>k</m:t>
        </m:r>
        <m:r>
          <m:rPr>
            <m:sty m:val="p"/>
          </m:rPr>
          <m:t>=</m:t>
        </m:r>
        <m:r>
          <m:t>1</m:t>
        </m:r>
      </m:oMath>
      <w:r>
        <w:t xml:space="preserve"> </w:t>
      </w:r>
      <w:r>
        <w:t xml:space="preserve">per batch of 128, and the same architecture, optimizer, and evaluation convention (§3.5). At this second task,</w:t>
      </w:r>
      <w:r>
        <w:t xml:space="preserve"> </w:t>
      </w:r>
      <w:r>
        <w:t xml:space="preserve">“</w:t>
      </w:r>
      <w:r>
        <w:t xml:space="preserve">rare-but-short</w:t>
      </w:r>
      <w:r>
        <w:t xml:space="preserve">”</w:t>
      </w:r>
      <w:r>
        <w:t xml:space="preserve"> </w:t>
      </w:r>
      <w:r>
        <w:t xml:space="preserve">and</w:t>
      </w:r>
      <w:r>
        <w:t xml:space="preserve"> </w:t>
      </w:r>
      <w:r>
        <w:t xml:space="preserve">“</w:t>
      </w:r>
      <w:r>
        <w:t xml:space="preserve">head-concentrated</w:t>
      </w:r>
      <w:r>
        <w:t xml:space="preserve">”</w:t>
      </w:r>
      <w:r>
        <w:t xml:space="preserve"> </w:t>
      </w:r>
      <w:r>
        <w:t xml:space="preserve">states are not defined by carry length, so the two targeted controls are the natural analogues here: rare, large-operand states, and the most frequent states. The zero-injection baseline at this cell is</w:t>
      </w:r>
      <w:r>
        <w:t xml:space="preserve"> </w:t>
      </w:r>
      <m:oMath>
        <m:r>
          <m:t>0.413</m:t>
        </m:r>
      </m:oMath>
      <w:r>
        <w:t xml:space="preserve"> </w:t>
      </w:r>
      <w:r>
        <w:t xml:space="preserve">mean accuracy, 0/3 generalizing. The ranking direction reproduces: uniform injection achieves</w:t>
      </w:r>
      <w:r>
        <w:t xml:space="preserve"> </w:t>
      </w:r>
      <m:oMath>
        <m:r>
          <m:t>0.934</m:t>
        </m:r>
      </m:oMath>
      <w:r>
        <w:t xml:space="preserve"> </w:t>
      </w:r>
      <w:r>
        <w:t xml:space="preserve">mean accuracy with three of five seeds generalizing; injection restricted to rare, large-operand states achieves</w:t>
      </w:r>
      <w:r>
        <w:t xml:space="preserve"> </w:t>
      </w:r>
      <m:oMath>
        <m:r>
          <m:t>0.721</m:t>
        </m:r>
      </m:oMath>
      <w:r>
        <w:t xml:space="preserve"> </w:t>
      </w:r>
      <w:r>
        <w:t xml:space="preserve">with zero of five generalizing; injection restricted to the most frequent states achieves</w:t>
      </w:r>
      <w:r>
        <w:t xml:space="preserve"> </w:t>
      </w:r>
      <m:oMath>
        <m:r>
          <m:t>0.396</m:t>
        </m:r>
      </m:oMath>
      <w:r>
        <w:t xml:space="preserve"> </w:t>
      </w:r>
      <w:r>
        <w:t xml:space="preserve">with zero of five generalizing, close to the zero-injection baseline (Figure </w:t>
      </w:r>
      <w:hyperlink w:anchor="fig:modadd">
        <w:r>
          <w:rPr>
            <w:rStyle w:val="Hyperlink"/>
          </w:rPr>
          <w:t xml:space="preserve">4</w:t>
        </w:r>
      </w:hyperlink>
      <w:r>
        <w:t xml:space="preserve">). This reproduces the injection-ranking direction under sample-count-matched controls on a second arithmetic task; the partial 3/5 rate for uniform injection here is weaker than LARGECOUNTER’s 8/8, so we read this as ranking transfer rather than a matched-magnitude replication.</w:t>
      </w:r>
    </w:p>
    <w:p>
      <w:pPr>
        <w:pStyle w:val="CaptionedFigure"/>
      </w:pPr>
      <w:r>
        <w:drawing>
          <wp:inline>
            <wp:extent cx="2400300" cy="2185458"/>
            <wp:effectExtent b="0" l="0" r="0" t="0"/>
            <wp:docPr descr="" title="" id="49" name="Picture"/>
            <a:graphic>
              <a:graphicData uri="http://schemas.openxmlformats.org/drawingml/2006/picture">
                <pic:pic>
                  <pic:nvPicPr>
                    <pic:cNvPr descr="fig4_modadd.pdf" id="50" name="Picture"/>
                    <pic:cNvPicPr>
                      <a:picLocks noChangeArrowheads="1" noChangeAspect="1"/>
                    </pic:cNvPicPr>
                  </pic:nvPicPr>
                  <pic:blipFill>
                    <a:blip r:embed="rId48"/>
                    <a:stretch>
                      <a:fillRect/>
                    </a:stretch>
                  </pic:blipFill>
                  <pic:spPr bwMode="auto">
                    <a:xfrm>
                      <a:off x="0" y="0"/>
                      <a:ext cx="2400300" cy="2185458"/>
                    </a:xfrm>
                    <a:prstGeom prst="rect">
                      <a:avLst/>
                    </a:prstGeom>
                    <a:noFill/>
                    <a:ln w="9525">
                      <a:noFill/>
                      <a:headEnd/>
                      <a:tailEnd/>
                    </a:ln>
                  </pic:spPr>
                </pic:pic>
              </a:graphicData>
            </a:graphic>
          </wp:inline>
        </w:drawing>
      </w:r>
    </w:p>
    <w:p>
      <w:pPr>
        <w:pStyle w:val="ImageCaption"/>
      </w:pPr>
      <w:r>
        <w:t xml:space="preserve">Injection ranking on modular addition,</w:t>
      </w:r>
      <w:r>
        <w:t xml:space="preserve"> </w:t>
      </w:r>
      <m:oMath>
        <m:r>
          <m:t>α</m:t>
        </m:r>
        <m:r>
          <m:rPr>
            <m:sty m:val="p"/>
          </m:rPr>
          <m:t>=</m:t>
        </m:r>
        <m:r>
          <m:t>3.0</m:t>
        </m:r>
      </m:oMath>
      <w:r>
        <w:t xml:space="preserve">,</w:t>
      </w:r>
      <w:r>
        <w:t xml:space="preserve"> </w:t>
      </w:r>
      <m:oMath>
        <m:r>
          <m:t>λ</m:t>
        </m:r>
        <m:r>
          <m:rPr>
            <m:sty m:val="p"/>
          </m:rPr>
          <m:t>=</m:t>
        </m:r>
        <m:r>
          <m:t>0.3</m:t>
        </m:r>
      </m:oMath>
      <w:r>
        <w:t xml:space="preserve">,</w:t>
      </w:r>
      <w:r>
        <w:t xml:space="preserve"> </w:t>
      </w:r>
      <m:oMath>
        <m:r>
          <m:t>k</m:t>
        </m:r>
        <m:r>
          <m:rPr>
            <m:sty m:val="p"/>
          </m:rPr>
          <m:t>=</m:t>
        </m:r>
        <m:r>
          <m:t>1</m:t>
        </m:r>
      </m:oMath>
      <w:r>
        <w:t xml:space="preserve">. Error bars are s.e.m. over 5 seeds.</w:t>
      </w:r>
    </w:p>
    <w:bookmarkEnd w:id="51"/>
    <w:bookmarkStart w:id="58" w:name="sec:results-dyck"/>
    <w:p>
      <w:pPr>
        <w:pStyle w:val="Heading2"/>
      </w:pPr>
      <w:r>
        <w:rPr>
          <w:rStyle w:val="SectionNumber"/>
        </w:rPr>
        <w:t xml:space="preserve">4.6</w:t>
      </w:r>
      <w:r>
        <w:tab/>
      </w:r>
      <w:r>
        <w:t xml:space="preserve">A stress test: Dyck-1 forced-position prediction</w:t>
      </w:r>
    </w:p>
    <w:p>
      <w:pPr>
        <w:pStyle w:val="FirstParagraph"/>
      </w:pPr>
      <w:r>
        <w:t xml:space="preserve">Modular addition is closely related to LARGECOUNTER in structure. We additionally probed a non-arithmetic task, Dyck-1 forced-position prediction (§3.5), skewed by each valid path’s maximum nesting depth, as a deliberately harder, out-of-domain test of how far the injection ranking travels. Across a formal boundary grid of 540 runs, ten seeds per cell, a two-dimensional failure region again emerges as both skew and weight decay increase, and its deepest cells collapse to a fixed, degenerate accuracy value reproduced identically across independent seeds, including a seed never previously run (Figure </w:t>
      </w:r>
      <w:hyperlink w:anchor="fig:dyckboundary">
        <w:r>
          <w:rPr>
            <w:rStyle w:val="Hyperlink"/>
          </w:rPr>
          <w:t xml:space="preserve">5</w:t>
        </w:r>
      </w:hyperlink>
      <w:r>
        <w:t xml:space="preserve">).</w:t>
      </w:r>
    </w:p>
    <w:p>
      <w:pPr>
        <w:pStyle w:val="CaptionedFigure"/>
      </w:pPr>
      <w:r>
        <w:drawing>
          <wp:inline>
            <wp:extent cx="4000500" cy="2743705"/>
            <wp:effectExtent b="0" l="0" r="0" t="0"/>
            <wp:docPr descr="" title="" id="53" name="Picture"/>
            <a:graphic>
              <a:graphicData uri="http://schemas.openxmlformats.org/drawingml/2006/picture">
                <pic:pic>
                  <pic:nvPicPr>
                    <pic:cNvPr descr="fig5_dyckboundary.pdf" id="54" name="Picture"/>
                    <pic:cNvPicPr>
                      <a:picLocks noChangeArrowheads="1" noChangeAspect="1"/>
                    </pic:cNvPicPr>
                  </pic:nvPicPr>
                  <pic:blipFill>
                    <a:blip r:embed="rId52"/>
                    <a:stretch>
                      <a:fillRect/>
                    </a:stretch>
                  </pic:blipFill>
                  <pic:spPr bwMode="auto">
                    <a:xfrm>
                      <a:off x="0" y="0"/>
                      <a:ext cx="4000500" cy="2743705"/>
                    </a:xfrm>
                    <a:prstGeom prst="rect">
                      <a:avLst/>
                    </a:prstGeom>
                    <a:noFill/>
                    <a:ln w="9525">
                      <a:noFill/>
                      <a:headEnd/>
                      <a:tailEnd/>
                    </a:ln>
                  </pic:spPr>
                </pic:pic>
              </a:graphicData>
            </a:graphic>
          </wp:inline>
        </w:drawing>
      </w:r>
    </w:p>
    <w:p>
      <w:pPr>
        <w:pStyle w:val="ImageCaption"/>
      </w:pPr>
      <w:r>
        <w:t xml:space="preserve">Dyck-1 formal boundary grid,</w:t>
      </w:r>
      <w:r>
        <w:t xml:space="preserve"> </w:t>
      </w:r>
      <m:oMath>
        <m:r>
          <m:t>L</m:t>
        </m:r>
        <m:r>
          <m:rPr>
            <m:sty m:val="p"/>
          </m:rPr>
          <m:t>=</m:t>
        </m:r>
        <m:r>
          <m:t>10</m:t>
        </m:r>
      </m:oMath>
      <w:r>
        <w:t xml:space="preserve">, 540 runs, ten seeds per cell.</w:t>
      </w:r>
    </w:p>
    <w:p>
      <w:pPr>
        <w:pStyle w:val="BodyText"/>
      </w:pPr>
      <w:r>
        <w:t xml:space="preserve">Rescue is directionally but not completely successful here. At a deep-collapse cell, the same uniform-injection intervention that fully rescues the other two tasks improves accuracy only partially, mean</w:t>
      </w:r>
      <w:r>
        <w:t xml:space="preserve"> </w:t>
      </w:r>
      <m:oMath>
        <m:r>
          <m:t>0.398</m:t>
        </m:r>
      </m:oMath>
      <w:r>
        <w:t xml:space="preserve">, zero of five seeds reaching the generalization threshold, while targeted and frequent-state injection remain at the collapsed baseline of</w:t>
      </w:r>
      <w:r>
        <w:t xml:space="preserve"> </w:t>
      </w:r>
      <m:oMath>
        <m:r>
          <m:t>0.289</m:t>
        </m:r>
      </m:oMath>
      <w:r>
        <w:t xml:space="preserve"> </w:t>
      </w:r>
      <w:r>
        <w:t xml:space="preserve">each—the injection-ranking direction reproduces, but the magnitude does not. At one boundary cell, extending training from 60</w:t>
      </w:r>
      <w:r>
        <w:t xml:space="preserve">,</w:t>
      </w:r>
      <w:r>
        <w:t xml:space="preserve">000 to 240</w:t>
      </w:r>
      <w:r>
        <w:t xml:space="preserve">,</w:t>
      </w:r>
      <w:r>
        <w:t xml:space="preserve">000 steps changes the outcome from two-of-three generalizing to zero-of-three: examining the full accuracy trajectories (Figure </w:t>
      </w:r>
      <w:hyperlink w:anchor="fig:dycktrajectory">
        <w:r>
          <w:rPr>
            <w:rStyle w:val="Hyperlink"/>
          </w:rPr>
          <w:t xml:space="preserve">6</w:t>
        </w:r>
      </w:hyperlink>
      <w:r>
        <w:t xml:space="preserve">) shows this is not training becoming harmful, but a shorter run stopping inside a metastable high-accuracy plateau that the longer run continues past into a collapse, consistent with independently-reported anti-grokking dynamics in which test accuracy collapses back to chance after a network has already generalized</w:t>
      </w:r>
      <w:r>
        <w:t xml:space="preserve"> </w:t>
      </w:r>
      <w:r>
        <w:t xml:space="preserve">(Prakash and Martin 2026b, 2026a)</w:t>
      </w:r>
      <w:r>
        <w:t xml:space="preserve">.</w:t>
      </w:r>
    </w:p>
    <w:p>
      <w:pPr>
        <w:pStyle w:val="CaptionedFigure"/>
      </w:pPr>
      <w:r>
        <w:drawing>
          <wp:inline>
            <wp:extent cx="4000500" cy="2402009"/>
            <wp:effectExtent b="0" l="0" r="0" t="0"/>
            <wp:docPr descr="" title="" id="56" name="Picture"/>
            <a:graphic>
              <a:graphicData uri="http://schemas.openxmlformats.org/drawingml/2006/picture">
                <pic:pic>
                  <pic:nvPicPr>
                    <pic:cNvPr descr="fig6_dycktrajectory.pdf" id="57" name="Picture"/>
                    <pic:cNvPicPr>
                      <a:picLocks noChangeArrowheads="1" noChangeAspect="1"/>
                    </pic:cNvPicPr>
                  </pic:nvPicPr>
                  <pic:blipFill>
                    <a:blip r:embed="rId55"/>
                    <a:stretch>
                      <a:fillRect/>
                    </a:stretch>
                  </pic:blipFill>
                  <pic:spPr bwMode="auto">
                    <a:xfrm>
                      <a:off x="0" y="0"/>
                      <a:ext cx="4000500" cy="2402009"/>
                    </a:xfrm>
                    <a:prstGeom prst="rect">
                      <a:avLst/>
                    </a:prstGeom>
                    <a:noFill/>
                    <a:ln w="9525">
                      <a:noFill/>
                      <a:headEnd/>
                      <a:tailEnd/>
                    </a:ln>
                  </pic:spPr>
                </pic:pic>
              </a:graphicData>
            </a:graphic>
          </wp:inline>
        </w:drawing>
      </w:r>
    </w:p>
    <w:p>
      <w:pPr>
        <w:pStyle w:val="ImageCaption"/>
      </w:pPr>
      <w:r>
        <w:t xml:space="preserve">Full accuracy trajectories at</w:t>
      </w:r>
      <w:r>
        <w:t xml:space="preserve"> </w:t>
      </w:r>
      <m:oMath>
        <m:r>
          <m:t>α</m:t>
        </m:r>
        <m:r>
          <m:rPr>
            <m:sty m:val="p"/>
          </m:rPr>
          <m:t>=</m:t>
        </m:r>
        <m:r>
          <m:t>6.0</m:t>
        </m:r>
      </m:oMath>
      <w:r>
        <w:t xml:space="preserve">,</w:t>
      </w:r>
      <w:r>
        <w:t xml:space="preserve"> </w:t>
      </w:r>
      <m:oMath>
        <m:r>
          <m:t>λ</m:t>
        </m:r>
        <m:r>
          <m:rPr>
            <m:sty m:val="p"/>
          </m:rPr>
          <m:t>=</m:t>
        </m:r>
        <m:r>
          <m:t>0.9</m:t>
        </m:r>
      </m:oMath>
      <w:r>
        <w:t xml:space="preserve">: 60k-step runs (solid) that stop inside the metastable plateau vs. 240k-step runs (dashed) on the same configuration that continue past it into collapse.</w:t>
      </w:r>
    </w:p>
    <w:p>
      <w:pPr>
        <w:pStyle w:val="BodyText"/>
      </w:pPr>
      <w:r>
        <w:t xml:space="preserve">Dyck-1 therefore qualifies the transfer claim precisely: the failure topology and the direction of the injection ranking transfer to a non-arithmetic task, while complete rescue and budget-monotonic behavior do not. Full boundary and rescue data appear in Appendix B; full accuracy trajectories underlying the metastable-plateau finding appear in Figure </w:t>
      </w:r>
      <w:hyperlink w:anchor="fig:dycktrajectory">
        <w:r>
          <w:rPr>
            <w:rStyle w:val="Hyperlink"/>
          </w:rPr>
          <w:t xml:space="preserve">6</w:t>
        </w:r>
      </w:hyperlink>
      <w:r>
        <w:t xml:space="preserve"> </w:t>
      </w:r>
      <w:r>
        <w:t xml:space="preserve">above.</w:t>
      </w:r>
    </w:p>
    <w:bookmarkEnd w:id="58"/>
    <w:bookmarkEnd w:id="59"/>
    <w:bookmarkStart w:id="62" w:name="discussion"/>
    <w:p>
      <w:pPr>
        <w:pStyle w:val="Heading1"/>
      </w:pPr>
      <w:r>
        <w:rPr>
          <w:rStyle w:val="SectionNumber"/>
        </w:rPr>
        <w:t xml:space="preserve">5</w:t>
      </w:r>
      <w:r>
        <w:tab/>
      </w:r>
      <w:r>
        <w:t xml:space="preserve">Discussion</w:t>
      </w:r>
    </w:p>
    <w:p>
      <w:pPr>
        <w:pStyle w:val="FirstParagraph"/>
      </w:pPr>
      <w:r>
        <w:t xml:space="preserve">The corrected direction of the weight-decay ceiling—falling, rather than rising, with skew—and the refutation of a targeted-rarity rescue curriculum in favor of broadening the injected examples’ exposure across the state space (§</w:t>
      </w:r>
      <w:hyperlink w:anchor="sec:results-rescue">
        <w:r>
          <w:rPr>
            <w:rStyle w:val="Hyperlink"/>
          </w:rPr>
          <w:t xml:space="preserve">4.2</w:t>
        </w:r>
      </w:hyperlink>
      <w:r>
        <w:t xml:space="preserve">) both depart from an earlier proposal that predicted the opposite in each case. Both corrections came from running the experiment, not from refining the theory in advance; we read this as the value of the empirical approach we take here, not as an incidental finding to note in passing.</w:t>
      </w:r>
    </w:p>
    <w:p>
      <w:pPr>
        <w:pStyle w:val="BodyText"/>
      </w:pPr>
      <w:r>
        <w:t xml:space="preserve">Table </w:t>
      </w:r>
      <w:hyperlink w:anchor="tab:relatedwork">
        <w:r>
          <w:rPr>
            <w:rStyle w:val="Hyperlink"/>
          </w:rPr>
          <w:t xml:space="preserve">6</w:t>
        </w:r>
      </w:hyperlink>
      <w:r>
        <w:t xml:space="preserve"> </w:t>
      </w:r>
      <w:r>
        <w:t xml:space="preserve">summarizes how the nearest prior work compares to this paper’s contributions along the axes of skew, finite-budget mapping, rescue controls, exposure matching, task transfer, and scale.</w:t>
      </w:r>
    </w:p>
    <w:bookmarkStart w:id="60" w:name="tab:relatedwork"/>
    <w:p>
      <w:pPr>
        <w:pStyle w:val="TableCaption"/>
      </w:pPr>
      <w:r>
        <w:t xml:space="preserve">Comparison to the nearest prior work along the axes this paper contributes.</w:t>
      </w:r>
    </w:p>
    <w:tbl>
      <w:tblPr>
        <w:tblStyle w:val="Table"/>
        <w:tblW w:type="auto" w:w="0"/>
        <w:tblLook w:firstRow="0" w:lastRow="0" w:firstColumn="0" w:lastColumn="0" w:noHBand="0" w:noVBand="0" w:val="0000"/>
        <w:jc w:val="start"/>
        <w:tblCaption w:val="Comparison to the nearest prior work along the axes this paper contributes."/>
      </w:tblPr>
      <w:tblGrid>
        <w:gridCol w:w="1131"/>
        <w:gridCol w:w="1131"/>
        <w:gridCol w:w="1131"/>
        <w:gridCol w:w="1131"/>
        <w:gridCol w:w="1131"/>
        <w:gridCol w:w="1131"/>
        <w:gridCol w:w="1131"/>
      </w:tblGrid>
      <w:tr>
        <w:tc>
          <w:tcPr/>
          <w:p>
            <w:pPr>
              <w:pStyle w:val="Compact"/>
              <w:jc w:val="left"/>
            </w:pPr>
            <w:r>
              <w:t xml:space="preserve">Work</w:t>
            </w:r>
          </w:p>
        </w:tc>
        <w:tc>
          <w:tcPr/>
          <w:p>
            <w:pPr>
              <w:pStyle w:val="Compact"/>
              <w:jc w:val="left"/>
            </w:pPr>
            <w:r>
              <w:t xml:space="preserve">Skew axis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budget map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controls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match</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transfer</w:t>
            </w:r>
          </w:p>
        </w:tc>
        <w:tc>
          <w:tcPr/>
          <w:p>
            <w:pPr>
              <w:pStyle w:val="Compact"/>
              <w:jc w:val="left"/>
            </w:pPr>
            <w:r>
              <w:t xml:space="preserve">Toy scale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Zhao</w:t>
            </w:r>
            <w:r>
              <w:t xml:space="preserve"> </w:t>
            </w:r>
            <w:r>
              <w:t xml:space="preserve">(2026)</w:t>
            </w:r>
          </w:p>
        </w:tc>
        <w:tc>
          <w:tcPr/>
          <w:p>
            <w:pPr>
              <w:pStyle w:val="Compact"/>
              <w:jc w:val="left"/>
            </w:pPr>
            <w:r>
              <w:t xml:space="preserve">discrete (2 pts)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Liu et al. </w:t>
            </w:r>
            <w:r>
              <w:t xml:space="preserve">(2022; 2023)</w:t>
            </w:r>
          </w:p>
        </w:tc>
        <w:tc>
          <w:tcPr/>
          <w:p>
            <w:pPr>
              <w:pStyle w:val="Compact"/>
              <w:jc w:val="left"/>
            </w:pPr>
            <w:r>
              <w:t xml:space="preserve">data fraction</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Singh et al. </w:t>
            </w:r>
            <w:r>
              <w:t xml:space="preserve">(2025)</w:t>
            </w:r>
          </w:p>
        </w:tc>
        <w:tc>
          <w:tcPr/>
          <w:p>
            <w:pPr>
              <w:pStyle w:val="Compact"/>
              <w:jc w:val="left"/>
            </w:pPr>
            <w:r>
              <w:t xml:space="preserve">data quantity</w:t>
            </w:r>
          </w:p>
        </w:tc>
        <w:tc>
          <w:tcPr/>
          <w:p>
            <w:pPr>
              <w:pStyle w:val="Compact"/>
              <w:jc w:val="center"/>
            </w:pPr>
            <w:r>
              <w:t xml:space="preserve">—</w:t>
            </w:r>
          </w:p>
        </w:tc>
        <w:tc>
          <w:tcPr/>
          <w:p>
            <w:pPr>
              <w:pStyle w:val="Compact"/>
              <w:jc w:val="center"/>
            </w:pPr>
            <w:r>
              <w:t xml:space="preserve">(KD)</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Bi et al. </w:t>
            </w:r>
            <w:r>
              <w:t xml:space="preserve">(2026)</w:t>
            </w:r>
          </w:p>
        </w:tc>
        <w:tc>
          <w:tcPr/>
          <w:p>
            <w:pPr>
              <w:pStyle w:val="Compact"/>
              <w:jc w:val="left"/>
            </w:pPr>
            <w:r>
              <w:t xml:space="preserve">group order</w:t>
            </w:r>
          </w:p>
        </w:tc>
        <w:tc>
          <w:tcPr/>
          <w:p>
            <w:pPr>
              <w:pStyle w:val="Compact"/>
              <w:jc w:val="center"/>
            </w:pPr>
            <w:r>
              <w:t xml:space="preserve">(critical)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This paper</w:t>
            </w:r>
          </w:p>
        </w:tc>
        <w:tc>
          <w:tcPr/>
          <w:p>
            <w:pPr>
              <w:pStyle w:val="Compact"/>
              <w:jc w:val="left"/>
            </w:pPr>
            <w:r>
              <w:t xml:space="preserve">continuous</w:t>
            </w:r>
            <w:r>
              <w:t xml:space="preserve"> </w:t>
            </w:r>
            <m:oMath>
              <m:r>
                <m:t>α</m:t>
              </m:r>
            </m:oMath>
          </w:p>
        </w:tc>
        <w:tc>
          <w:tcPr/>
          <w:p>
            <w:pPr>
              <w:pStyle w:val="Compact"/>
            </w:pPr>
          </w:p>
        </w:tc>
        <w:tc>
          <w:tcPr/>
          <w:p>
            <w:pPr>
              <w:pStyle w:val="Compact"/>
              <w:jc w:val="center"/>
            </w:pPr>
            <w:r>
              <w:t xml:space="preserve">(ranked)</w:t>
            </w:r>
          </w:p>
        </w:tc>
        <w:tc>
          <w:tcPr/>
          <w:p>
            <w:pPr>
              <w:pStyle w:val="Compact"/>
            </w:pPr>
          </w:p>
        </w:tc>
        <w:tc>
          <w:tcPr/>
          <w:p>
            <w:pPr>
              <w:pStyle w:val="Compact"/>
              <w:jc w:val="center"/>
            </w:pPr>
            <w:r>
              <w:t xml:space="preserve">(2 tasks)</w:t>
            </w:r>
          </w:p>
        </w:tc>
        <w:tc>
          <w:tcPr/>
          <w:p>
            <w:pPr>
              <w:pStyle w:val="Compact"/>
            </w:pPr>
          </w:p>
        </w:tc>
      </w:tr>
    </w:tbl>
    <w:bookmarkEnd w:id="60"/>
    <w:bookmarkStart w:id="61" w:name="limitations"/>
    <w:p>
      <w:pPr>
        <w:pStyle w:val="Heading2"/>
      </w:pPr>
      <w:r>
        <w:rPr>
          <w:rStyle w:val="SectionNumber"/>
        </w:rPr>
        <w:t xml:space="preserve">5.1</w:t>
      </w:r>
      <w:r>
        <w:tab/>
      </w:r>
      <w:r>
        <w:t xml:space="preserve">Limitations</w:t>
      </w:r>
    </w:p>
    <w:p>
      <w:pPr>
        <w:pStyle w:val="FirstParagraph"/>
      </w:pPr>
      <w:r>
        <w:t xml:space="preserve">All results in this paper are established at</w:t>
      </w:r>
      <w:r>
        <w:t xml:space="preserve"> </w:t>
      </w:r>
      <m:oMath>
        <m:r>
          <m:t>n</m:t>
        </m:r>
        <m:r>
          <m:rPr>
            <m:sty m:val="p"/>
          </m:rPr>
          <m:t>≤</m:t>
        </m:r>
        <m:r>
          <m:t>12</m:t>
        </m:r>
      </m:oMath>
      <w:r>
        <w:t xml:space="preserve">,</w:t>
      </w:r>
      <w:r>
        <w:t xml:space="preserve"> </w:t>
      </w:r>
      <m:oMath>
        <m:r>
          <m:t>d</m:t>
        </m:r>
        <m:r>
          <m:rPr>
            <m:sty m:val="p"/>
          </m:rPr>
          <m:t>≤</m:t>
        </m:r>
        <m:r>
          <m:t>128</m:t>
        </m:r>
      </m:oMath>
      <w:r>
        <w:t xml:space="preserve">, within a single decoder-only Transformer architecture family. The family-discrimination analysis in §</w:t>
      </w:r>
      <w:hyperlink w:anchor="sec:results-family">
        <w:r>
          <w:rPr>
            <w:rStyle w:val="Hyperlink"/>
          </w:rPr>
          <w:t xml:space="preserve">4.3</w:t>
        </w:r>
      </w:hyperlink>
      <w:r>
        <w:t xml:space="preserve"> </w:t>
      </w:r>
      <w:r>
        <w:t xml:space="preserve">establishes a model class, not a closed-form law: the two best-performing candidates differ by a small margin at every held-out point. The robustness study (§</w:t>
      </w:r>
      <w:hyperlink w:anchor="sec:results-robustness">
        <w:r>
          <w:rPr>
            <w:rStyle w:val="Hyperlink"/>
          </w:rPr>
          <w:t xml:space="preserve">4.4</w:t>
        </w:r>
      </w:hyperlink>
      <w:r>
        <w:t xml:space="preserve">) confirms 4 of 7 directional predictions, and the injection ranking (§</w:t>
      </w:r>
      <w:hyperlink w:anchor="sec:results-rescue">
        <w:r>
          <w:rPr>
            <w:rStyle w:val="Hyperlink"/>
          </w:rPr>
          <w:t xml:space="preserve">4.2</w:t>
        </w:r>
      </w:hyperlink>
      <w:r>
        <w:t xml:space="preserve">, Appendix D) shows breadth among non-bottleneck states is sufficient for rescue, but does not further decompose breadth from entropy.</w:t>
      </w:r>
    </w:p>
    <w:bookmarkEnd w:id="61"/>
    <w:bookmarkEnd w:id="62"/>
    <w:bookmarkStart w:id="65" w:name="conclusion"/>
    <w:p>
      <w:pPr>
        <w:pStyle w:val="Heading1"/>
      </w:pPr>
      <w:r>
        <w:rPr>
          <w:rStyle w:val="SectionNumber"/>
        </w:rPr>
        <w:t xml:space="preserve">6</w:t>
      </w:r>
      <w:r>
        <w:tab/>
      </w:r>
      <w:r>
        <w:t xml:space="preserve">Conclusion</w:t>
      </w:r>
    </w:p>
    <w:p>
      <w:pPr>
        <w:pStyle w:val="FirstParagraph"/>
      </w:pPr>
      <w:r>
        <w:t xml:space="preserve">We map grokkability across a continuous data-skew axis and weight decay on an autoregressive counting task, find a two-regime failure structure that persists at a second problem size, and identify a minimal intervention—uniform full-state injection, ranked against sample-count and targeted-rarity alternatives—that rescues both of its failure modes. The same ranking transfers to a second arithmetic task under sample-count-matched controls, and a third, non-arithmetic task shows us precisely where that transfer holds and where it does not.</w:t>
      </w:r>
    </w:p>
    <w:bookmarkStart w:id="64" w:name="code-and-data-availability"/>
    <w:p>
      <w:pPr>
        <w:pStyle w:val="Heading2"/>
      </w:pPr>
      <w:r>
        <w:t xml:space="preserve">Code and data availability</w:t>
      </w:r>
    </w:p>
    <w:p>
      <w:pPr>
        <w:pStyle w:val="FirstParagraph"/>
      </w:pPr>
      <w:r>
        <w:t xml:space="preserve">All training code, the frozen verdict rule, per-seed result logs, and the pre-specified prediction files (Tables </w:t>
      </w:r>
      <w:hyperlink w:anchor="tab:heldout">
        <w:r>
          <w:rPr>
            <w:rStyle w:val="Hyperlink"/>
          </w:rPr>
          <w:t xml:space="preserve">4</w:t>
        </w:r>
      </w:hyperlink>
      <w:r>
        <w:t xml:space="preserve"> </w:t>
      </w:r>
      <w:r>
        <w:t xml:space="preserve">and</w:t>
      </w:r>
      <w:r>
        <w:t xml:space="preserve"> </w:t>
      </w:r>
      <w:hyperlink w:anchor="tab:robustness">
        <w:r>
          <w:rPr>
            <w:rStyle w:val="Hyperlink"/>
          </w:rPr>
          <w:t xml:space="preserve">5</w:t>
        </w:r>
      </w:hyperlink>
      <w:r>
        <w:t xml:space="preserve">, recorded before the corresponding measurement runs per §3.7) are available at</w:t>
      </w:r>
      <w:r>
        <w:t xml:space="preserve"> </w:t>
      </w:r>
      <w:hyperlink r:id="rId63">
        <w:r>
          <w:rPr>
            <w:rStyle w:val="Hyperlink"/>
          </w:rPr>
          <w:t xml:space="preserve">https://github.com/yangyangtiaoguo/grokking</w:t>
        </w:r>
      </w:hyperlink>
      <w:r>
        <w:t xml:space="preserve">.</w:t>
      </w:r>
    </w:p>
    <w:bookmarkEnd w:id="64"/>
    <w:bookmarkEnd w:id="65"/>
    <w:bookmarkStart w:id="67" w:name="app:seedcounts"/>
    <w:p>
      <w:pPr>
        <w:pStyle w:val="Heading1"/>
      </w:pPr>
      <w:r>
        <w:rPr>
          <w:rStyle w:val="SectionNumber"/>
        </w:rPr>
        <w:t xml:space="preserve">7</w:t>
      </w:r>
      <w:r>
        <w:tab/>
      </w:r>
      <w:r>
        <w:t xml:space="preserve">Per-cell seed counts,</w:t>
      </w:r>
      <w:r>
        <w:t xml:space="preserve"> </w:t>
      </w:r>
      <m:oMath>
        <m:d>
          <m:dPr>
            <m:begChr m:val="("/>
            <m:endChr m:val=")"/>
            <m:sepChr m:val=""/>
            <m:grow/>
          </m:dPr>
          <m:e>
            <m:r>
              <m:t>α</m:t>
            </m:r>
            <m:r>
              <m:rPr>
                <m:sty m:val="p"/>
              </m:rPr>
              <m:t>,</m:t>
            </m:r>
            <m:r>
              <m:t>λ</m:t>
            </m:r>
          </m:e>
        </m:d>
      </m:oMath>
      <w:r>
        <w:t xml:space="preserve"> </w:t>
      </w:r>
      <w:r>
        <w:t xml:space="preserve">phase diagram</w:t>
      </w:r>
    </w:p>
    <w:p>
      <w:pPr>
        <w:pStyle w:val="FirstParagraph"/>
      </w:pPr>
      <w:r>
        <w:t xml:space="preserve">Table </w:t>
      </w:r>
      <w:hyperlink w:anchor="tab:appendixseeds">
        <w:r>
          <w:rPr>
            <w:rStyle w:val="Hyperlink"/>
          </w:rPr>
          <w:t xml:space="preserve">7</w:t>
        </w:r>
      </w:hyperlink>
      <w:r>
        <w:t xml:space="preserve"> </w:t>
      </w:r>
      <w:r>
        <w:t xml:space="preserve">gives the number of distinct</w:t>
      </w:r>
      <w:r>
        <w:t xml:space="preserve"> </w:t>
      </w:r>
      <m:oMath>
        <m:r>
          <m:t>λ</m:t>
        </m:r>
      </m:oMath>
      <w:r>
        <w:t xml:space="preserve"> </w:t>
      </w:r>
      <w:r>
        <w:t xml:space="preserve">points and the seed-count range at each</w:t>
      </w:r>
      <w:r>
        <w:t xml:space="preserve"> </w:t>
      </w:r>
      <m:oMath>
        <m:r>
          <m:t>α</m:t>
        </m:r>
      </m:oMath>
      <w:r>
        <w:t xml:space="preserve"> </w:t>
      </w:r>
      <w:r>
        <w:t xml:space="preserve">underlying Figure </w:t>
      </w:r>
      <w:hyperlink w:anchor="fig:phasediagram">
        <w:r>
          <w:rPr>
            <w:rStyle w:val="Hyperlink"/>
          </w:rPr>
          <w:t xml:space="preserve">1</w:t>
        </w:r>
      </w:hyperlink>
      <w:r>
        <w:t xml:space="preserve">’s ceiling curve (60</w:t>
      </w:r>
      <w:r>
        <w:t xml:space="preserve">,</w:t>
      </w:r>
      <w:r>
        <w:t xml:space="preserve">000-step budget,</w:t>
      </w:r>
      <w:r>
        <w:t xml:space="preserve"> </w:t>
      </w:r>
      <m:oMath>
        <m:r>
          <m:t>n</m:t>
        </m:r>
        <m:r>
          <m:rPr>
            <m:sty m:val="p"/>
          </m:rPr>
          <m:t>=</m:t>
        </m:r>
        <m:r>
          <m:t>10</m:t>
        </m:r>
      </m:oMath>
      <w:r>
        <w:t xml:space="preserve">). Cells near a resolved ceiling were sampled at up to 10 seeds; exploratory cells away from the boundary used 3.</w:t>
      </w:r>
    </w:p>
    <w:bookmarkStart w:id="66" w:name="tab:appendixseeds"/>
    <w:p>
      <w:pPr>
        <w:pStyle w:val="TableCaption"/>
      </w:pPr>
      <w:r>
        <w:t xml:space="preserve">Per-</w:t>
      </w:r>
      <m:oMath>
        <m:r>
          <m:t>α</m:t>
        </m:r>
      </m:oMath>
      <w:r>
        <w:t xml:space="preserve"> </w:t>
      </w:r>
      <w:r>
        <w:t xml:space="preserve">grid density and seed-count range,</w:t>
      </w:r>
      <w:r>
        <w:t xml:space="preserve"> </w:t>
      </w:r>
      <m:oMath>
        <m:r>
          <m:t>n</m:t>
        </m:r>
        <m:r>
          <m:rPr>
            <m:sty m:val="p"/>
          </m:rPr>
          <m:t>=</m:t>
        </m:r>
        <m:r>
          <m:t>10</m:t>
        </m:r>
      </m:oMath>
      <w:r>
        <w:t xml:space="preserve">, 60k-step budget.</w:t>
      </w:r>
    </w:p>
    <w:tbl>
      <w:tblPr>
        <w:tblStyle w:val="Table"/>
        <w:tblW w:type="auto" w:w="0"/>
        <w:tblLook w:firstRow="1" w:lastRow="0" w:firstColumn="0" w:lastColumn="0" w:noHBand="0" w:noVBand="0" w:val="0020"/>
        <w:jc w:val="start"/>
        <w:tblCaption w:val="Per-\alpha grid density and seed-count range, n=10, 60k-step budget."/>
      </w:tblPr>
      <w:tblGrid>
        <w:gridCol w:w="1980"/>
        <w:gridCol w:w="1980"/>
        <w:gridCol w:w="1980"/>
        <w:gridCol w:w="1980"/>
      </w:tblGrid>
      <w:tr>
        <w:trPr>
          <w:tblHeader w:val="true"/>
        </w:trPr>
        <w:tc>
          <w:tcPr/>
          <w:p>
            <w:pPr>
              <w:pStyle w:val="Compact"/>
              <w:jc w:val="left"/>
            </w:pPr>
            <m:oMath>
              <m:r>
                <m:t>α</m:t>
              </m:r>
            </m:oMath>
          </w:p>
        </w:tc>
        <w:tc>
          <w:tcPr/>
          <w:p>
            <w:pPr>
              <w:pStyle w:val="Compact"/>
              <w:jc w:val="center"/>
            </w:pPr>
            <w:r>
              <w:t xml:space="preserve">#</w:t>
            </w:r>
            <w:r>
              <w:t xml:space="preserve"> </w:t>
            </w:r>
            <m:oMath>
              <m:r>
                <m:t>λ</m:t>
              </m:r>
            </m:oMath>
            <w:r>
              <w:t xml:space="preserve"> </w:t>
            </w:r>
            <w:r>
              <w:t xml:space="preserve">points</w:t>
            </w:r>
          </w:p>
        </w:tc>
        <w:tc>
          <w:tcPr/>
          <w:p>
            <w:pPr>
              <w:pStyle w:val="Compact"/>
              <w:jc w:val="center"/>
            </w:pPr>
            <w:r>
              <w:t xml:space="preserve">Min seeds/cell</w:t>
            </w:r>
          </w:p>
        </w:tc>
        <w:tc>
          <w:tcPr/>
          <w:p>
            <w:pPr>
              <w:pStyle w:val="Compact"/>
              <w:jc w:val="center"/>
            </w:pPr>
            <w:r>
              <w:t xml:space="preserve">Max seeds/cell</w:t>
            </w:r>
          </w:p>
        </w:tc>
      </w:tr>
      <w:tr>
        <w:tc>
          <w:tcPr/>
          <w:p>
            <w:pPr>
              <w:pStyle w:val="Compact"/>
              <w:jc w:val="left"/>
            </w:pPr>
            <w:r>
              <w:t xml:space="preserve">0.0</w:t>
            </w:r>
          </w:p>
        </w:tc>
        <w:tc>
          <w:tcPr/>
          <w:p>
            <w:pPr>
              <w:pStyle w:val="Compact"/>
              <w:jc w:val="center"/>
            </w:pPr>
            <w:r>
              <w:t xml:space="preserve">6</w:t>
            </w:r>
          </w:p>
        </w:tc>
        <w:tc>
          <w:tcPr/>
          <w:p>
            <w:pPr>
              <w:pStyle w:val="Compact"/>
              <w:jc w:val="center"/>
            </w:pPr>
            <w:r>
              <w:t xml:space="preserve">3</w:t>
            </w:r>
          </w:p>
        </w:tc>
        <w:tc>
          <w:tcPr/>
          <w:p>
            <w:pPr>
              <w:pStyle w:val="Compact"/>
              <w:jc w:val="center"/>
            </w:pPr>
            <w:r>
              <w:t xml:space="preserve">3</w:t>
            </w:r>
          </w:p>
        </w:tc>
      </w:tr>
      <w:tr>
        <w:tc>
          <w:tcPr/>
          <w:p>
            <w:pPr>
              <w:pStyle w:val="Compact"/>
              <w:jc w:val="left"/>
            </w:pPr>
            <w:r>
              <w:t xml:space="preserve">1.0</w:t>
            </w:r>
          </w:p>
        </w:tc>
        <w:tc>
          <w:tcPr/>
          <w:p>
            <w:pPr>
              <w:pStyle w:val="Compact"/>
              <w:jc w:val="center"/>
            </w:pPr>
            <w:r>
              <w:t xml:space="preserve">8</w:t>
            </w:r>
          </w:p>
        </w:tc>
        <w:tc>
          <w:tcPr/>
          <w:p>
            <w:pPr>
              <w:pStyle w:val="Compact"/>
              <w:jc w:val="center"/>
            </w:pPr>
            <w:r>
              <w:t xml:space="preserve">3</w:t>
            </w:r>
          </w:p>
        </w:tc>
        <w:tc>
          <w:tcPr/>
          <w:p>
            <w:pPr>
              <w:pStyle w:val="Compact"/>
              <w:jc w:val="center"/>
            </w:pPr>
            <w:r>
              <w:t xml:space="preserve">3</w:t>
            </w:r>
          </w:p>
        </w:tc>
      </w:tr>
      <w:tr>
        <w:tc>
          <w:tcPr/>
          <w:p>
            <w:pPr>
              <w:pStyle w:val="Compact"/>
              <w:jc w:val="left"/>
            </w:pPr>
            <w:r>
              <w:t xml:space="preserve">1.5</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3</w:t>
            </w:r>
          </w:p>
        </w:tc>
      </w:tr>
      <w:tr>
        <w:tc>
          <w:tcPr/>
          <w:p>
            <w:pPr>
              <w:pStyle w:val="Compact"/>
              <w:jc w:val="left"/>
            </w:pPr>
            <w:r>
              <w:t xml:space="preserve">2.0</w:t>
            </w:r>
          </w:p>
        </w:tc>
        <w:tc>
          <w:tcPr/>
          <w:p>
            <w:pPr>
              <w:pStyle w:val="Compact"/>
              <w:jc w:val="center"/>
            </w:pPr>
            <w:r>
              <w:t xml:space="preserve">11</w:t>
            </w:r>
          </w:p>
        </w:tc>
        <w:tc>
          <w:tcPr/>
          <w:p>
            <w:pPr>
              <w:pStyle w:val="Compact"/>
              <w:jc w:val="center"/>
            </w:pPr>
            <w:r>
              <w:t xml:space="preserve">3</w:t>
            </w:r>
          </w:p>
        </w:tc>
        <w:tc>
          <w:tcPr/>
          <w:p>
            <w:pPr>
              <w:pStyle w:val="Compact"/>
              <w:jc w:val="center"/>
            </w:pPr>
            <w:r>
              <w:t xml:space="preserve">5</w:t>
            </w:r>
          </w:p>
        </w:tc>
      </w:tr>
      <w:tr>
        <w:tc>
          <w:tcPr/>
          <w:p>
            <w:pPr>
              <w:pStyle w:val="Compact"/>
              <w:jc w:val="left"/>
            </w:pPr>
            <w:r>
              <w:t xml:space="preserve">2.1</w:t>
            </w:r>
          </w:p>
        </w:tc>
        <w:tc>
          <w:tcPr/>
          <w:p>
            <w:pPr>
              <w:pStyle w:val="Compact"/>
              <w:jc w:val="center"/>
            </w:pPr>
            <w:r>
              <w:t xml:space="preserve">7</w:t>
            </w:r>
          </w:p>
        </w:tc>
        <w:tc>
          <w:tcPr/>
          <w:p>
            <w:pPr>
              <w:pStyle w:val="Compact"/>
              <w:jc w:val="center"/>
            </w:pPr>
            <w:r>
              <w:t xml:space="preserve">3</w:t>
            </w:r>
          </w:p>
        </w:tc>
        <w:tc>
          <w:tcPr/>
          <w:p>
            <w:pPr>
              <w:pStyle w:val="Compact"/>
              <w:jc w:val="center"/>
            </w:pPr>
            <w:r>
              <w:t xml:space="preserve">5</w:t>
            </w:r>
          </w:p>
        </w:tc>
      </w:tr>
      <w:tr>
        <w:tc>
          <w:tcPr/>
          <w:p>
            <w:pPr>
              <w:pStyle w:val="Compact"/>
              <w:jc w:val="left"/>
            </w:pPr>
            <w:r>
              <w:t xml:space="preserve">2.25</w:t>
            </w:r>
          </w:p>
        </w:tc>
        <w:tc>
          <w:tcPr/>
          <w:p>
            <w:pPr>
              <w:pStyle w:val="Compact"/>
              <w:jc w:val="center"/>
            </w:pPr>
            <w:r>
              <w:t xml:space="preserve">11</w:t>
            </w:r>
          </w:p>
        </w:tc>
        <w:tc>
          <w:tcPr/>
          <w:p>
            <w:pPr>
              <w:pStyle w:val="Compact"/>
              <w:jc w:val="center"/>
            </w:pPr>
            <w:r>
              <w:t xml:space="preserve">3</w:t>
            </w:r>
          </w:p>
        </w:tc>
        <w:tc>
          <w:tcPr/>
          <w:p>
            <w:pPr>
              <w:pStyle w:val="Compact"/>
              <w:jc w:val="center"/>
            </w:pPr>
            <w:r>
              <w:t xml:space="preserve">5</w:t>
            </w:r>
          </w:p>
        </w:tc>
      </w:tr>
      <w:tr>
        <w:tc>
          <w:tcPr/>
          <w:p>
            <w:pPr>
              <w:pStyle w:val="Compact"/>
              <w:jc w:val="left"/>
            </w:pPr>
            <w:r>
              <w:t xml:space="preserve">2.4</w:t>
            </w:r>
          </w:p>
        </w:tc>
        <w:tc>
          <w:tcPr/>
          <w:p>
            <w:pPr>
              <w:pStyle w:val="Compact"/>
              <w:jc w:val="center"/>
            </w:pPr>
            <w:r>
              <w:t xml:space="preserve">9</w:t>
            </w:r>
          </w:p>
        </w:tc>
        <w:tc>
          <w:tcPr/>
          <w:p>
            <w:pPr>
              <w:pStyle w:val="Compact"/>
              <w:jc w:val="center"/>
            </w:pPr>
            <w:r>
              <w:t xml:space="preserve">3</w:t>
            </w:r>
          </w:p>
        </w:tc>
        <w:tc>
          <w:tcPr/>
          <w:p>
            <w:pPr>
              <w:pStyle w:val="Compact"/>
              <w:jc w:val="center"/>
            </w:pPr>
            <w:r>
              <w:t xml:space="preserve">5</w:t>
            </w:r>
          </w:p>
        </w:tc>
      </w:tr>
      <w:tr>
        <w:tc>
          <w:tcPr/>
          <w:p>
            <w:pPr>
              <w:pStyle w:val="Compact"/>
              <w:jc w:val="left"/>
            </w:pPr>
            <w:r>
              <w:t xml:space="preserve">2.5</w:t>
            </w:r>
          </w:p>
        </w:tc>
        <w:tc>
          <w:tcPr/>
          <w:p>
            <w:pPr>
              <w:pStyle w:val="Compact"/>
              <w:jc w:val="center"/>
            </w:pPr>
            <w:r>
              <w:t xml:space="preserve">11</w:t>
            </w:r>
          </w:p>
        </w:tc>
        <w:tc>
          <w:tcPr/>
          <w:p>
            <w:pPr>
              <w:pStyle w:val="Compact"/>
              <w:jc w:val="center"/>
            </w:pPr>
            <w:r>
              <w:t xml:space="preserve">3</w:t>
            </w:r>
          </w:p>
        </w:tc>
        <w:tc>
          <w:tcPr/>
          <w:p>
            <w:pPr>
              <w:pStyle w:val="Compact"/>
              <w:jc w:val="center"/>
            </w:pPr>
            <w:r>
              <w:t xml:space="preserve">5</w:t>
            </w:r>
          </w:p>
        </w:tc>
      </w:tr>
      <w:tr>
        <w:tc>
          <w:tcPr/>
          <w:p>
            <w:pPr>
              <w:pStyle w:val="Compact"/>
              <w:jc w:val="left"/>
            </w:pPr>
            <w:r>
              <w:t xml:space="preserve">2.6</w:t>
            </w:r>
          </w:p>
        </w:tc>
        <w:tc>
          <w:tcPr/>
          <w:p>
            <w:pPr>
              <w:pStyle w:val="Compact"/>
              <w:jc w:val="center"/>
            </w:pPr>
            <w:r>
              <w:t xml:space="preserve">9</w:t>
            </w:r>
          </w:p>
        </w:tc>
        <w:tc>
          <w:tcPr/>
          <w:p>
            <w:pPr>
              <w:pStyle w:val="Compact"/>
              <w:jc w:val="center"/>
            </w:pPr>
            <w:r>
              <w:t xml:space="preserve">3</w:t>
            </w:r>
          </w:p>
        </w:tc>
        <w:tc>
          <w:tcPr/>
          <w:p>
            <w:pPr>
              <w:pStyle w:val="Compact"/>
              <w:jc w:val="center"/>
            </w:pPr>
            <w:r>
              <w:t xml:space="preserve">5</w:t>
            </w:r>
          </w:p>
        </w:tc>
      </w:tr>
      <w:tr>
        <w:tc>
          <w:tcPr/>
          <w:p>
            <w:pPr>
              <w:pStyle w:val="Compact"/>
              <w:jc w:val="left"/>
            </w:pPr>
            <w:r>
              <w:t xml:space="preserve">2.7</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5</w:t>
            </w:r>
          </w:p>
        </w:tc>
      </w:tr>
      <w:tr>
        <w:tc>
          <w:tcPr/>
          <w:p>
            <w:pPr>
              <w:pStyle w:val="Compact"/>
              <w:jc w:val="left"/>
            </w:pPr>
            <w:r>
              <w:t xml:space="preserve">2.75</w:t>
            </w:r>
          </w:p>
        </w:tc>
        <w:tc>
          <w:tcPr/>
          <w:p>
            <w:pPr>
              <w:pStyle w:val="Compact"/>
              <w:jc w:val="center"/>
            </w:pPr>
            <w:r>
              <w:t xml:space="preserve">13</w:t>
            </w:r>
          </w:p>
        </w:tc>
        <w:tc>
          <w:tcPr/>
          <w:p>
            <w:pPr>
              <w:pStyle w:val="Compact"/>
              <w:jc w:val="center"/>
            </w:pPr>
            <w:r>
              <w:t xml:space="preserve">3</w:t>
            </w:r>
          </w:p>
        </w:tc>
        <w:tc>
          <w:tcPr/>
          <w:p>
            <w:pPr>
              <w:pStyle w:val="Compact"/>
              <w:jc w:val="center"/>
            </w:pPr>
            <w:r>
              <w:t xml:space="preserve">10</w:t>
            </w:r>
          </w:p>
        </w:tc>
      </w:tr>
      <w:tr>
        <w:tc>
          <w:tcPr/>
          <w:p>
            <w:pPr>
              <w:pStyle w:val="Compact"/>
              <w:jc w:val="left"/>
            </w:pPr>
            <w:r>
              <w:t xml:space="preserve">2.9</w:t>
            </w:r>
          </w:p>
        </w:tc>
        <w:tc>
          <w:tcPr/>
          <w:p>
            <w:pPr>
              <w:pStyle w:val="Compact"/>
              <w:jc w:val="center"/>
            </w:pPr>
            <w:r>
              <w:t xml:space="preserve">6</w:t>
            </w:r>
          </w:p>
        </w:tc>
        <w:tc>
          <w:tcPr/>
          <w:p>
            <w:pPr>
              <w:pStyle w:val="Compact"/>
              <w:jc w:val="center"/>
            </w:pPr>
            <w:r>
              <w:t xml:space="preserve">3</w:t>
            </w:r>
          </w:p>
        </w:tc>
        <w:tc>
          <w:tcPr/>
          <w:p>
            <w:pPr>
              <w:pStyle w:val="Compact"/>
              <w:jc w:val="center"/>
            </w:pPr>
            <w:r>
              <w:t xml:space="preserve">8</w:t>
            </w:r>
          </w:p>
        </w:tc>
      </w:tr>
      <w:tr>
        <w:tc>
          <w:tcPr/>
          <w:p>
            <w:pPr>
              <w:pStyle w:val="Compact"/>
              <w:jc w:val="left"/>
            </w:pPr>
            <w:r>
              <w:t xml:space="preserve">3.0</w:t>
            </w:r>
          </w:p>
        </w:tc>
        <w:tc>
          <w:tcPr/>
          <w:p>
            <w:pPr>
              <w:pStyle w:val="Compact"/>
              <w:jc w:val="center"/>
            </w:pPr>
            <w:r>
              <w:t xml:space="preserve">9</w:t>
            </w:r>
          </w:p>
        </w:tc>
        <w:tc>
          <w:tcPr/>
          <w:p>
            <w:pPr>
              <w:pStyle w:val="Compact"/>
              <w:jc w:val="center"/>
            </w:pPr>
            <w:r>
              <w:t xml:space="preserve">3</w:t>
            </w:r>
          </w:p>
        </w:tc>
        <w:tc>
          <w:tcPr/>
          <w:p>
            <w:pPr>
              <w:pStyle w:val="Compact"/>
              <w:jc w:val="center"/>
            </w:pPr>
            <w:r>
              <w:t xml:space="preserve">6</w:t>
            </w:r>
          </w:p>
        </w:tc>
      </w:tr>
    </w:tbl>
    <w:bookmarkEnd w:id="66"/>
    <w:bookmarkEnd w:id="67"/>
    <w:bookmarkStart w:id="70" w:name="app:dyck"/>
    <w:p>
      <w:pPr>
        <w:pStyle w:val="Heading1"/>
      </w:pPr>
      <w:r>
        <w:rPr>
          <w:rStyle w:val="SectionNumber"/>
        </w:rPr>
        <w:t xml:space="preserve">8</w:t>
      </w:r>
      <w:r>
        <w:tab/>
      </w:r>
      <w:r>
        <w:t xml:space="preserve">Dyck-1 formal boundary grid and rescue data</w:t>
      </w:r>
    </w:p>
    <w:p>
      <w:pPr>
        <w:pStyle w:val="FirstParagraph"/>
      </w:pPr>
      <w:r>
        <w:t xml:space="preserve">Table </w:t>
      </w:r>
      <w:hyperlink w:anchor="tab:dyckboundary">
        <w:r>
          <w:rPr>
            <w:rStyle w:val="Hyperlink"/>
          </w:rPr>
          <w:t xml:space="preserve">8</w:t>
        </w:r>
      </w:hyperlink>
      <w:r>
        <w:t xml:space="preserve"> </w:t>
      </w:r>
      <w:r>
        <w:t xml:space="preserve">gives the full</w:t>
      </w:r>
      <w:r>
        <w:t xml:space="preserve"> </w:t>
      </w:r>
      <m:oMath>
        <m:d>
          <m:dPr>
            <m:begChr m:val="("/>
            <m:endChr m:val=")"/>
            <m:sepChr m:val=""/>
            <m:grow/>
          </m:dPr>
          <m:e>
            <m:r>
              <m:t>α</m:t>
            </m:r>
            <m:r>
              <m:rPr>
                <m:sty m:val="p"/>
              </m:rPr>
              <m:t>,</m:t>
            </m:r>
            <m:r>
              <m:t>λ</m:t>
            </m:r>
          </m:e>
        </m:d>
      </m:oMath>
      <w:r>
        <w:t xml:space="preserve"> </w:t>
      </w:r>
      <w:r>
        <w:t xml:space="preserve">mean</w:t>
      </w:r>
      <w:r>
        <w:t xml:space="preserve"> </w:t>
      </w:r>
      <m:oMath>
        <m:sSub>
          <m:e>
            <m:r>
              <m:t>A</m:t>
            </m:r>
          </m:e>
          <m:sub>
            <m:r>
              <m:rPr>
                <m:sty m:val="p"/>
              </m:rPr>
              <m:t>u</m:t>
            </m:r>
            <m:r>
              <m:rPr>
                <m:sty m:val="p"/>
              </m:rPr>
              <m:t>n</m:t>
            </m:r>
            <m:r>
              <m:rPr>
                <m:sty m:val="p"/>
              </m:rPr>
              <m:t>i</m:t>
            </m:r>
            <m:r>
              <m:rPr>
                <m:sty m:val="p"/>
              </m:rPr>
              <m:t>f</m:t>
            </m:r>
          </m:sub>
        </m:sSub>
      </m:oMath>
      <w:r>
        <w:t xml:space="preserve"> </w:t>
      </w:r>
      <w:r>
        <w:t xml:space="preserve">grid underlying Figure </w:t>
      </w:r>
      <w:hyperlink w:anchor="fig:dyckboundary">
        <w:r>
          <w:rPr>
            <w:rStyle w:val="Hyperlink"/>
          </w:rPr>
          <w:t xml:space="preserve">5</w:t>
        </w:r>
      </w:hyperlink>
      <w:r>
        <w:t xml:space="preserve"> </w:t>
      </w:r>
      <w:r>
        <w:t xml:space="preserve">(10 seeds per cell, 540 runs total). Table </w:t>
      </w:r>
      <w:hyperlink w:anchor="tab:dyckrescue">
        <w:r>
          <w:rPr>
            <w:rStyle w:val="Hyperlink"/>
          </w:rPr>
          <w:t xml:space="preserve">9</w:t>
        </w:r>
      </w:hyperlink>
      <w:r>
        <w:t xml:space="preserve"> </w:t>
      </w:r>
      <w:r>
        <w:t xml:space="preserve">gives the injection-ranking means underlying §</w:t>
      </w:r>
      <w:hyperlink w:anchor="sec:results-dyck">
        <w:r>
          <w:rPr>
            <w:rStyle w:val="Hyperlink"/>
          </w:rPr>
          <w:t xml:space="preserve">4.6</w:t>
        </w:r>
      </w:hyperlink>
      <w:r>
        <w:t xml:space="preserve">’s rescue comparison at the deep-collapse cell</w:t>
      </w:r>
      <w:r>
        <w:t xml:space="preserve"> </w:t>
      </w:r>
      <m:oMath>
        <m:r>
          <m:t>α</m:t>
        </m:r>
        <m:r>
          <m:rPr>
            <m:sty m:val="p"/>
          </m:rPr>
          <m:t>=</m:t>
        </m:r>
        <m:r>
          <m:t>5.5</m:t>
        </m:r>
      </m:oMath>
      <w:r>
        <w:t xml:space="preserve">,</w:t>
      </w:r>
      <w:r>
        <w:t xml:space="preserve"> </w:t>
      </w:r>
      <m:oMath>
        <m:r>
          <m:t>λ</m:t>
        </m:r>
        <m:r>
          <m:rPr>
            <m:sty m:val="p"/>
          </m:rPr>
          <m:t>=</m:t>
        </m:r>
        <m:r>
          <m:t>1.3</m:t>
        </m:r>
      </m:oMath>
      <w:r>
        <w:t xml:space="preserve">.</w:t>
      </w:r>
    </w:p>
    <w:bookmarkStart w:id="68" w:name="tab:dyckboundary"/>
    <w:p>
      <w:pPr>
        <w:pStyle w:val="TableCaption"/>
      </w:pPr>
      <w:r>
        <w:t xml:space="preserve">Dyck-1 formal boundary grid: mean</w:t>
      </w:r>
      <w:r>
        <w:t xml:space="preserve"> </w:t>
      </w:r>
      <m:oMath>
        <m:sSub>
          <m:e>
            <m:r>
              <m:t>A</m:t>
            </m:r>
          </m:e>
          <m:sub>
            <m:r>
              <m:rPr>
                <m:sty m:val="p"/>
              </m:rPr>
              <m:t>u</m:t>
            </m:r>
            <m:r>
              <m:rPr>
                <m:sty m:val="p"/>
              </m:rPr>
              <m:t>n</m:t>
            </m:r>
            <m:r>
              <m:rPr>
                <m:sty m:val="p"/>
              </m:rPr>
              <m:t>i</m:t>
            </m:r>
            <m:r>
              <m:rPr>
                <m:sty m:val="p"/>
              </m:rPr>
              <m:t>f</m:t>
            </m:r>
          </m:sub>
        </m:sSub>
      </m:oMath>
      <w:r>
        <w:t xml:space="preserve">,</w:t>
      </w:r>
      <w:r>
        <w:t xml:space="preserve"> </w:t>
      </w:r>
      <m:oMath>
        <m:r>
          <m:t>L</m:t>
        </m:r>
        <m:r>
          <m:rPr>
            <m:sty m:val="p"/>
          </m:rPr>
          <m:t>=</m:t>
        </m:r>
        <m:r>
          <m:t>10</m:t>
        </m:r>
      </m:oMath>
      <w:r>
        <w:t xml:space="preserve">, 10 seeds/cell.</w:t>
      </w:r>
    </w:p>
    <w:tbl>
      <w:tblPr>
        <w:tblStyle w:val="Table"/>
        <w:tblW w:type="auto" w:w="0"/>
        <w:tblLook w:firstRow="1" w:lastRow="0" w:firstColumn="0" w:lastColumn="0" w:noHBand="0" w:noVBand="0" w:val="0020"/>
        <w:jc w:val="start"/>
        <w:tblCaption w:val="Dyck-1 formal boundary grid: mean A_{\mathrm{unif}}, L=10, 10 seeds/cell."/>
      </w:tblPr>
      <w:tblGrid>
        <w:gridCol w:w="1131"/>
        <w:gridCol w:w="1131"/>
        <w:gridCol w:w="1131"/>
        <w:gridCol w:w="1131"/>
        <w:gridCol w:w="1131"/>
        <w:gridCol w:w="1131"/>
        <w:gridCol w:w="1131"/>
      </w:tblGrid>
      <w:tr>
        <w:trPr>
          <w:tblHeader w:val="true"/>
        </w:trPr>
        <w:tc>
          <w:tcPr/>
          <w:p>
            <w:pPr>
              <w:pStyle w:val="Compact"/>
              <w:jc w:val="left"/>
            </w:pPr>
            <m:oMath>
              <m:r>
                <m:t>α</m:t>
              </m:r>
            </m:oMath>
          </w:p>
        </w:tc>
        <w:tc>
          <w:tcPr/>
          <w:p>
            <w:pPr>
              <w:pStyle w:val="Compact"/>
              <w:jc w:val="center"/>
            </w:pPr>
            <m:oMath>
              <m:r>
                <m:t>λ</m:t>
              </m:r>
              <m:r>
                <m:rPr>
                  <m:sty m:val="p"/>
                </m:rPr>
                <m:t>=</m:t>
              </m:r>
              <m:r>
                <m:t>0.3</m:t>
              </m:r>
            </m:oMath>
          </w:p>
        </w:tc>
        <w:tc>
          <w:tcPr/>
          <w:p>
            <w:pPr>
              <w:pStyle w:val="Compact"/>
              <w:jc w:val="center"/>
            </w:pPr>
            <m:oMath>
              <m:r>
                <m:t>0.5</m:t>
              </m:r>
            </m:oMath>
          </w:p>
        </w:tc>
        <w:tc>
          <w:tcPr/>
          <w:p>
            <w:pPr>
              <w:pStyle w:val="Compact"/>
              <w:jc w:val="center"/>
            </w:pPr>
            <m:oMath>
              <m:r>
                <m:t>0.7</m:t>
              </m:r>
            </m:oMath>
          </w:p>
        </w:tc>
        <w:tc>
          <w:tcPr/>
          <w:p>
            <w:pPr>
              <w:pStyle w:val="Compact"/>
              <w:jc w:val="center"/>
            </w:pPr>
            <m:oMath>
              <m:r>
                <m:t>0.9</m:t>
              </m:r>
            </m:oMath>
          </w:p>
        </w:tc>
        <w:tc>
          <w:tcPr/>
          <w:p>
            <w:pPr>
              <w:pStyle w:val="Compact"/>
              <w:jc w:val="center"/>
            </w:pPr>
            <m:oMath>
              <m:r>
                <m:t>1.1</m:t>
              </m:r>
            </m:oMath>
          </w:p>
        </w:tc>
        <w:tc>
          <w:tcPr/>
          <w:p>
            <w:pPr>
              <w:pStyle w:val="Compact"/>
              <w:jc w:val="center"/>
            </w:pPr>
            <m:oMath>
              <m:r>
                <m:t>1.3</m:t>
              </m:r>
            </m:oMath>
          </w:p>
        </w:tc>
      </w:tr>
      <w:tr>
        <w:tc>
          <w:tcPr/>
          <w:p>
            <w:pPr>
              <w:pStyle w:val="Compact"/>
              <w:jc w:val="left"/>
            </w:pPr>
            <w:r>
              <w:t xml:space="preserve">3.0</w:t>
            </w:r>
          </w:p>
        </w:tc>
        <w:tc>
          <w:tcPr/>
          <w:p>
            <w:pPr>
              <w:pStyle w:val="Compact"/>
              <w:jc w:val="center"/>
            </w:pPr>
            <w:r>
              <w:t xml:space="preserve">0.96</w:t>
            </w:r>
          </w:p>
        </w:tc>
        <w:tc>
          <w:tcPr/>
          <w:p>
            <w:pPr>
              <w:pStyle w:val="Compact"/>
              <w:jc w:val="center"/>
            </w:pPr>
            <w:r>
              <w:t xml:space="preserve">0.98</w:t>
            </w:r>
          </w:p>
        </w:tc>
        <w:tc>
          <w:tcPr/>
          <w:p>
            <w:pPr>
              <w:pStyle w:val="Compact"/>
              <w:jc w:val="center"/>
            </w:pPr>
            <w:r>
              <w:t xml:space="preserve">0.94</w:t>
            </w:r>
          </w:p>
        </w:tc>
        <w:tc>
          <w:tcPr/>
          <w:p>
            <w:pPr>
              <w:pStyle w:val="Compact"/>
              <w:jc w:val="center"/>
            </w:pPr>
            <w:r>
              <w:t xml:space="preserve">0.97</w:t>
            </w:r>
          </w:p>
        </w:tc>
        <w:tc>
          <w:tcPr/>
          <w:p>
            <w:pPr>
              <w:pStyle w:val="Compact"/>
              <w:jc w:val="center"/>
            </w:pPr>
            <w:r>
              <w:t xml:space="preserve">0.98</w:t>
            </w:r>
          </w:p>
        </w:tc>
        <w:tc>
          <w:tcPr/>
          <w:p>
            <w:pPr>
              <w:pStyle w:val="Compact"/>
              <w:jc w:val="center"/>
            </w:pPr>
            <w:r>
              <w:t xml:space="preserve">0.85</w:t>
            </w:r>
          </w:p>
        </w:tc>
      </w:tr>
      <w:tr>
        <w:tc>
          <w:tcPr/>
          <w:p>
            <w:pPr>
              <w:pStyle w:val="Compact"/>
              <w:jc w:val="left"/>
            </w:pPr>
            <w:r>
              <w:t xml:space="preserve">3.5</w:t>
            </w:r>
          </w:p>
        </w:tc>
        <w:tc>
          <w:tcPr/>
          <w:p>
            <w:pPr>
              <w:pStyle w:val="Compact"/>
              <w:jc w:val="center"/>
            </w:pPr>
            <w:r>
              <w:t xml:space="preserve">1.00</w:t>
            </w:r>
          </w:p>
        </w:tc>
        <w:tc>
          <w:tcPr/>
          <w:p>
            <w:pPr>
              <w:pStyle w:val="Compact"/>
              <w:jc w:val="center"/>
            </w:pPr>
            <w:r>
              <w:t xml:space="preserve">0.99</w:t>
            </w:r>
          </w:p>
        </w:tc>
        <w:tc>
          <w:tcPr/>
          <w:p>
            <w:pPr>
              <w:pStyle w:val="Compact"/>
              <w:jc w:val="center"/>
            </w:pPr>
            <w:r>
              <w:t xml:space="preserve">0.89</w:t>
            </w:r>
          </w:p>
        </w:tc>
        <w:tc>
          <w:tcPr/>
          <w:p>
            <w:pPr>
              <w:pStyle w:val="Compact"/>
              <w:jc w:val="center"/>
            </w:pPr>
            <w:r>
              <w:t xml:space="preserve">0.95</w:t>
            </w:r>
          </w:p>
        </w:tc>
        <w:tc>
          <w:tcPr/>
          <w:p>
            <w:pPr>
              <w:pStyle w:val="Compact"/>
              <w:jc w:val="center"/>
            </w:pPr>
            <w:r>
              <w:t xml:space="preserve">0.87</w:t>
            </w:r>
          </w:p>
        </w:tc>
        <w:tc>
          <w:tcPr/>
          <w:p>
            <w:pPr>
              <w:pStyle w:val="Compact"/>
              <w:jc w:val="center"/>
            </w:pPr>
            <w:r>
              <w:t xml:space="preserve">0.71</w:t>
            </w:r>
          </w:p>
        </w:tc>
      </w:tr>
      <w:tr>
        <w:tc>
          <w:tcPr/>
          <w:p>
            <w:pPr>
              <w:pStyle w:val="Compact"/>
              <w:jc w:val="left"/>
            </w:pPr>
            <w:r>
              <w:t xml:space="preserve">4.0</w:t>
            </w:r>
          </w:p>
        </w:tc>
        <w:tc>
          <w:tcPr/>
          <w:p>
            <w:pPr>
              <w:pStyle w:val="Compact"/>
              <w:jc w:val="center"/>
            </w:pPr>
            <w:r>
              <w:t xml:space="preserve">0.95</w:t>
            </w:r>
          </w:p>
        </w:tc>
        <w:tc>
          <w:tcPr/>
          <w:p>
            <w:pPr>
              <w:pStyle w:val="Compact"/>
              <w:jc w:val="center"/>
            </w:pPr>
            <w:r>
              <w:t xml:space="preserve">0.94</w:t>
            </w:r>
          </w:p>
        </w:tc>
        <w:tc>
          <w:tcPr/>
          <w:p>
            <w:pPr>
              <w:pStyle w:val="Compact"/>
              <w:jc w:val="center"/>
            </w:pPr>
            <w:r>
              <w:t xml:space="preserve">0.93</w:t>
            </w:r>
          </w:p>
        </w:tc>
        <w:tc>
          <w:tcPr/>
          <w:p>
            <w:pPr>
              <w:pStyle w:val="Compact"/>
              <w:jc w:val="center"/>
            </w:pPr>
            <w:r>
              <w:t xml:space="preserve">0.92</w:t>
            </w:r>
          </w:p>
        </w:tc>
        <w:tc>
          <w:tcPr/>
          <w:p>
            <w:pPr>
              <w:pStyle w:val="Compact"/>
              <w:jc w:val="center"/>
            </w:pPr>
            <w:r>
              <w:t xml:space="preserve">0.90</w:t>
            </w:r>
          </w:p>
        </w:tc>
        <w:tc>
          <w:tcPr/>
          <w:p>
            <w:pPr>
              <w:pStyle w:val="Compact"/>
              <w:jc w:val="center"/>
            </w:pPr>
            <w:r>
              <w:t xml:space="preserve">0.79</w:t>
            </w:r>
          </w:p>
        </w:tc>
      </w:tr>
      <w:tr>
        <w:tc>
          <w:tcPr/>
          <w:p>
            <w:pPr>
              <w:pStyle w:val="Compact"/>
              <w:jc w:val="left"/>
            </w:pPr>
            <w:r>
              <w:t xml:space="preserve">4.5</w:t>
            </w:r>
          </w:p>
        </w:tc>
        <w:tc>
          <w:tcPr/>
          <w:p>
            <w:pPr>
              <w:pStyle w:val="Compact"/>
              <w:jc w:val="center"/>
            </w:pPr>
            <w:r>
              <w:t xml:space="preserve">0.92</w:t>
            </w:r>
          </w:p>
        </w:tc>
        <w:tc>
          <w:tcPr/>
          <w:p>
            <w:pPr>
              <w:pStyle w:val="Compact"/>
              <w:jc w:val="center"/>
            </w:pPr>
            <w:r>
              <w:t xml:space="preserve">0.92</w:t>
            </w:r>
          </w:p>
        </w:tc>
        <w:tc>
          <w:tcPr/>
          <w:p>
            <w:pPr>
              <w:pStyle w:val="Compact"/>
              <w:jc w:val="center"/>
            </w:pPr>
            <w:r>
              <w:t xml:space="preserve">0.93</w:t>
            </w:r>
          </w:p>
        </w:tc>
        <w:tc>
          <w:tcPr/>
          <w:p>
            <w:pPr>
              <w:pStyle w:val="Compact"/>
              <w:jc w:val="center"/>
            </w:pPr>
            <w:r>
              <w:t xml:space="preserve">0.83</w:t>
            </w:r>
          </w:p>
        </w:tc>
        <w:tc>
          <w:tcPr/>
          <w:p>
            <w:pPr>
              <w:pStyle w:val="Compact"/>
              <w:jc w:val="center"/>
            </w:pPr>
            <w:r>
              <w:t xml:space="preserve">0.79</w:t>
            </w:r>
          </w:p>
        </w:tc>
        <w:tc>
          <w:tcPr/>
          <w:p>
            <w:pPr>
              <w:pStyle w:val="Compact"/>
              <w:jc w:val="center"/>
            </w:pPr>
            <w:r>
              <w:t xml:space="preserve">0.34</w:t>
            </w:r>
          </w:p>
        </w:tc>
      </w:tr>
      <w:tr>
        <w:tc>
          <w:tcPr/>
          <w:p>
            <w:pPr>
              <w:pStyle w:val="Compact"/>
              <w:jc w:val="left"/>
            </w:pPr>
            <w:r>
              <w:t xml:space="preserve">5.0</w:t>
            </w:r>
          </w:p>
        </w:tc>
        <w:tc>
          <w:tcPr/>
          <w:p>
            <w:pPr>
              <w:pStyle w:val="Compact"/>
              <w:jc w:val="center"/>
            </w:pPr>
            <w:r>
              <w:t xml:space="preserve">0.90</w:t>
            </w:r>
          </w:p>
        </w:tc>
        <w:tc>
          <w:tcPr/>
          <w:p>
            <w:pPr>
              <w:pStyle w:val="Compact"/>
              <w:jc w:val="center"/>
            </w:pPr>
            <w:r>
              <w:t xml:space="preserve">0.90</w:t>
            </w:r>
          </w:p>
        </w:tc>
        <w:tc>
          <w:tcPr/>
          <w:p>
            <w:pPr>
              <w:pStyle w:val="Compact"/>
              <w:jc w:val="center"/>
            </w:pPr>
            <w:r>
              <w:t xml:space="preserve">0.93</w:t>
            </w:r>
          </w:p>
        </w:tc>
        <w:tc>
          <w:tcPr/>
          <w:p>
            <w:pPr>
              <w:pStyle w:val="Compact"/>
              <w:jc w:val="center"/>
            </w:pPr>
            <w:r>
              <w:t xml:space="preserve">0.67</w:t>
            </w:r>
          </w:p>
        </w:tc>
        <w:tc>
          <w:tcPr/>
          <w:p>
            <w:pPr>
              <w:pStyle w:val="Compact"/>
              <w:jc w:val="center"/>
            </w:pPr>
            <w:r>
              <w:t xml:space="preserve">0.51</w:t>
            </w:r>
          </w:p>
        </w:tc>
        <w:tc>
          <w:tcPr/>
          <w:p>
            <w:pPr>
              <w:pStyle w:val="Compact"/>
              <w:jc w:val="center"/>
            </w:pPr>
            <w:r>
              <w:t xml:space="preserve">0.36</w:t>
            </w:r>
          </w:p>
        </w:tc>
      </w:tr>
      <w:tr>
        <w:tc>
          <w:tcPr/>
          <w:p>
            <w:pPr>
              <w:pStyle w:val="Compact"/>
              <w:jc w:val="left"/>
            </w:pPr>
            <w:r>
              <w:t xml:space="preserve">5.5</w:t>
            </w:r>
          </w:p>
        </w:tc>
        <w:tc>
          <w:tcPr/>
          <w:p>
            <w:pPr>
              <w:pStyle w:val="Compact"/>
              <w:jc w:val="center"/>
            </w:pPr>
            <w:r>
              <w:t xml:space="preserve">0.94</w:t>
            </w:r>
          </w:p>
        </w:tc>
        <w:tc>
          <w:tcPr/>
          <w:p>
            <w:pPr>
              <w:pStyle w:val="Compact"/>
              <w:jc w:val="center"/>
            </w:pPr>
            <w:r>
              <w:t xml:space="preserve">0.88</w:t>
            </w:r>
          </w:p>
        </w:tc>
        <w:tc>
          <w:tcPr/>
          <w:p>
            <w:pPr>
              <w:pStyle w:val="Compact"/>
              <w:jc w:val="center"/>
            </w:pPr>
            <w:r>
              <w:t xml:space="preserve">0.88</w:t>
            </w:r>
          </w:p>
        </w:tc>
        <w:tc>
          <w:tcPr/>
          <w:p>
            <w:pPr>
              <w:pStyle w:val="Compact"/>
              <w:jc w:val="center"/>
            </w:pPr>
            <w:r>
              <w:t xml:space="preserve">0.55</w:t>
            </w:r>
          </w:p>
        </w:tc>
        <w:tc>
          <w:tcPr/>
          <w:p>
            <w:pPr>
              <w:pStyle w:val="Compact"/>
              <w:jc w:val="center"/>
            </w:pPr>
            <w:r>
              <w:t xml:space="preserve">0.36</w:t>
            </w:r>
          </w:p>
        </w:tc>
        <w:tc>
          <w:tcPr/>
          <w:p>
            <w:pPr>
              <w:pStyle w:val="Compact"/>
              <w:jc w:val="center"/>
            </w:pPr>
            <w:r>
              <w:t xml:space="preserve">0.29</w:t>
            </w:r>
          </w:p>
        </w:tc>
      </w:tr>
      <w:tr>
        <w:tc>
          <w:tcPr/>
          <w:p>
            <w:pPr>
              <w:pStyle w:val="Compact"/>
              <w:jc w:val="left"/>
            </w:pPr>
            <w:r>
              <w:t xml:space="preserve">6.0</w:t>
            </w:r>
          </w:p>
        </w:tc>
        <w:tc>
          <w:tcPr/>
          <w:p>
            <w:pPr>
              <w:pStyle w:val="Compact"/>
              <w:jc w:val="center"/>
            </w:pPr>
            <w:r>
              <w:t xml:space="preserve">0.86</w:t>
            </w:r>
          </w:p>
        </w:tc>
        <w:tc>
          <w:tcPr/>
          <w:p>
            <w:pPr>
              <w:pStyle w:val="Compact"/>
              <w:jc w:val="center"/>
            </w:pPr>
            <w:r>
              <w:t xml:space="preserve">0.88</w:t>
            </w:r>
          </w:p>
        </w:tc>
        <w:tc>
          <w:tcPr/>
          <w:p>
            <w:pPr>
              <w:pStyle w:val="Compact"/>
              <w:jc w:val="center"/>
            </w:pPr>
            <w:r>
              <w:t xml:space="preserve">0.73</w:t>
            </w:r>
          </w:p>
        </w:tc>
        <w:tc>
          <w:tcPr/>
          <w:p>
            <w:pPr>
              <w:pStyle w:val="Compact"/>
              <w:jc w:val="center"/>
            </w:pPr>
            <w:r>
              <w:t xml:space="preserve">0.50</w:t>
            </w:r>
          </w:p>
        </w:tc>
        <w:tc>
          <w:tcPr/>
          <w:p>
            <w:pPr>
              <w:pStyle w:val="Compact"/>
              <w:jc w:val="center"/>
            </w:pPr>
            <w:r>
              <w:t xml:space="preserve">0.29</w:t>
            </w:r>
          </w:p>
        </w:tc>
        <w:tc>
          <w:tcPr/>
          <w:p>
            <w:pPr>
              <w:pStyle w:val="Compact"/>
              <w:jc w:val="center"/>
            </w:pPr>
            <w:r>
              <w:t xml:space="preserve">0.29</w:t>
            </w:r>
          </w:p>
        </w:tc>
      </w:tr>
      <w:tr>
        <w:tc>
          <w:tcPr/>
          <w:p>
            <w:pPr>
              <w:pStyle w:val="Compact"/>
              <w:jc w:val="left"/>
            </w:pPr>
            <w:r>
              <w:t xml:space="preserve">7.0</w:t>
            </w:r>
          </w:p>
        </w:tc>
        <w:tc>
          <w:tcPr/>
          <w:p>
            <w:pPr>
              <w:pStyle w:val="Compact"/>
              <w:jc w:val="center"/>
            </w:pPr>
            <w:r>
              <w:t xml:space="preserve">0.81</w:t>
            </w:r>
          </w:p>
        </w:tc>
        <w:tc>
          <w:tcPr/>
          <w:p>
            <w:pPr>
              <w:pStyle w:val="Compact"/>
              <w:jc w:val="center"/>
            </w:pPr>
            <w:r>
              <w:t xml:space="preserve">0.84</w:t>
            </w:r>
          </w:p>
        </w:tc>
        <w:tc>
          <w:tcPr/>
          <w:p>
            <w:pPr>
              <w:pStyle w:val="Compact"/>
              <w:jc w:val="center"/>
            </w:pPr>
            <w:r>
              <w:t xml:space="preserve">0.36</w:t>
            </w:r>
          </w:p>
        </w:tc>
        <w:tc>
          <w:tcPr/>
          <w:p>
            <w:pPr>
              <w:pStyle w:val="Compact"/>
              <w:jc w:val="center"/>
            </w:pPr>
            <w:r>
              <w:t xml:space="preserve">0.29</w:t>
            </w:r>
          </w:p>
        </w:tc>
        <w:tc>
          <w:tcPr/>
          <w:p>
            <w:pPr>
              <w:pStyle w:val="Compact"/>
              <w:jc w:val="center"/>
            </w:pPr>
            <w:r>
              <w:t xml:space="preserve">0.29</w:t>
            </w:r>
          </w:p>
        </w:tc>
        <w:tc>
          <w:tcPr/>
          <w:p>
            <w:pPr>
              <w:pStyle w:val="Compact"/>
              <w:jc w:val="center"/>
            </w:pPr>
            <w:r>
              <w:t xml:space="preserve">0.29</w:t>
            </w:r>
          </w:p>
        </w:tc>
      </w:tr>
      <w:tr>
        <w:tc>
          <w:tcPr/>
          <w:p>
            <w:pPr>
              <w:pStyle w:val="Compact"/>
              <w:jc w:val="left"/>
            </w:pPr>
            <w:r>
              <w:t xml:space="preserve">8.0</w:t>
            </w:r>
          </w:p>
        </w:tc>
        <w:tc>
          <w:tcPr/>
          <w:p>
            <w:pPr>
              <w:pStyle w:val="Compact"/>
              <w:jc w:val="center"/>
            </w:pPr>
            <w:r>
              <w:t xml:space="preserve">0.76</w:t>
            </w:r>
          </w:p>
        </w:tc>
        <w:tc>
          <w:tcPr/>
          <w:p>
            <w:pPr>
              <w:pStyle w:val="Compact"/>
              <w:jc w:val="center"/>
            </w:pPr>
            <w:r>
              <w:t xml:space="preserve">0.58</w:t>
            </w:r>
          </w:p>
        </w:tc>
        <w:tc>
          <w:tcPr/>
          <w:p>
            <w:pPr>
              <w:pStyle w:val="Compact"/>
              <w:jc w:val="center"/>
            </w:pPr>
            <w:r>
              <w:t xml:space="preserve">0.33</w:t>
            </w:r>
          </w:p>
        </w:tc>
        <w:tc>
          <w:tcPr/>
          <w:p>
            <w:pPr>
              <w:pStyle w:val="Compact"/>
              <w:jc w:val="center"/>
            </w:pPr>
            <w:r>
              <w:t xml:space="preserve">0.29</w:t>
            </w:r>
          </w:p>
        </w:tc>
        <w:tc>
          <w:tcPr/>
          <w:p>
            <w:pPr>
              <w:pStyle w:val="Compact"/>
              <w:jc w:val="center"/>
            </w:pPr>
            <w:r>
              <w:t xml:space="preserve">0.29</w:t>
            </w:r>
          </w:p>
        </w:tc>
        <w:tc>
          <w:tcPr/>
          <w:p>
            <w:pPr>
              <w:pStyle w:val="Compact"/>
              <w:jc w:val="center"/>
            </w:pPr>
            <w:r>
              <w:t xml:space="preserve">0.29</w:t>
            </w:r>
          </w:p>
        </w:tc>
      </w:tr>
    </w:tbl>
    <w:bookmarkEnd w:id="68"/>
    <w:bookmarkStart w:id="69" w:name="tab:dyckrescue"/>
    <w:p>
      <w:pPr>
        <w:pStyle w:val="TableCaption"/>
      </w:pPr>
      <w:r>
        <w:t xml:space="preserve">Dyck-1 injection ranking at the deep-collapse cell (</w:t>
      </w:r>
      <m:oMath>
        <m:r>
          <m:t>α</m:t>
        </m:r>
        <m:r>
          <m:rPr>
            <m:sty m:val="p"/>
          </m:rPr>
          <m:t>=</m:t>
        </m:r>
        <m:r>
          <m:t>5.5</m:t>
        </m:r>
      </m:oMath>
      <w:r>
        <w:t xml:space="preserve">,</w:t>
      </w:r>
      <w:r>
        <w:t xml:space="preserve"> </w:t>
      </w:r>
      <m:oMath>
        <m:r>
          <m:t>λ</m:t>
        </m:r>
        <m:r>
          <m:rPr>
            <m:sty m:val="p"/>
          </m:rPr>
          <m:t>=</m:t>
        </m:r>
        <m:r>
          <m:t>1.3</m:t>
        </m:r>
      </m:oMath>
      <w:r>
        <w:t xml:space="preserve">),</w:t>
      </w:r>
      <w:r>
        <w:t xml:space="preserve"> </w:t>
      </w:r>
      <m:oMath>
        <m:r>
          <m:t>k</m:t>
        </m:r>
        <m:r>
          <m:rPr>
            <m:sty m:val="p"/>
          </m:rPr>
          <m:t>=</m:t>
        </m:r>
        <m:r>
          <m:t>1</m:t>
        </m:r>
      </m:oMath>
      <w:r>
        <w:t xml:space="preserve"> </w:t>
      </w:r>
      <w:r>
        <w:t xml:space="preserve">per batch of 128.</w:t>
      </w:r>
    </w:p>
    <w:tbl>
      <w:tblPr>
        <w:tblStyle w:val="Table"/>
        <w:tblW w:type="auto" w:w="0"/>
        <w:tblLook w:firstRow="1" w:lastRow="0" w:firstColumn="0" w:lastColumn="0" w:noHBand="0" w:noVBand="0" w:val="0020"/>
        <w:jc w:val="start"/>
        <w:tblCaption w:val="Dyck-1 injection ranking at the deep-collapse cell (\alpha=5.5, \lambda=1.3), k=1 per batch of 128."/>
      </w:tblPr>
      <w:tblGrid>
        <w:gridCol w:w="1980"/>
        <w:gridCol w:w="1980"/>
        <w:gridCol w:w="1980"/>
        <w:gridCol w:w="1980"/>
      </w:tblGrid>
      <w:tr>
        <w:trPr>
          <w:tblHeader w:val="true"/>
        </w:trPr>
        <w:tc>
          <w:tcPr/>
          <w:p>
            <w:pPr>
              <w:pStyle w:val="Compact"/>
              <w:jc w:val="left"/>
            </w:pPr>
            <w:r>
              <w:t xml:space="preserve">Injection</w:t>
            </w:r>
          </w:p>
        </w:tc>
        <w:tc>
          <w:tcPr/>
          <w:p>
            <w:pPr>
              <w:pStyle w:val="Compact"/>
              <w:jc w:val="center"/>
            </w:pPr>
            <w:r>
              <w:t xml:space="preserve">Mean</w:t>
            </w:r>
            <w:r>
              <w:t xml:space="preserve"> </w:t>
            </w:r>
            <m:oMath>
              <m:sSub>
                <m:e>
                  <m:r>
                    <m:t>A</m:t>
                  </m:r>
                </m:e>
                <m:sub>
                  <m:r>
                    <m:rPr>
                      <m:sty m:val="p"/>
                    </m:rPr>
                    <m:t>u</m:t>
                  </m:r>
                  <m:r>
                    <m:rPr>
                      <m:sty m:val="p"/>
                    </m:rPr>
                    <m:t>n</m:t>
                  </m:r>
                  <m:r>
                    <m:rPr>
                      <m:sty m:val="p"/>
                    </m:rPr>
                    <m:t>i</m:t>
                  </m:r>
                  <m:r>
                    <m:rPr>
                      <m:sty m:val="p"/>
                    </m:rPr>
                    <m:t>f</m:t>
                  </m:r>
                </m:sub>
              </m:sSub>
            </m:oMath>
          </w:p>
        </w:tc>
        <w:tc>
          <w:tcPr/>
          <w:p>
            <w:pPr>
              <w:pStyle w:val="Compact"/>
              <w:jc w:val="center"/>
            </w:pPr>
            <w:r>
              <w:t xml:space="preserve">Seeds at threshold</w:t>
            </w:r>
          </w:p>
        </w:tc>
        <w:tc>
          <w:tcPr/>
          <w:p>
            <w:pPr>
              <w:pStyle w:val="Compact"/>
              <w:jc w:val="center"/>
            </w:pPr>
            <m:oMath>
              <m:r>
                <m:t>n</m:t>
              </m:r>
            </m:oMath>
          </w:p>
        </w:tc>
      </w:tr>
      <w:tr>
        <w:tc>
          <w:tcPr/>
          <w:p>
            <w:pPr>
              <w:pStyle w:val="Compact"/>
              <w:jc w:val="left"/>
            </w:pPr>
            <w:r>
              <w:t xml:space="preserve">none (</w:t>
            </w:r>
            <m:oMath>
              <m:r>
                <m:t>k</m:t>
              </m:r>
              <m:r>
                <m:rPr>
                  <m:sty m:val="p"/>
                </m:rPr>
                <m:t>=</m:t>
              </m:r>
              <m:r>
                <m:t>0</m:t>
              </m:r>
            </m:oMath>
            <w:r>
              <w:t xml:space="preserve">)</w:t>
            </w:r>
          </w:p>
        </w:tc>
        <w:tc>
          <w:tcPr/>
          <w:p>
            <w:pPr>
              <w:pStyle w:val="Compact"/>
              <w:jc w:val="center"/>
            </w:pPr>
            <w:r>
              <w:t xml:space="preserve">0.289</w:t>
            </w:r>
          </w:p>
        </w:tc>
        <w:tc>
          <w:tcPr/>
          <w:p>
            <w:pPr>
              <w:pStyle w:val="Compact"/>
              <w:jc w:val="center"/>
            </w:pPr>
            <w:r>
              <w:t xml:space="preserve">0/3</w:t>
            </w:r>
          </w:p>
        </w:tc>
        <w:tc>
          <w:tcPr/>
          <w:p>
            <w:pPr>
              <w:pStyle w:val="Compact"/>
              <w:jc w:val="center"/>
            </w:pPr>
            <w:r>
              <w:t xml:space="preserve">3</w:t>
            </w:r>
          </w:p>
        </w:tc>
      </w:tr>
      <w:tr>
        <w:tc>
          <w:tcPr/>
          <w:p>
            <w:pPr>
              <w:pStyle w:val="Compact"/>
              <w:jc w:val="left"/>
            </w:pPr>
            <w:r>
              <w:t xml:space="preserve">head</w:t>
            </w:r>
          </w:p>
        </w:tc>
        <w:tc>
          <w:tcPr/>
          <w:p>
            <w:pPr>
              <w:pStyle w:val="Compact"/>
              <w:jc w:val="center"/>
            </w:pPr>
            <w:r>
              <w:t xml:space="preserve">0.289</w:t>
            </w:r>
          </w:p>
        </w:tc>
        <w:tc>
          <w:tcPr/>
          <w:p>
            <w:pPr>
              <w:pStyle w:val="Compact"/>
              <w:jc w:val="center"/>
            </w:pPr>
            <w:r>
              <w:t xml:space="preserve">0/5</w:t>
            </w:r>
          </w:p>
        </w:tc>
        <w:tc>
          <w:tcPr/>
          <w:p>
            <w:pPr>
              <w:pStyle w:val="Compact"/>
              <w:jc w:val="center"/>
            </w:pPr>
            <w:r>
              <w:t xml:space="preserve">5</w:t>
            </w:r>
          </w:p>
        </w:tc>
      </w:tr>
      <w:tr>
        <w:tc>
          <w:tcPr/>
          <w:p>
            <w:pPr>
              <w:pStyle w:val="Compact"/>
              <w:jc w:val="left"/>
            </w:pPr>
            <w:r>
              <w:t xml:space="preserve">tail</w:t>
            </w:r>
          </w:p>
        </w:tc>
        <w:tc>
          <w:tcPr/>
          <w:p>
            <w:pPr>
              <w:pStyle w:val="Compact"/>
              <w:jc w:val="center"/>
            </w:pPr>
            <w:r>
              <w:t xml:space="preserve">0.289</w:t>
            </w:r>
          </w:p>
        </w:tc>
        <w:tc>
          <w:tcPr/>
          <w:p>
            <w:pPr>
              <w:pStyle w:val="Compact"/>
              <w:jc w:val="center"/>
            </w:pPr>
            <w:r>
              <w:t xml:space="preserve">0/5</w:t>
            </w:r>
          </w:p>
        </w:tc>
        <w:tc>
          <w:tcPr/>
          <w:p>
            <w:pPr>
              <w:pStyle w:val="Compact"/>
              <w:jc w:val="center"/>
            </w:pPr>
            <w:r>
              <w:t xml:space="preserve">5</w:t>
            </w:r>
          </w:p>
        </w:tc>
      </w:tr>
      <w:tr>
        <w:tc>
          <w:tcPr/>
          <w:p>
            <w:pPr>
              <w:pStyle w:val="Compact"/>
              <w:jc w:val="left"/>
            </w:pPr>
            <w:r>
              <w:t xml:space="preserve">uniform</w:t>
            </w:r>
          </w:p>
        </w:tc>
        <w:tc>
          <w:tcPr/>
          <w:p>
            <w:pPr>
              <w:pStyle w:val="Compact"/>
              <w:jc w:val="center"/>
            </w:pPr>
            <w:r>
              <w:t xml:space="preserve">0.398</w:t>
            </w:r>
          </w:p>
        </w:tc>
        <w:tc>
          <w:tcPr/>
          <w:p>
            <w:pPr>
              <w:pStyle w:val="Compact"/>
              <w:jc w:val="center"/>
            </w:pPr>
            <w:r>
              <w:t xml:space="preserve">0/5</w:t>
            </w:r>
          </w:p>
        </w:tc>
        <w:tc>
          <w:tcPr/>
          <w:p>
            <w:pPr>
              <w:pStyle w:val="Compact"/>
              <w:jc w:val="center"/>
            </w:pPr>
            <w:r>
              <w:t xml:space="preserve">5</w:t>
            </w:r>
          </w:p>
        </w:tc>
      </w:tr>
    </w:tbl>
    <w:bookmarkEnd w:id="69"/>
    <w:bookmarkEnd w:id="70"/>
    <w:bookmarkStart w:id="72" w:name="app:doseclean"/>
    <w:p>
      <w:pPr>
        <w:pStyle w:val="Heading1"/>
      </w:pPr>
      <w:r>
        <w:rPr>
          <w:rStyle w:val="SectionNumber"/>
        </w:rPr>
        <w:t xml:space="preserve">9</w:t>
      </w:r>
      <w:r>
        <w:tab/>
      </w:r>
      <w:r>
        <w:t xml:space="preserve">Per-</w:t>
      </w:r>
      <m:oMath>
        <m:r>
          <m:t>α</m:t>
        </m:r>
      </m:oMath>
      <w:r>
        <w:t xml:space="preserve"> </w:t>
      </w:r>
      <w:r>
        <w:t xml:space="preserve">breakdown of the deconfounded dose sweep</w:t>
      </w:r>
    </w:p>
    <w:p>
      <w:pPr>
        <w:pStyle w:val="FirstParagraph"/>
      </w:pPr>
      <w:r>
        <w:t xml:space="preserve">Table </w:t>
      </w:r>
      <w:hyperlink w:anchor="tab:doseclean">
        <w:r>
          <w:rPr>
            <w:rStyle w:val="Hyperlink"/>
          </w:rPr>
          <w:t xml:space="preserve">3</w:t>
        </w:r>
      </w:hyperlink>
      <w:r>
        <w:t xml:space="preserve"> </w:t>
      </w:r>
      <w:r>
        <w:t xml:space="preserve">pools 24 seeds per dose point across three</w:t>
      </w:r>
      <w:r>
        <w:t xml:space="preserve"> </w:t>
      </w:r>
      <m:oMath>
        <m:r>
          <m:t>α</m:t>
        </m:r>
      </m:oMath>
      <w:r>
        <w:t xml:space="preserve"> </w:t>
      </w:r>
      <w:r>
        <w:t xml:space="preserve">values; Table </w:t>
      </w:r>
      <w:hyperlink w:anchor="tab:doseclean-peralpha">
        <w:r>
          <w:rPr>
            <w:rStyle w:val="Hyperlink"/>
          </w:rPr>
          <w:t xml:space="preserve">10</w:t>
        </w:r>
      </w:hyperlink>
      <w:r>
        <w:t xml:space="preserve"> </w:t>
      </w:r>
      <w:r>
        <w:t xml:space="preserve">gives the same sweep broken out per</w:t>
      </w:r>
      <w:r>
        <w:t xml:space="preserve"> </w:t>
      </w:r>
      <m:oMath>
        <m:r>
          <m:t>α</m:t>
        </m:r>
      </m:oMath>
      <w:r>
        <w:t xml:space="preserve"> </w:t>
      </w:r>
      <w:r>
        <w:t xml:space="preserve">(8 seeds/cell).</w:t>
      </w:r>
    </w:p>
    <w:bookmarkStart w:id="71" w:name="tab:doseclean-peralpha"/>
    <w:p>
      <w:pPr>
        <w:pStyle w:val="TableCaption"/>
      </w:pPr>
      <w:r>
        <w:t xml:space="preserve">Deconfounded dose sweep by</w:t>
      </w:r>
      <w:r>
        <w:t xml:space="preserve"> </w:t>
      </w:r>
      <m:oMath>
        <m:r>
          <m:t>α</m:t>
        </m:r>
      </m:oMath>
      <w:r>
        <w:t xml:space="preserve">: fraction generalizing / mean</w:t>
      </w:r>
      <w:r>
        <w:t xml:space="preserve"> </w:t>
      </w:r>
      <m:oMath>
        <m:sSub>
          <m:e>
            <m:r>
              <m:t>A</m:t>
            </m:r>
          </m:e>
          <m:sub>
            <m:r>
              <m:rPr>
                <m:sty m:val="p"/>
              </m:rPr>
              <m:t>u</m:t>
            </m:r>
            <m:r>
              <m:rPr>
                <m:sty m:val="p"/>
              </m:rPr>
              <m:t>n</m:t>
            </m:r>
            <m:r>
              <m:rPr>
                <m:sty m:val="p"/>
              </m:rPr>
              <m:t>i</m:t>
            </m:r>
            <m:r>
              <m:rPr>
                <m:sty m:val="p"/>
              </m:rPr>
              <m:t>f</m:t>
            </m:r>
          </m:sub>
        </m:sSub>
      </m:oMath>
      <w:r>
        <w:t xml:space="preserve">, 8 seeds/cell.</w:t>
      </w:r>
    </w:p>
    <w:tbl>
      <w:tblPr>
        <w:tblStyle w:val="Table"/>
        <w:tblW w:type="auto" w:w="0"/>
        <w:tblLook w:firstRow="1" w:lastRow="0" w:firstColumn="0" w:lastColumn="0" w:noHBand="0" w:noVBand="0" w:val="0020"/>
        <w:jc w:val="start"/>
        <w:tblCaption w:val="Deconfounded dose sweep by \alpha: fraction generalizing / mean A_{\mathrm{unif}}, 8 seeds/cell."/>
      </w:tblPr>
      <w:tblGrid>
        <w:gridCol w:w="1320"/>
        <w:gridCol w:w="1320"/>
        <w:gridCol w:w="1320"/>
        <w:gridCol w:w="1320"/>
        <w:gridCol w:w="1320"/>
        <w:gridCol w:w="1320"/>
      </w:tblGrid>
      <w:tr>
        <w:trPr>
          <w:tblHeader w:val="true"/>
        </w:trPr>
        <w:tc>
          <w:tcPr/>
          <w:p>
            <w:pPr>
              <w:pStyle w:val="Compact"/>
              <w:jc w:val="left"/>
            </w:pPr>
            <m:oMath>
              <m:r>
                <m:t>α</m:t>
              </m:r>
            </m:oMath>
          </w:p>
        </w:tc>
        <w:tc>
          <w:tcPr/>
          <w:p>
            <w:pPr>
              <w:pStyle w:val="Compact"/>
              <w:jc w:val="center"/>
            </w:pPr>
            <m:oMath>
              <m:r>
                <m:t>q</m:t>
              </m:r>
              <m:r>
                <m:rPr>
                  <m:sty m:val="p"/>
                </m:rPr>
                <m:t>=</m:t>
              </m:r>
              <m:r>
                <m:t>0.10</m:t>
              </m:r>
            </m:oMath>
          </w:p>
        </w:tc>
        <w:tc>
          <w:tcPr/>
          <w:p>
            <w:pPr>
              <w:pStyle w:val="Compact"/>
              <w:jc w:val="center"/>
            </w:pPr>
            <m:oMath>
              <m:r>
                <m:t>q</m:t>
              </m:r>
              <m:r>
                <m:rPr>
                  <m:sty m:val="p"/>
                </m:rPr>
                <m:t>=</m:t>
              </m:r>
              <m:r>
                <m:t>0.25</m:t>
              </m:r>
            </m:oMath>
          </w:p>
        </w:tc>
        <w:tc>
          <w:tcPr/>
          <w:p>
            <w:pPr>
              <w:pStyle w:val="Compact"/>
              <w:jc w:val="center"/>
            </w:pPr>
            <m:oMath>
              <m:r>
                <m:t>q</m:t>
              </m:r>
              <m:r>
                <m:rPr>
                  <m:sty m:val="p"/>
                </m:rPr>
                <m:t>=</m:t>
              </m:r>
              <m:r>
                <m:t>0.50</m:t>
              </m:r>
            </m:oMath>
          </w:p>
        </w:tc>
        <w:tc>
          <w:tcPr/>
          <w:p>
            <w:pPr>
              <w:pStyle w:val="Compact"/>
              <w:jc w:val="center"/>
            </w:pPr>
            <m:oMath>
              <m:r>
                <m:t>q</m:t>
              </m:r>
              <m:r>
                <m:rPr>
                  <m:sty m:val="p"/>
                </m:rPr>
                <m:t>=</m:t>
              </m:r>
              <m:r>
                <m:t>0.75</m:t>
              </m:r>
            </m:oMath>
          </w:p>
        </w:tc>
        <w:tc>
          <w:tcPr/>
          <w:p>
            <w:pPr>
              <w:pStyle w:val="Compact"/>
              <w:jc w:val="center"/>
            </w:pPr>
            <m:oMath>
              <m:r>
                <m:t>q</m:t>
              </m:r>
              <m:r>
                <m:rPr>
                  <m:sty m:val="p"/>
                </m:rPr>
                <m:t>=</m:t>
              </m:r>
              <m:r>
                <m:t>1.00</m:t>
              </m:r>
            </m:oMath>
          </w:p>
        </w:tc>
      </w:tr>
      <w:tr>
        <w:tc>
          <w:tcPr/>
          <w:p>
            <w:pPr>
              <w:pStyle w:val="Compact"/>
              <w:jc w:val="left"/>
            </w:pPr>
            <w:r>
              <w:t xml:space="preserve">2.5</w:t>
            </w:r>
          </w:p>
        </w:tc>
        <w:tc>
          <w:tcPr/>
          <w:p>
            <w:pPr>
              <w:pStyle w:val="Compact"/>
              <w:jc w:val="center"/>
            </w:pPr>
            <w:r>
              <w:t xml:space="preserve">0/8 (0.551)</w:t>
            </w:r>
          </w:p>
        </w:tc>
        <w:tc>
          <w:tcPr/>
          <w:p>
            <w:pPr>
              <w:pStyle w:val="Compact"/>
              <w:jc w:val="center"/>
            </w:pPr>
            <w:r>
              <w:t xml:space="preserve">0/8 (0.725)</w:t>
            </w:r>
          </w:p>
        </w:tc>
        <w:tc>
          <w:tcPr/>
          <w:p>
            <w:pPr>
              <w:pStyle w:val="Compact"/>
              <w:jc w:val="center"/>
            </w:pPr>
            <w:r>
              <w:t xml:space="preserve">3/8 (0.886)</w:t>
            </w:r>
          </w:p>
        </w:tc>
        <w:tc>
          <w:tcPr/>
          <w:p>
            <w:pPr>
              <w:pStyle w:val="Compact"/>
              <w:jc w:val="center"/>
            </w:pPr>
            <w:r>
              <w:t xml:space="preserve">7/8 (0.942)</w:t>
            </w:r>
          </w:p>
        </w:tc>
        <w:tc>
          <w:tcPr/>
          <w:p>
            <w:pPr>
              <w:pStyle w:val="Compact"/>
              <w:jc w:val="center"/>
            </w:pPr>
            <w:r>
              <w:t xml:space="preserve">7/8 (0.947)</w:t>
            </w:r>
          </w:p>
        </w:tc>
      </w:tr>
      <w:tr>
        <w:tc>
          <w:tcPr/>
          <w:p>
            <w:pPr>
              <w:pStyle w:val="Compact"/>
              <w:jc w:val="left"/>
            </w:pPr>
            <w:r>
              <w:t xml:space="preserve">2.75</w:t>
            </w:r>
          </w:p>
        </w:tc>
        <w:tc>
          <w:tcPr/>
          <w:p>
            <w:pPr>
              <w:pStyle w:val="Compact"/>
              <w:jc w:val="center"/>
            </w:pPr>
            <w:r>
              <w:t xml:space="preserve">0/8 (0.469)</w:t>
            </w:r>
          </w:p>
        </w:tc>
        <w:tc>
          <w:tcPr/>
          <w:p>
            <w:pPr>
              <w:pStyle w:val="Compact"/>
              <w:jc w:val="center"/>
            </w:pPr>
            <w:r>
              <w:t xml:space="preserve">0/8 (0.728)</w:t>
            </w:r>
          </w:p>
        </w:tc>
        <w:tc>
          <w:tcPr/>
          <w:p>
            <w:pPr>
              <w:pStyle w:val="Compact"/>
              <w:jc w:val="center"/>
            </w:pPr>
            <w:r>
              <w:t xml:space="preserve">3/8 (0.839)</w:t>
            </w:r>
          </w:p>
        </w:tc>
        <w:tc>
          <w:tcPr/>
          <w:p>
            <w:pPr>
              <w:pStyle w:val="Compact"/>
              <w:jc w:val="center"/>
            </w:pPr>
            <w:r>
              <w:t xml:space="preserve">6/8 (0.922)</w:t>
            </w:r>
          </w:p>
        </w:tc>
        <w:tc>
          <w:tcPr/>
          <w:p>
            <w:pPr>
              <w:pStyle w:val="Compact"/>
              <w:jc w:val="center"/>
            </w:pPr>
            <w:r>
              <w:t xml:space="preserve">5/8 (0.921)</w:t>
            </w:r>
          </w:p>
        </w:tc>
      </w:tr>
      <w:tr>
        <w:tc>
          <w:tcPr/>
          <w:p>
            <w:pPr>
              <w:pStyle w:val="Compact"/>
              <w:jc w:val="left"/>
            </w:pPr>
            <w:r>
              <w:t xml:space="preserve">3.0</w:t>
            </w:r>
          </w:p>
        </w:tc>
        <w:tc>
          <w:tcPr/>
          <w:p>
            <w:pPr>
              <w:pStyle w:val="Compact"/>
              <w:jc w:val="center"/>
            </w:pPr>
            <w:r>
              <w:t xml:space="preserve">0/8 (0.412)</w:t>
            </w:r>
          </w:p>
        </w:tc>
        <w:tc>
          <w:tcPr/>
          <w:p>
            <w:pPr>
              <w:pStyle w:val="Compact"/>
              <w:jc w:val="center"/>
            </w:pPr>
            <w:r>
              <w:t xml:space="preserve">0/8 (0.594)</w:t>
            </w:r>
          </w:p>
        </w:tc>
        <w:tc>
          <w:tcPr/>
          <w:p>
            <w:pPr>
              <w:pStyle w:val="Compact"/>
              <w:jc w:val="center"/>
            </w:pPr>
            <w:r>
              <w:t xml:space="preserve">1/8 (0.811)</w:t>
            </w:r>
          </w:p>
        </w:tc>
        <w:tc>
          <w:tcPr/>
          <w:p>
            <w:pPr>
              <w:pStyle w:val="Compact"/>
              <w:jc w:val="center"/>
            </w:pPr>
            <w:r>
              <w:t xml:space="preserve">6/8 (0.918)</w:t>
            </w:r>
          </w:p>
        </w:tc>
        <w:tc>
          <w:tcPr/>
          <w:p>
            <w:pPr>
              <w:pStyle w:val="Compact"/>
              <w:jc w:val="center"/>
            </w:pPr>
            <w:r>
              <w:t xml:space="preserve">5/8 (0.906)</w:t>
            </w:r>
          </w:p>
        </w:tc>
      </w:tr>
    </w:tbl>
    <w:bookmarkEnd w:id="71"/>
    <w:bookmarkEnd w:id="72"/>
    <w:bookmarkStart w:id="119" w:name="app:breadth"/>
    <w:p>
      <w:pPr>
        <w:pStyle w:val="Heading1"/>
      </w:pPr>
      <w:r>
        <w:rPr>
          <w:rStyle w:val="SectionNumber"/>
        </w:rPr>
        <w:t xml:space="preserve">10</w:t>
      </w:r>
      <w:r>
        <w:tab/>
      </w:r>
      <w:r>
        <w:t xml:space="preserve">Breadth versus composition in the injection pool</w:t>
      </w:r>
    </w:p>
    <w:p>
      <w:pPr>
        <w:pStyle w:val="FirstParagraph"/>
      </w:pPr>
      <w:r>
        <w:t xml:space="preserve">The rescue comparison in §</w:t>
      </w:r>
      <w:hyperlink w:anchor="sec:results-rescue">
        <w:r>
          <w:rPr>
            <w:rStyle w:val="Hyperlink"/>
          </w:rPr>
          <w:t xml:space="preserve">4.2</w:t>
        </w:r>
      </w:hyperlink>
      <w:r>
        <w:t xml:space="preserve"> </w:t>
      </w:r>
      <w:r>
        <w:t xml:space="preserve">shows that a targeted pool of the</w:t>
      </w:r>
      <w:r>
        <w:t xml:space="preserve"> </w:t>
      </w:r>
      <m:oMath>
        <m:r>
          <m:t>N</m:t>
        </m:r>
        <m:r>
          <m:rPr>
            <m:sty m:val="p"/>
          </m:rPr>
          <m:t>/</m:t>
        </m:r>
        <m:r>
          <m:t>10</m:t>
        </m:r>
        <m:r>
          <m:rPr>
            <m:sty m:val="p"/>
          </m:rPr>
          <m:t>=</m:t>
        </m:r>
        <m:r>
          <m:t>102</m:t>
        </m:r>
      </m:oMath>
      <w:r>
        <w:t xml:space="preserve"> </w:t>
      </w:r>
      <w:r>
        <w:t xml:space="preserve">rarest non-bottleneck states, §3.4’s rare-but-short-carry pool, excluding all bottleneck states with carry length</w:t>
      </w:r>
      <w:r>
        <w:t xml:space="preserve"> </w:t>
      </w:r>
      <m:oMath>
        <m:r>
          <m:t>c</m:t>
        </m:r>
        <m:d>
          <m:dPr>
            <m:begChr m:val="("/>
            <m:endChr m:val=")"/>
            <m:sepChr m:val=""/>
            <m:grow/>
          </m:dPr>
          <m:e>
            <m:r>
              <m:t>x</m:t>
            </m:r>
          </m:e>
        </m:d>
        <m:r>
          <m:rPr>
            <m:sty m:val="p"/>
          </m:rPr>
          <m:t>≥</m:t>
        </m:r>
        <m:r>
          <m:t>n</m:t>
        </m:r>
        <m:r>
          <m:rPr>
            <m:sty m:val="p"/>
          </m:rPr>
          <m:t>/</m:t>
        </m:r>
        <m:r>
          <m:t>2</m:t>
        </m:r>
      </m:oMath>
      <w:r>
        <w:t xml:space="preserve">, achieves only partial credit, mean</w:t>
      </w:r>
      <w:r>
        <w:t xml:space="preserve"> </w:t>
      </w:r>
      <m:oMath>
        <m:r>
          <m:t>0.750</m:t>
        </m:r>
      </m:oMath>
      <w:r>
        <w:t xml:space="preserve">, while injection drawn from the full state space, which does include the 32 bottleneck states, achieves complete rescue, mean</w:t>
      </w:r>
      <w:r>
        <w:t xml:space="preserve"> </w:t>
      </w:r>
      <m:oMath>
        <m:r>
          <m:t>0.956</m:t>
        </m:r>
      </m:oMath>
      <w:r>
        <w:t xml:space="preserve">. Because these two conditions differ in both breadth, 102 vs. 1024 candidate states, and composition, bottleneck states excluded vs. included, this comparison alone cannot say which property is responsible.</w:t>
      </w:r>
    </w:p>
    <w:p>
      <w:pPr>
        <w:pStyle w:val="BodyText"/>
      </w:pPr>
      <w:r>
        <w:t xml:space="preserve">We isolate breadth by holding composition fixed: bottleneck states,</w:t>
      </w:r>
      <w:r>
        <w:t xml:space="preserve"> </w:t>
      </w:r>
      <m:oMath>
        <m:r>
          <m:t>c</m:t>
        </m:r>
        <m:d>
          <m:dPr>
            <m:begChr m:val="("/>
            <m:endChr m:val=")"/>
            <m:sepChr m:val=""/>
            <m:grow/>
          </m:dPr>
          <m:e>
            <m:r>
              <m:t>x</m:t>
            </m:r>
          </m:e>
        </m:d>
        <m:r>
          <m:rPr>
            <m:sty m:val="p"/>
          </m:rPr>
          <m:t>≥</m:t>
        </m:r>
        <m:r>
          <m:t>n</m:t>
        </m:r>
        <m:r>
          <m:rPr>
            <m:sty m:val="p"/>
          </m:rPr>
          <m:t>/</m:t>
        </m:r>
        <m:r>
          <m:t>2</m:t>
        </m:r>
      </m:oMath>
      <w:r>
        <w:t xml:space="preserve">, 32 of 1024 states, are excluded from the injection pool at every setting, and only the pool size</w:t>
      </w:r>
      <w:r>
        <w:t xml:space="preserve"> </w:t>
      </w:r>
      <m:oMath>
        <m:r>
          <m:t>K</m:t>
        </m:r>
      </m:oMath>
      <w:r>
        <w:t xml:space="preserve"> </w:t>
      </w:r>
      <w:r>
        <w:t xml:space="preserve">among the remaining 992 non-bottleneck states is varied,</w:t>
      </w:r>
      <w:r>
        <w:t xml:space="preserve"> </w:t>
      </w:r>
      <m:oMath>
        <m:r>
          <m:t>K</m:t>
        </m:r>
        <m:r>
          <m:rPr>
            <m:sty m:val="p"/>
          </m:rPr>
          <m:t>∈</m:t>
        </m:r>
        <m:r>
          <m:rPr>
            <m:sty m:val="p"/>
          </m:rPr>
          <m:t>{</m:t>
        </m:r>
        <m:r>
          <m:t>102</m:t>
        </m:r>
        <m:r>
          <m:rPr>
            <m:sty m:val="p"/>
          </m:rPr>
          <m:t>,</m:t>
        </m:r>
        <m:r>
          <m:t>300</m:t>
        </m:r>
        <m:r>
          <m:rPr>
            <m:sty m:val="p"/>
          </m:rPr>
          <m:t>,</m:t>
        </m:r>
        <m:r>
          <m:t>600</m:t>
        </m:r>
        <m:r>
          <m:rPr>
            <m:sty m:val="p"/>
          </m:rPr>
          <m:t>,</m:t>
        </m:r>
        <m:r>
          <m:t>992</m:t>
        </m:r>
        <m:r>
          <m:rPr>
            <m:sty m:val="p"/>
          </m:rPr>
          <m:t>}</m:t>
        </m:r>
      </m:oMath>
      <w:r>
        <w:t xml:space="preserve">, the</w:t>
      </w:r>
      <w:r>
        <w:t xml:space="preserve"> </w:t>
      </w:r>
      <m:oMath>
        <m:r>
          <m:t>K</m:t>
        </m:r>
      </m:oMath>
      <w:r>
        <w:t xml:space="preserve"> </w:t>
      </w:r>
      <w:r>
        <w:t xml:space="preserve">non-bottleneck states with the lowest</w:t>
      </w:r>
      <w:r>
        <w:t xml:space="preserve"> </w:t>
      </w:r>
      <m:oMath>
        <m:sSub>
          <m:e>
            <m:r>
              <m:t>P</m:t>
            </m:r>
          </m:e>
          <m:sub>
            <m:r>
              <m:t>α</m:t>
            </m:r>
          </m:sub>
        </m:sSub>
      </m:oMath>
      <w:r>
        <w:t xml:space="preserve"> </w:t>
      </w:r>
      <w:r>
        <w:t xml:space="preserve">weight, at the same cell as the rescue battery,</w:t>
      </w:r>
      <w:r>
        <w:t xml:space="preserve"> </w:t>
      </w:r>
      <m:oMath>
        <m:r>
          <m:t>α</m:t>
        </m:r>
        <m:r>
          <m:rPr>
            <m:sty m:val="p"/>
          </m:rPr>
          <m:t>=</m:t>
        </m:r>
        <m:r>
          <m:t>2.5</m:t>
        </m:r>
      </m:oMath>
      <w:r>
        <w:t xml:space="preserve">,</w:t>
      </w:r>
      <w:r>
        <w:t xml:space="preserve"> </w:t>
      </w:r>
      <m:oMath>
        <m:r>
          <m:t>λ</m:t>
        </m:r>
        <m:r>
          <m:rPr>
            <m:sty m:val="p"/>
          </m:rPr>
          <m:t>=</m:t>
        </m:r>
        <m:r>
          <m:t>0.3</m:t>
        </m:r>
      </m:oMath>
      <w:r>
        <w:t xml:space="preserve">,</w:t>
      </w:r>
      <w:r>
        <w:t xml:space="preserve"> </w:t>
      </w:r>
      <m:oMath>
        <m:r>
          <m:t>k</m:t>
        </m:r>
        <m:r>
          <m:rPr>
            <m:sty m:val="p"/>
          </m:rPr>
          <m:t>=</m:t>
        </m:r>
        <m:r>
          <m:t>1</m:t>
        </m:r>
      </m:oMath>
      <w:r>
        <w:t xml:space="preserve"> </w:t>
      </w:r>
      <w:r>
        <w:t xml:space="preserve">per batch of 128, 8 seeds.</w:t>
      </w:r>
      <w:r>
        <w:t xml:space="preserve"> </w:t>
      </w:r>
      <m:oMath>
        <m:r>
          <m:t>K</m:t>
        </m:r>
        <m:r>
          <m:rPr>
            <m:sty m:val="p"/>
          </m:rPr>
          <m:t>=</m:t>
        </m:r>
        <m:r>
          <m:t>102</m:t>
        </m:r>
      </m:oMath>
      <w:r>
        <w:t xml:space="preserve"> </w:t>
      </w:r>
      <w:r>
        <w:t xml:space="preserve">reproduces the rare-but-short-carry pool exactly.</w:t>
      </w:r>
    </w:p>
    <w:bookmarkStart w:id="73" w:name="tab:breadth"/>
    <w:p>
      <w:pPr>
        <w:pStyle w:val="TableCaption"/>
      </w:pPr>
      <w:r>
        <w:t xml:space="preserve">Breadth-only sweep with bottleneck states permanently excluded from the injection pool: fraction generalizing and mean</w:t>
      </w:r>
      <w:r>
        <w:t xml:space="preserve"> </w:t>
      </w:r>
      <m:oMath>
        <m:sSub>
          <m:e>
            <m:r>
              <m:t>A</m:t>
            </m:r>
          </m:e>
          <m:sub>
            <m:r>
              <m:rPr>
                <m:sty m:val="p"/>
              </m:rPr>
              <m:t>u</m:t>
            </m:r>
            <m:r>
              <m:rPr>
                <m:sty m:val="p"/>
              </m:rPr>
              <m:t>n</m:t>
            </m:r>
            <m:r>
              <m:rPr>
                <m:sty m:val="p"/>
              </m:rPr>
              <m:t>i</m:t>
            </m:r>
            <m:r>
              <m:rPr>
                <m:sty m:val="p"/>
              </m:rPr>
              <m:t>f</m:t>
            </m:r>
          </m:sub>
        </m:sSub>
      </m:oMath>
      <w:r>
        <w:t xml:space="preserve">, 8 seeds/cell.</w:t>
      </w:r>
    </w:p>
    <w:tbl>
      <w:tblPr>
        <w:tblStyle w:val="Table"/>
        <w:tblW w:type="auto" w:w="0"/>
        <w:tblLook w:firstRow="1" w:lastRow="0" w:firstColumn="0" w:lastColumn="0" w:noHBand="0" w:noVBand="0" w:val="0020"/>
        <w:jc w:val="start"/>
        <w:tblCaption w:val="Breadth-only sweep with bottleneck states permanently excluded from the injection pool: fraction generalizing and mean A_{\mathrm{unif}}, 8 seeds/cell."/>
      </w:tblPr>
      <w:tblGrid>
        <w:gridCol w:w="2640"/>
        <w:gridCol w:w="2640"/>
        <w:gridCol w:w="2640"/>
      </w:tblGrid>
      <w:tr>
        <w:trPr>
          <w:tblHeader w:val="true"/>
        </w:trPr>
        <w:tc>
          <w:tcPr/>
          <w:p>
            <w:pPr>
              <w:pStyle w:val="Compact"/>
              <w:jc w:val="left"/>
            </w:pPr>
            <m:oMath>
              <m:r>
                <m:t>K</m:t>
              </m:r>
            </m:oMath>
            <w:r>
              <w:t xml:space="preserve"> </w:t>
            </w:r>
            <w:r>
              <w:t xml:space="preserve">(non-bottleneck pool size)</w:t>
            </w:r>
          </w:p>
        </w:tc>
        <w:tc>
          <w:tcPr/>
          <w:p>
            <w:pPr>
              <w:pStyle w:val="Compact"/>
              <w:jc w:val="center"/>
            </w:pPr>
            <w:r>
              <w:t xml:space="preserve">Fraction generalizing</w:t>
            </w:r>
          </w:p>
        </w:tc>
        <w:tc>
          <w:tcPr/>
          <w:p>
            <w:pPr>
              <w:pStyle w:val="Compact"/>
              <w:jc w:val="center"/>
            </w:pPr>
            <w:r>
              <w:t xml:space="preserve">Mean</w:t>
            </w:r>
            <w:r>
              <w:t xml:space="preserve"> </w:t>
            </w:r>
            <m:oMath>
              <m:sSub>
                <m:e>
                  <m:r>
                    <m:t>A</m:t>
                  </m:r>
                </m:e>
                <m:sub>
                  <m:r>
                    <m:rPr>
                      <m:sty m:val="p"/>
                    </m:rPr>
                    <m:t>u</m:t>
                  </m:r>
                  <m:r>
                    <m:rPr>
                      <m:sty m:val="p"/>
                    </m:rPr>
                    <m:t>n</m:t>
                  </m:r>
                  <m:r>
                    <m:rPr>
                      <m:sty m:val="p"/>
                    </m:rPr>
                    <m:t>i</m:t>
                  </m:r>
                  <m:r>
                    <m:rPr>
                      <m:sty m:val="p"/>
                    </m:rPr>
                    <m:t>f</m:t>
                  </m:r>
                </m:sub>
              </m:sSub>
            </m:oMath>
          </w:p>
        </w:tc>
      </w:tr>
      <w:tr>
        <w:tc>
          <w:tcPr/>
          <w:p>
            <w:pPr>
              <w:pStyle w:val="Compact"/>
              <w:jc w:val="left"/>
            </w:pPr>
            <w:r>
              <w:t xml:space="preserve">102</w:t>
            </w:r>
          </w:p>
        </w:tc>
        <w:tc>
          <w:tcPr/>
          <w:p>
            <w:pPr>
              <w:pStyle w:val="Compact"/>
              <w:jc w:val="center"/>
            </w:pPr>
            <w:r>
              <w:t xml:space="preserve">0/8</w:t>
            </w:r>
          </w:p>
        </w:tc>
        <w:tc>
          <w:tcPr/>
          <w:p>
            <w:pPr>
              <w:pStyle w:val="Compact"/>
              <w:jc w:val="center"/>
            </w:pPr>
            <w:r>
              <w:t xml:space="preserve">0.750</w:t>
            </w:r>
          </w:p>
        </w:tc>
      </w:tr>
      <w:tr>
        <w:tc>
          <w:tcPr/>
          <w:p>
            <w:pPr>
              <w:pStyle w:val="Compact"/>
              <w:jc w:val="left"/>
            </w:pPr>
            <w:r>
              <w:t xml:space="preserve">300</w:t>
            </w:r>
          </w:p>
        </w:tc>
        <w:tc>
          <w:tcPr/>
          <w:p>
            <w:pPr>
              <w:pStyle w:val="Compact"/>
              <w:jc w:val="center"/>
            </w:pPr>
            <w:r>
              <w:t xml:space="preserve">1/8</w:t>
            </w:r>
          </w:p>
        </w:tc>
        <w:tc>
          <w:tcPr/>
          <w:p>
            <w:pPr>
              <w:pStyle w:val="Compact"/>
              <w:jc w:val="center"/>
            </w:pPr>
            <w:r>
              <w:t xml:space="preserve">0.852</w:t>
            </w:r>
          </w:p>
        </w:tc>
      </w:tr>
      <w:tr>
        <w:tc>
          <w:tcPr/>
          <w:p>
            <w:pPr>
              <w:pStyle w:val="Compact"/>
              <w:jc w:val="left"/>
            </w:pPr>
            <w:r>
              <w:t xml:space="preserve">600</w:t>
            </w:r>
          </w:p>
        </w:tc>
        <w:tc>
          <w:tcPr/>
          <w:p>
            <w:pPr>
              <w:pStyle w:val="Compact"/>
              <w:jc w:val="center"/>
            </w:pPr>
            <w:r>
              <w:t xml:space="preserve">8/8</w:t>
            </w:r>
          </w:p>
        </w:tc>
        <w:tc>
          <w:tcPr/>
          <w:p>
            <w:pPr>
              <w:pStyle w:val="Compact"/>
              <w:jc w:val="center"/>
            </w:pPr>
            <w:r>
              <w:t xml:space="preserve">0.947</w:t>
            </w:r>
          </w:p>
        </w:tc>
      </w:tr>
      <w:tr>
        <w:tc>
          <w:tcPr/>
          <w:p>
            <w:pPr>
              <w:pStyle w:val="Compact"/>
              <w:jc w:val="left"/>
            </w:pPr>
            <w:r>
              <w:t xml:space="preserve">992</w:t>
            </w:r>
          </w:p>
        </w:tc>
        <w:tc>
          <w:tcPr/>
          <w:p>
            <w:pPr>
              <w:pStyle w:val="Compact"/>
              <w:jc w:val="center"/>
            </w:pPr>
            <w:r>
              <w:t xml:space="preserve">7/8</w:t>
            </w:r>
          </w:p>
        </w:tc>
        <w:tc>
          <w:tcPr/>
          <w:p>
            <w:pPr>
              <w:pStyle w:val="Compact"/>
              <w:jc w:val="center"/>
            </w:pPr>
            <w:r>
              <w:t xml:space="preserve">0.949</w:t>
            </w:r>
          </w:p>
        </w:tc>
      </w:tr>
    </w:tbl>
    <w:bookmarkEnd w:id="73"/>
    <w:p>
      <w:pPr>
        <w:pStyle w:val="BodyText"/>
      </w:pPr>
      <w:r>
        <w:t xml:space="preserve">Generalization rises monotonically with</w:t>
      </w:r>
      <w:r>
        <w:t xml:space="preserve"> </w:t>
      </w:r>
      <m:oMath>
        <m:r>
          <m:t>K</m:t>
        </m:r>
      </m:oMath>
      <w:r>
        <w:t xml:space="preserve"> </w:t>
      </w:r>
      <w:r>
        <w:t xml:space="preserve">and reaches complete rescue at</w:t>
      </w:r>
      <w:r>
        <w:t xml:space="preserve"> </w:t>
      </w:r>
      <m:oMath>
        <m:r>
          <m:t>K</m:t>
        </m:r>
        <m:r>
          <m:rPr>
            <m:sty m:val="p"/>
          </m:rPr>
          <m:t>=</m:t>
        </m:r>
        <m:r>
          <m:t>600</m:t>
        </m:r>
      </m:oMath>
      <w:r>
        <w:t xml:space="preserve">, with</w:t>
      </w:r>
      <w:r>
        <w:t xml:space="preserve"> </w:t>
      </w:r>
      <m:oMath>
        <m:r>
          <m:t>K</m:t>
        </m:r>
        <m:r>
          <m:rPr>
            <m:sty m:val="p"/>
          </m:rPr>
          <m:t>=</m:t>
        </m:r>
        <m:r>
          <m:t>992</m:t>
        </m:r>
      </m:oMath>
      <w:r>
        <w:t xml:space="preserve">, all non-bottleneck states, still excluding every bottleneck state, statistically matching full-state uniform injection’s mean,</w:t>
      </w:r>
      <w:r>
        <w:t xml:space="preserve"> </w:t>
      </w:r>
      <m:oMath>
        <m:r>
          <m:t>0.949</m:t>
        </m:r>
      </m:oMath>
      <w:r>
        <w:t xml:space="preserve"> </w:t>
      </w:r>
      <w:r>
        <w:t xml:space="preserve">vs. </w:t>
      </w:r>
      <m:oMath>
        <m:r>
          <m:t>0.956</m:t>
        </m:r>
      </m:oMath>
      <w:r>
        <w:t xml:space="preserve">. Bottleneck-state inclusion is therefore not necessary for rescue at this cell: breadth among non-bottleneck states alone is sufficient once the pool is large enough, and the partial credit of the original</w:t>
      </w:r>
      <w:r>
        <w:t xml:space="preserve"> </w:t>
      </w:r>
      <m:oMath>
        <m:r>
          <m:t>K</m:t>
        </m:r>
        <m:r>
          <m:rPr>
            <m:sty m:val="p"/>
          </m:rPr>
          <m:t>=</m:t>
        </m:r>
        <m:r>
          <m:t>102</m:t>
        </m:r>
      </m:oMath>
      <w:r>
        <w:t xml:space="preserve"> </w:t>
      </w:r>
      <w:r>
        <w:t xml:space="preserve">rare-but-short-carry pool reflects insufficient breadth rather than the absence of bottleneck states per se.</w:t>
      </w:r>
    </w:p>
    <w:bookmarkStart w:id="118" w:name="refs"/>
    <w:bookmarkStart w:id="74" w:name="ref-bengio2009curriculum"/>
    <w:p>
      <w:pPr>
        <w:pStyle w:val="Bibliography"/>
      </w:pPr>
      <w:r>
        <w:t xml:space="preserve">Bengio, Yoshua, Jérôme Louradour, Ronan Collobert, and Jason Weston. 2009.</w:t>
      </w:r>
      <w:r>
        <w:t xml:space="preserve"> </w:t>
      </w:r>
      <w:r>
        <w:t xml:space="preserve">“Curriculum Learning.”</w:t>
      </w:r>
      <w:r>
        <w:t xml:space="preserve"> </w:t>
      </w:r>
      <w:r>
        <w:t xml:space="preserve">In</w:t>
      </w:r>
      <w:r>
        <w:t xml:space="preserve"> </w:t>
      </w:r>
      <w:r>
        <w:rPr>
          <w:iCs/>
          <w:i/>
        </w:rPr>
        <w:t xml:space="preserve">Proceedings of the 26th Annual International Conference on Machine Learning</w:t>
      </w:r>
      <w:r>
        <w:t xml:space="preserve">, 41–48.</w:t>
      </w:r>
    </w:p>
    <w:bookmarkEnd w:id="74"/>
    <w:bookmarkStart w:id="75" w:name="ref-bergstrasser2026succinct"/>
    <w:p>
      <w:pPr>
        <w:pStyle w:val="Bibliography"/>
      </w:pPr>
      <w:r>
        <w:t xml:space="preserve">Bergsträßer, Pascal, Ryan Cotterell, and Anthony W Lin. 2026.</w:t>
      </w:r>
      <w:r>
        <w:t xml:space="preserve"> </w:t>
      </w:r>
      <w:r>
        <w:t xml:space="preserve">“Transformers Are Inherently Succinct.”</w:t>
      </w:r>
      <w:r>
        <w:t xml:space="preserve"> </w:t>
      </w:r>
      <w:r>
        <w:t xml:space="preserve">In</w:t>
      </w:r>
      <w:r>
        <w:t xml:space="preserve"> </w:t>
      </w:r>
      <w:r>
        <w:rPr>
          <w:iCs/>
          <w:i/>
        </w:rPr>
        <w:t xml:space="preserve">International Conference on Learning Representations</w:t>
      </w:r>
      <w:r>
        <w:t xml:space="preserve">.</w:t>
      </w:r>
    </w:p>
    <w:bookmarkEnd w:id="75"/>
    <w:bookmarkStart w:id="76" w:name="ref-bhattamishra2020ability"/>
    <w:p>
      <w:pPr>
        <w:pStyle w:val="Bibliography"/>
      </w:pPr>
      <w:r>
        <w:t xml:space="preserve">Bhattamishra, Satwik, Kabir Ahuja, and Navin Goyal. 2020.</w:t>
      </w:r>
      <w:r>
        <w:t xml:space="preserve"> </w:t>
      </w:r>
      <w:r>
        <w:t xml:space="preserve">“On the Ability and Limitations of Transformers to Recognize Formal Languages.”</w:t>
      </w:r>
      <w:r>
        <w:t xml:space="preserve"> </w:t>
      </w:r>
      <w:r>
        <w:t xml:space="preserve">In</w:t>
      </w:r>
      <w:r>
        <w:t xml:space="preserve"> </w:t>
      </w:r>
      <w:r>
        <w:rPr>
          <w:iCs/>
          <w:i/>
        </w:rPr>
        <w:t xml:space="preserve">Empirical Methods in Natural Language Processing</w:t>
      </w:r>
      <w:r>
        <w:t xml:space="preserve">.</w:t>
      </w:r>
    </w:p>
    <w:bookmarkEnd w:id="76"/>
    <w:bookmarkStart w:id="77" w:name="ref-bi2026falsifiable"/>
    <w:p>
      <w:pPr>
        <w:pStyle w:val="Bibliography"/>
      </w:pPr>
      <w:r>
        <w:t xml:space="preserve">Bi, Yuda, Chenyu Zhang, Qiheng Wang, and Vince D Calhoun. 2026.</w:t>
      </w:r>
      <w:r>
        <w:t xml:space="preserve"> </w:t>
      </w:r>
      <w:r>
        <w:t xml:space="preserve">“Grokking as a Falsifiable Finite-Size Transition.”</w:t>
      </w:r>
      <w:r>
        <w:t xml:space="preserve"> </w:t>
      </w:r>
      <w:r>
        <w:rPr>
          <w:iCs/>
          <w:i/>
        </w:rPr>
        <w:t xml:space="preserve">arXiv Preprint arXiv:2603.24746</w:t>
      </w:r>
      <w:r>
        <w:t xml:space="preserve">.</w:t>
      </w:r>
    </w:p>
    <w:bookmarkEnd w:id="77"/>
    <w:bookmarkStart w:id="78" w:name="ref-carvalho2025grokkingexplained"/>
    <w:p>
      <w:pPr>
        <w:pStyle w:val="Bibliography"/>
      </w:pPr>
      <w:r>
        <w:t xml:space="preserve">Carvalho, Breno W, Artur S d’Avila Garcez, Luís C Lamb, and Emílio Vital Brazil. 2025.</w:t>
      </w:r>
      <w:r>
        <w:t xml:space="preserve"> </w:t>
      </w:r>
      <w:r>
        <w:t xml:space="preserve">“Grokking Explained: A Statistical Phenomenon.”</w:t>
      </w:r>
      <w:r>
        <w:t xml:space="preserve"> </w:t>
      </w:r>
      <w:r>
        <w:rPr>
          <w:iCs/>
          <w:i/>
        </w:rPr>
        <w:t xml:space="preserve">arXiv Preprint arXiv:2502.01774</w:t>
      </w:r>
      <w:r>
        <w:t xml:space="preserve">.</w:t>
      </w:r>
    </w:p>
    <w:bookmarkEnd w:id="78"/>
    <w:bookmarkStart w:id="79" w:name="ref-chughtai2023toymodel"/>
    <w:p>
      <w:pPr>
        <w:pStyle w:val="Bibliography"/>
      </w:pPr>
      <w:r>
        <w:t xml:space="preserve">Chughtai, Bilal, Lawrence Chan, and Neel Nanda. 2023.</w:t>
      </w:r>
      <w:r>
        <w:t xml:space="preserve"> </w:t>
      </w:r>
      <w:r>
        <w:t xml:space="preserve">“A Toy Model of Universality: Reverse Engineering How Networks Learn Group Operations.”</w:t>
      </w:r>
      <w:r>
        <w:t xml:space="preserve"> </w:t>
      </w:r>
      <w:r>
        <w:t xml:space="preserve">In</w:t>
      </w:r>
      <w:r>
        <w:t xml:space="preserve"> </w:t>
      </w:r>
      <w:r>
        <w:rPr>
          <w:iCs/>
          <w:i/>
        </w:rPr>
        <w:t xml:space="preserve">International Conference on Machine Learning</w:t>
      </w:r>
      <w:r>
        <w:t xml:space="preserve">.</w:t>
      </w:r>
    </w:p>
    <w:bookmarkEnd w:id="79"/>
    <w:bookmarkStart w:id="80" w:name="ref-dealvis2024longtailsurvey"/>
    <w:p>
      <w:pPr>
        <w:pStyle w:val="Bibliography"/>
      </w:pPr>
      <w:r>
        <w:t xml:space="preserve">De Alvis, Charika, and Suranga Seneviratne. 2024.</w:t>
      </w:r>
      <w:r>
        <w:t xml:space="preserve"> </w:t>
      </w:r>
      <w:r>
        <w:t xml:space="preserve">“A Survey of Deep Long-Tail Classification Advancements.”</w:t>
      </w:r>
      <w:r>
        <w:t xml:space="preserve"> </w:t>
      </w:r>
      <w:r>
        <w:rPr>
          <w:iCs/>
          <w:i/>
        </w:rPr>
        <w:t xml:space="preserve">arXiv Preprint arXiv:2404.15593</w:t>
      </w:r>
      <w:r>
        <w:t xml:space="preserve">.</w:t>
      </w:r>
    </w:p>
    <w:bookmarkEnd w:id="80"/>
    <w:bookmarkStart w:id="81" w:name="ref-demoss2024complexitydynamics"/>
    <w:p>
      <w:pPr>
        <w:pStyle w:val="Bibliography"/>
      </w:pPr>
      <w:r>
        <w:t xml:space="preserve">DeMoss, Branton, Silvia Sapora, Jakob Foerster, Nick Hawes, and Ingmar Posner. 2025.</w:t>
      </w:r>
      <w:r>
        <w:t xml:space="preserve"> </w:t>
      </w:r>
      <w:r>
        <w:t xml:space="preserve">“The Complexity Dynamics of Grokking.”</w:t>
      </w:r>
      <w:r>
        <w:t xml:space="preserve"> </w:t>
      </w:r>
      <w:r>
        <w:rPr>
          <w:iCs/>
          <w:i/>
        </w:rPr>
        <w:t xml:space="preserve">Physica D: Nonlinear Phenomena</w:t>
      </w:r>
      <w:r>
        <w:t xml:space="preserve"> </w:t>
      </w:r>
      <w:r>
        <w:t xml:space="preserve">482: 134859.</w:t>
      </w:r>
    </w:p>
    <w:bookmarkEnd w:id="81"/>
    <w:bookmarkStart w:id="82" w:name="ref-doshi2023togrok"/>
    <w:p>
      <w:pPr>
        <w:pStyle w:val="Bibliography"/>
      </w:pPr>
      <w:r>
        <w:t xml:space="preserve">Doshi, Darshil, Aritra Das, Tianyu He, and Andrey Gromov. 2023.</w:t>
      </w:r>
      <w:r>
        <w:t xml:space="preserve"> </w:t>
      </w:r>
      <w:r>
        <w:t xml:space="preserve">“To Grok or Not to Grok: Disentangling Generalization and Memorization on Corrupted Algorithmic Datasets.”</w:t>
      </w:r>
      <w:r>
        <w:t xml:space="preserve"> </w:t>
      </w:r>
      <w:r>
        <w:rPr>
          <w:iCs/>
          <w:i/>
        </w:rPr>
        <w:t xml:space="preserve">arXiv Preprint arXiv:2310.13061</w:t>
      </w:r>
      <w:r>
        <w:t xml:space="preserve">.</w:t>
      </w:r>
    </w:p>
    <w:bookmarkEnd w:id="82"/>
    <w:bookmarkStart w:id="83" w:name="ref-doshi2024modularpolynomials"/>
    <w:p>
      <w:pPr>
        <w:pStyle w:val="Bibliography"/>
      </w:pPr>
      <w:r>
        <w:t xml:space="preserve">Doshi, Darshil, Tianyu He, Aritra Das, and Andrey Gromov. 2024.</w:t>
      </w:r>
      <w:r>
        <w:t xml:space="preserve"> </w:t>
      </w:r>
      <w:r>
        <w:t xml:space="preserve">“Grokking Modular Polynomials.”</w:t>
      </w:r>
      <w:r>
        <w:t xml:space="preserve"> </w:t>
      </w:r>
      <w:r>
        <w:rPr>
          <w:iCs/>
          <w:i/>
        </w:rPr>
        <w:t xml:space="preserve">arXiv Preprint arXiv:2406.03495</w:t>
      </w:r>
      <w:r>
        <w:t xml:space="preserve">.</w:t>
      </w:r>
    </w:p>
    <w:bookmarkEnd w:id="83"/>
    <w:bookmarkStart w:id="84" w:name="ref-ebrahimi2020dyckn"/>
    <w:p>
      <w:pPr>
        <w:pStyle w:val="Bibliography"/>
      </w:pPr>
      <w:r>
        <w:t xml:space="preserve">Ebrahimi, Javid, Dhruv Gelda, and Wei Zhang. 2020.</w:t>
      </w:r>
      <w:r>
        <w:t xml:space="preserve"> </w:t>
      </w:r>
      <w:r>
        <w:t xml:space="preserve">“How Can Self-Attention Networks Recognize Dyck-n Languages?”</w:t>
      </w:r>
      <w:r>
        <w:t xml:space="preserve"> In</w:t>
      </w:r>
      <w:r>
        <w:t xml:space="preserve"> </w:t>
      </w:r>
      <w:r>
        <w:rPr>
          <w:iCs/>
          <w:i/>
        </w:rPr>
        <w:t xml:space="preserve">Findings of the Association for Computational Linguistics: EMNLP 2020</w:t>
      </w:r>
      <w:r>
        <w:t xml:space="preserve">, 4301–6.</w:t>
      </w:r>
    </w:p>
    <w:bookmarkEnd w:id="84"/>
    <w:bookmarkStart w:id="85" w:name="ref-gromov2023grokkingmodular"/>
    <w:p>
      <w:pPr>
        <w:pStyle w:val="Bibliography"/>
      </w:pPr>
      <w:r>
        <w:t xml:space="preserve">Gromov, Andrey. 2023.</w:t>
      </w:r>
      <w:r>
        <w:t xml:space="preserve"> </w:t>
      </w:r>
      <w:r>
        <w:t xml:space="preserve">“Grokking Modular Arithmetic.”</w:t>
      </w:r>
      <w:r>
        <w:t xml:space="preserve"> </w:t>
      </w:r>
      <w:r>
        <w:rPr>
          <w:iCs/>
          <w:i/>
        </w:rPr>
        <w:t xml:space="preserve">arXiv Preprint arXiv:2301.02679</w:t>
      </w:r>
      <w:r>
        <w:t xml:space="preserve">.</w:t>
      </w:r>
    </w:p>
    <w:bookmarkEnd w:id="85"/>
    <w:bookmarkStart w:id="86" w:name="ref-howe2026representationalpriors"/>
    <w:p>
      <w:pPr>
        <w:pStyle w:val="Bibliography"/>
      </w:pPr>
      <w:r>
        <w:t xml:space="preserve">Howe, Gunner Levi. 2026.</w:t>
      </w:r>
      <w:r>
        <w:t xml:space="preserve"> </w:t>
      </w:r>
      <w:r>
        <w:t xml:space="preserve">“Structure-Specific Representational Priors Causally Control the Grokking Delay.”</w:t>
      </w:r>
      <w:r>
        <w:t xml:space="preserve"> </w:t>
      </w:r>
      <w:r>
        <w:rPr>
          <w:iCs/>
          <w:i/>
        </w:rPr>
        <w:t xml:space="preserve">arXiv Preprint arXiv:2607.04333</w:t>
      </w:r>
      <w:r>
        <w:t xml:space="preserve">.</w:t>
      </w:r>
    </w:p>
    <w:bookmarkEnd w:id="86"/>
    <w:bookmarkStart w:id="87" w:name="ref-kim2026weightdecayclock"/>
    <w:p>
      <w:pPr>
        <w:pStyle w:val="Bibliography"/>
      </w:pPr>
      <w:r>
        <w:t xml:space="preserve">Kim, Taeyoung. 2026.</w:t>
      </w:r>
      <w:r>
        <w:t xml:space="preserve"> </w:t>
      </w:r>
      <w:r>
        <w:t xml:space="preserve">“Grokking on the Weight-Decay Clock: A Rate Hierarchy from Softly Broken Symmetries.”</w:t>
      </w:r>
      <w:r>
        <w:t xml:space="preserve"> </w:t>
      </w:r>
      <w:r>
        <w:rPr>
          <w:iCs/>
          <w:i/>
        </w:rPr>
        <w:t xml:space="preserve">arXiv Preprint arXiv:2607.23967</w:t>
      </w:r>
      <w:r>
        <w:t xml:space="preserve">.</w:t>
      </w:r>
    </w:p>
    <w:bookmarkEnd w:id="87"/>
    <w:bookmarkStart w:id="88" w:name="ref-liu2022effectivetheory"/>
    <w:p>
      <w:pPr>
        <w:pStyle w:val="Bibliography"/>
      </w:pPr>
      <w:r>
        <w:t xml:space="preserve">Liu, Ziming, Ouail Kitouni, Niklas Nolte, Eric J Michaud, Max Tegmark, and Mike Williams. 2022.</w:t>
      </w:r>
      <w:r>
        <w:t xml:space="preserve"> </w:t>
      </w:r>
      <w:r>
        <w:t xml:space="preserve">“Towards Understanding Grokking: An Effective Theory of Representation Learning.”</w:t>
      </w:r>
      <w:r>
        <w:t xml:space="preserve"> </w:t>
      </w:r>
      <w:r>
        <w:t xml:space="preserve">In</w:t>
      </w:r>
      <w:r>
        <w:t xml:space="preserve"> </w:t>
      </w:r>
      <w:r>
        <w:rPr>
          <w:iCs/>
          <w:i/>
        </w:rPr>
        <w:t xml:space="preserve">Advances in Neural Information Processing Systems</w:t>
      </w:r>
      <w:r>
        <w:t xml:space="preserve">, 35:34651–63.</w:t>
      </w:r>
    </w:p>
    <w:bookmarkEnd w:id="88"/>
    <w:bookmarkStart w:id="89" w:name="ref-liu2022omnigrok"/>
    <w:p>
      <w:pPr>
        <w:pStyle w:val="Bibliography"/>
      </w:pPr>
      <w:r>
        <w:t xml:space="preserve">Liu, Ziming, Eric J Michaud, and Max Tegmark. 2023.</w:t>
      </w:r>
      <w:r>
        <w:t xml:space="preserve"> </w:t>
      </w:r>
      <w:r>
        <w:t xml:space="preserve">“Omnigrok: Grokking Beyond Algorithmic Data.”</w:t>
      </w:r>
      <w:r>
        <w:t xml:space="preserve"> </w:t>
      </w:r>
      <w:r>
        <w:t xml:space="preserve">In</w:t>
      </w:r>
      <w:r>
        <w:t xml:space="preserve"> </w:t>
      </w:r>
      <w:r>
        <w:rPr>
          <w:iCs/>
          <w:i/>
        </w:rPr>
        <w:t xml:space="preserve">International Conference on Learning Representations</w:t>
      </w:r>
      <w:r>
        <w:t xml:space="preserve">.</w:t>
      </w:r>
    </w:p>
    <w:bookmarkEnd w:id="89"/>
    <w:bookmarkStart w:id="90" w:name="ref-liu2023grokkingcompression"/>
    <w:p>
      <w:pPr>
        <w:pStyle w:val="Bibliography"/>
      </w:pPr>
      <w:r>
        <w:t xml:space="preserve">Liu, Ziming, Ziqian Zhong, and Max Tegmark. 2023.</w:t>
      </w:r>
      <w:r>
        <w:t xml:space="preserve"> </w:t>
      </w:r>
      <w:r>
        <w:t xml:space="preserve">“Grokking as Compression: A Nonlinear Complexity Perspective.”</w:t>
      </w:r>
      <w:r>
        <w:t xml:space="preserve"> </w:t>
      </w:r>
      <w:r>
        <w:rPr>
          <w:iCs/>
          <w:i/>
        </w:rPr>
        <w:t xml:space="preserve">arXiv Preprint arXiv:2310.05918</w:t>
      </w:r>
      <w:r>
        <w:t xml:space="preserve">.</w:t>
      </w:r>
    </w:p>
    <w:bookmarkEnd w:id="90"/>
    <w:bookmarkStart w:id="91" w:name="ref-loshchilov2019decoupled"/>
    <w:p>
      <w:pPr>
        <w:pStyle w:val="Bibliography"/>
      </w:pPr>
      <w:r>
        <w:t xml:space="preserve">Loshchilov, Ilya, and Frank Hutter. 2019.</w:t>
      </w:r>
      <w:r>
        <w:t xml:space="preserve"> </w:t>
      </w:r>
      <w:r>
        <w:t xml:space="preserve">“Decoupled Weight Decay Regularization.”</w:t>
      </w:r>
      <w:r>
        <w:t xml:space="preserve"> </w:t>
      </w:r>
      <w:r>
        <w:rPr>
          <w:iCs/>
          <w:i/>
        </w:rPr>
        <w:t xml:space="preserve">International Conference on Learning Representations</w:t>
      </w:r>
      <w:r>
        <w:t xml:space="preserve">.</w:t>
      </w:r>
    </w:p>
    <w:bookmarkEnd w:id="91"/>
    <w:bookmarkStart w:id="92" w:name="ref-lyu2024dichotomy"/>
    <w:p>
      <w:pPr>
        <w:pStyle w:val="Bibliography"/>
      </w:pPr>
      <w:r>
        <w:t xml:space="preserve">Lyu, Kaifeng, Jikai Jin, Zhiyuan Li, Simon S Du, Jason D Lee, and Wei Hu. 2024.</w:t>
      </w:r>
      <w:r>
        <w:t xml:space="preserve"> </w:t>
      </w:r>
      <w:r>
        <w:t xml:space="preserve">“Dichotomy of Early and Late Phase Implicit Biases Can Provably Induce Grokking.”</w:t>
      </w:r>
      <w:r>
        <w:t xml:space="preserve"> </w:t>
      </w:r>
      <w:r>
        <w:t xml:space="preserve">In</w:t>
      </w:r>
      <w:r>
        <w:t xml:space="preserve"> </w:t>
      </w:r>
      <w:r>
        <w:rPr>
          <w:iCs/>
          <w:i/>
        </w:rPr>
        <w:t xml:space="preserve">International Conference on Learning Representations</w:t>
      </w:r>
      <w:r>
        <w:t xml:space="preserve">.</w:t>
      </w:r>
    </w:p>
    <w:bookmarkEnd w:id="92"/>
    <w:bookmarkStart w:id="93" w:name="ref-mccracken2025universalabstract"/>
    <w:p>
      <w:pPr>
        <w:pStyle w:val="Bibliography"/>
      </w:pPr>
      <w:r>
        <w:t xml:space="preserve">McCracken, Gavin, Gabriela Moisescu-Pareja, Vincent Létourneau, Doina Precup, and Jonathan Love. 2025.</w:t>
      </w:r>
      <w:r>
        <w:t xml:space="preserve"> </w:t>
      </w:r>
      <w:r>
        <w:t xml:space="preserve">“Uncovering a Universal Abstract Algorithm for Modular Addition in Neural Networks.”</w:t>
      </w:r>
      <w:r>
        <w:t xml:space="preserve"> </w:t>
      </w:r>
      <w:r>
        <w:rPr>
          <w:iCs/>
          <w:i/>
        </w:rPr>
        <w:t xml:space="preserve">arXiv Preprint arXiv:2505.18266</w:t>
      </w:r>
      <w:r>
        <w:t xml:space="preserve">.</w:t>
      </w:r>
    </w:p>
    <w:bookmarkEnd w:id="93"/>
    <w:bookmarkStart w:id="94" w:name="ref-demellokoch2025twophase"/>
    <w:p>
      <w:pPr>
        <w:pStyle w:val="Bibliography"/>
      </w:pPr>
      <w:r>
        <w:t xml:space="preserve">Mello Koch, Robert de, and Animik Ghosh. 2025.</w:t>
      </w:r>
      <w:r>
        <w:t xml:space="preserve"> </w:t>
      </w:r>
      <w:r>
        <w:t xml:space="preserve">“A Two-Phase Perspective on Deep Learning Dynamics.”</w:t>
      </w:r>
      <w:r>
        <w:t xml:space="preserve"> </w:t>
      </w:r>
      <w:r>
        <w:rPr>
          <w:iCs/>
          <w:i/>
        </w:rPr>
        <w:t xml:space="preserve">arXiv Preprint arXiv:2504.12700</w:t>
      </w:r>
      <w:r>
        <w:t xml:space="preserve">.</w:t>
      </w:r>
    </w:p>
    <w:bookmarkEnd w:id="94"/>
    <w:bookmarkStart w:id="95" w:name="ref-merrill2022saturated"/>
    <w:p>
      <w:pPr>
        <w:pStyle w:val="Bibliography"/>
      </w:pPr>
      <w:r>
        <w:t xml:space="preserve">Merrill, William, and Ashish Sabharwal. 2022.</w:t>
      </w:r>
      <w:r>
        <w:t xml:space="preserve"> </w:t>
      </w:r>
      <w:r>
        <w:t xml:space="preserve">“Saturated Transformers Are Constant-Depth Threshold Circuits.”</w:t>
      </w:r>
      <w:r>
        <w:t xml:space="preserve"> </w:t>
      </w:r>
      <w:r>
        <w:rPr>
          <w:iCs/>
          <w:i/>
        </w:rPr>
        <w:t xml:space="preserve">Transactions of the Association for Computational Linguistics</w:t>
      </w:r>
      <w:r>
        <w:t xml:space="preserve">.</w:t>
      </w:r>
    </w:p>
    <w:bookmarkEnd w:id="95"/>
    <w:bookmarkStart w:id="96" w:name="ref-mohamadi2024whygrok"/>
    <w:p>
      <w:pPr>
        <w:pStyle w:val="Bibliography"/>
      </w:pPr>
      <w:r>
        <w:t xml:space="preserve">Mohamadi, Mohamad Amin, Zhiyuan Li, Lei Wu, and Danica J Sutherland. 2024.</w:t>
      </w:r>
      <w:r>
        <w:t xml:space="preserve"> </w:t>
      </w:r>
      <w:r>
        <w:t xml:space="preserve">“Why Do You Grok? A Theoretical Analysis of Grokking Modular Addition.”</w:t>
      </w:r>
      <w:r>
        <w:t xml:space="preserve"> </w:t>
      </w:r>
      <w:r>
        <w:t xml:space="preserve">In</w:t>
      </w:r>
      <w:r>
        <w:t xml:space="preserve"> </w:t>
      </w:r>
      <w:r>
        <w:rPr>
          <w:iCs/>
          <w:i/>
        </w:rPr>
        <w:t xml:space="preserve">International Conference on Machine Learning</w:t>
      </w:r>
      <w:r>
        <w:t xml:space="preserve">.</w:t>
      </w:r>
    </w:p>
    <w:bookmarkEnd w:id="96"/>
    <w:bookmarkStart w:id="97" w:name="ref-nanda2023progress"/>
    <w:p>
      <w:pPr>
        <w:pStyle w:val="Bibliography"/>
      </w:pPr>
      <w:r>
        <w:t xml:space="preserve">Nanda, Neel, Lawrence Chan, Tom Lieberum, Jess Smith, and Jacob Steinhardt. 2023.</w:t>
      </w:r>
      <w:r>
        <w:t xml:space="preserve"> </w:t>
      </w:r>
      <w:r>
        <w:t xml:space="preserve">“Progress Measures for Grokking via Mechanistic Interpretability.”</w:t>
      </w:r>
      <w:r>
        <w:t xml:space="preserve"> </w:t>
      </w:r>
      <w:r>
        <w:t xml:space="preserve">In</w:t>
      </w:r>
      <w:r>
        <w:t xml:space="preserve"> </w:t>
      </w:r>
      <w:r>
        <w:rPr>
          <w:iCs/>
          <w:i/>
        </w:rPr>
        <w:t xml:space="preserve">International Conference on Learning Representations</w:t>
      </w:r>
      <w:r>
        <w:t xml:space="preserve">.</w:t>
      </w:r>
    </w:p>
    <w:bookmarkEnd w:id="97"/>
    <w:bookmarkStart w:id="98" w:name="ref-power2022grokking"/>
    <w:p>
      <w:pPr>
        <w:pStyle w:val="Bibliography"/>
      </w:pPr>
      <w:r>
        <w:t xml:space="preserve">Power, Alethea, Yuri Burda, Harri Edwards, Igor Babuschkin, and Vedant Misra. 2022.</w:t>
      </w:r>
      <w:r>
        <w:t xml:space="preserve"> </w:t>
      </w:r>
      <w:r>
        <w:t xml:space="preserve">“Grokking: Generalization Beyond Overfitting on Small Algorithmic Datasets.”</w:t>
      </w:r>
      <w:r>
        <w:t xml:space="preserve"> </w:t>
      </w:r>
      <w:r>
        <w:rPr>
          <w:iCs/>
          <w:i/>
        </w:rPr>
        <w:t xml:space="preserve">arXiv Preprint arXiv:2201.02177</w:t>
      </w:r>
      <w:r>
        <w:t xml:space="preserve">.</w:t>
      </w:r>
    </w:p>
    <w:bookmarkEnd w:id="98"/>
    <w:bookmarkStart w:id="99" w:name="ref-prakash2026longhorizon"/>
    <w:p>
      <w:pPr>
        <w:pStyle w:val="Bibliography"/>
      </w:pPr>
      <w:r>
        <w:t xml:space="preserve">Prakash, Hari K, and Charles H Martin. 2026a.</w:t>
      </w:r>
      <w:r>
        <w:t xml:space="preserve"> </w:t>
      </w:r>
      <w:r>
        <w:t xml:space="preserve">“Detecting Overfitting in Neural Networks During Long-Horizon Grokking Using Random Matrix Theory.”</w:t>
      </w:r>
      <w:r>
        <w:t xml:space="preserve"> </w:t>
      </w:r>
      <w:r>
        <w:rPr>
          <w:iCs/>
          <w:i/>
        </w:rPr>
        <w:t xml:space="preserve">arXiv Preprint arXiv:2605.12394</w:t>
      </w:r>
      <w:r>
        <w:t xml:space="preserve">.</w:t>
      </w:r>
    </w:p>
    <w:bookmarkEnd w:id="99"/>
    <w:bookmarkStart w:id="100" w:name="ref-prakash2026antigrokking"/>
    <w:p>
      <w:pPr>
        <w:pStyle w:val="Bibliography"/>
      </w:pPr>
      <w:r>
        <w:t xml:space="preserve">———. 2026b.</w:t>
      </w:r>
      <w:r>
        <w:t xml:space="preserve"> </w:t>
      </w:r>
      <w:r>
        <w:t xml:space="preserve">“Late-Stage Generalization Collapse in Grokking: Detecting Anti-Grokking with WeightWatcher.”</w:t>
      </w:r>
      <w:r>
        <w:t xml:space="preserve"> </w:t>
      </w:r>
      <w:r>
        <w:rPr>
          <w:iCs/>
          <w:i/>
        </w:rPr>
        <w:t xml:space="preserve">arXiv Preprint arXiv:2602.02859</w:t>
      </w:r>
      <w:r>
        <w:t xml:space="preserve">.</w:t>
      </w:r>
    </w:p>
    <w:bookmarkEnd w:id="100"/>
    <w:bookmarkStart w:id="101" w:name="ref-rubin2024firstorder"/>
    <w:p>
      <w:pPr>
        <w:pStyle w:val="Bibliography"/>
      </w:pPr>
      <w:r>
        <w:t xml:space="preserve">Rubin, Noa, Inbar Seroussi, and Zohar Ringel. 2024.</w:t>
      </w:r>
      <w:r>
        <w:t xml:space="preserve"> </w:t>
      </w:r>
      <w:r>
        <w:t xml:space="preserve">“Droplets of Good Representations: Grokking as a First Order Phase Transition in Two Layer Networks.”</w:t>
      </w:r>
      <w:r>
        <w:t xml:space="preserve"> </w:t>
      </w:r>
      <w:r>
        <w:t xml:space="preserve">In</w:t>
      </w:r>
      <w:r>
        <w:t xml:space="preserve"> </w:t>
      </w:r>
      <w:r>
        <w:rPr>
          <w:iCs/>
          <w:i/>
        </w:rPr>
        <w:t xml:space="preserve">International Conference on Learning Representations</w:t>
      </w:r>
      <w:r>
        <w:t xml:space="preserve">.</w:t>
      </w:r>
    </w:p>
    <w:bookmarkEnd w:id="101"/>
    <w:bookmarkStart w:id="102" w:name="ref-singh2025datafallsshort"/>
    <w:p>
      <w:pPr>
        <w:pStyle w:val="Bibliography"/>
      </w:pPr>
      <w:r>
        <w:t xml:space="preserve">Singh, Vaibhav, Eugene Belilovsky, and Rahaf Aljundi. 2025.</w:t>
      </w:r>
      <w:r>
        <w:t xml:space="preserve"> </w:t>
      </w:r>
      <w:r>
        <w:t xml:space="preserve">“When Data Falls Short: Grokking Below the Critical Threshold.”</w:t>
      </w:r>
      <w:r>
        <w:t xml:space="preserve"> </w:t>
      </w:r>
      <w:r>
        <w:rPr>
          <w:iCs/>
          <w:i/>
        </w:rPr>
        <w:t xml:space="preserve">arXiv Preprint arXiv:2511.04760</w:t>
      </w:r>
      <w:r>
        <w:t xml:space="preserve">.</w:t>
      </w:r>
    </w:p>
    <w:bookmarkEnd w:id="102"/>
    <w:bookmarkStart w:id="103" w:name="ref-sivasankar2026circuitsync"/>
    <w:p>
      <w:pPr>
        <w:pStyle w:val="Bibliography"/>
      </w:pPr>
      <w:r>
        <w:t xml:space="preserve">Sivasankar, Achyuthan. 2026.</w:t>
      </w:r>
      <w:r>
        <w:t xml:space="preserve"> </w:t>
      </w:r>
      <w:r>
        <w:t xml:space="preserve">“Circuit Synchronization Precedes Generalization: A Causal Precursor to Grokking.”</w:t>
      </w:r>
      <w:r>
        <w:t xml:space="preserve"> </w:t>
      </w:r>
      <w:r>
        <w:rPr>
          <w:iCs/>
          <w:i/>
        </w:rPr>
        <w:t xml:space="preserve">arXiv Preprint arXiv:2606.12966</w:t>
      </w:r>
      <w:r>
        <w:t xml:space="preserve">.</w:t>
      </w:r>
    </w:p>
    <w:bookmarkEnd w:id="103"/>
    <w:bookmarkStart w:id="104" w:name="ref-strobl2024survey"/>
    <w:p>
      <w:pPr>
        <w:pStyle w:val="Bibliography"/>
      </w:pPr>
      <w:r>
        <w:t xml:space="preserve">Strobl, Lena, William Merrill, Gail Weiss, David Chiang, and Dana Angluin. 2024.</w:t>
      </w:r>
      <w:r>
        <w:t xml:space="preserve"> </w:t>
      </w:r>
      <w:r>
        <w:t xml:space="preserve">“What Formal Languages Can Transformers Express? A Survey.”</w:t>
      </w:r>
      <w:r>
        <w:t xml:space="preserve"> </w:t>
      </w:r>
      <w:r>
        <w:rPr>
          <w:iCs/>
          <w:i/>
        </w:rPr>
        <w:t xml:space="preserve">Transactions of the Association for Computational Linguistics</w:t>
      </w:r>
      <w:r>
        <w:t xml:space="preserve">.</w:t>
      </w:r>
    </w:p>
    <w:bookmarkEnd w:id="104"/>
    <w:bookmarkStart w:id="105" w:name="ref-su2021roformer"/>
    <w:p>
      <w:pPr>
        <w:pStyle w:val="Bibliography"/>
      </w:pPr>
      <w:r>
        <w:t xml:space="preserve">Su, Jianlin, Yu Lu, Shengfeng Pan, Ahmed Murtadha, Bo Wen, and Yunfeng Liu. 2021.</w:t>
      </w:r>
      <w:r>
        <w:t xml:space="preserve"> </w:t>
      </w:r>
      <w:r>
        <w:t xml:space="preserve">“RoFormer: Enhanced Transformer with Rotary Position Embedding.”</w:t>
      </w:r>
      <w:r>
        <w:t xml:space="preserve"> </w:t>
      </w:r>
      <w:r>
        <w:rPr>
          <w:iCs/>
          <w:i/>
        </w:rPr>
        <w:t xml:space="preserve">arXiv Preprint arXiv:2104.09864</w:t>
      </w:r>
      <w:r>
        <w:t xml:space="preserve">.</w:t>
      </w:r>
    </w:p>
    <w:bookmarkEnd w:id="105"/>
    <w:bookmarkStart w:id="106" w:name="ref-truong2026spectralentropy"/>
    <w:p>
      <w:pPr>
        <w:pStyle w:val="Bibliography"/>
      </w:pPr>
      <w:r>
        <w:t xml:space="preserve">Truong, Xuan Khanh, Quynh Hoa Truong, Duc Trung Luu, and Thanh Duc Phan. 2026.</w:t>
      </w:r>
      <w:r>
        <w:t xml:space="preserve"> </w:t>
      </w:r>
      <w:r>
        <w:t xml:space="preserve">“Spectral Entropy Collapse as a Phase Transition in Delayed Generalisation: An Interventional and Predictive Framework for Grokking.”</w:t>
      </w:r>
      <w:r>
        <w:t xml:space="preserve"> </w:t>
      </w:r>
      <w:r>
        <w:rPr>
          <w:iCs/>
          <w:i/>
        </w:rPr>
        <w:t xml:space="preserve">arXiv Preprint arXiv:2604.13123</w:t>
      </w:r>
      <w:r>
        <w:t xml:space="preserve">.</w:t>
      </w:r>
    </w:p>
    <w:bookmarkEnd w:id="106"/>
    <w:bookmarkStart w:id="107" w:name="ref-varma2023circuitefficiency"/>
    <w:p>
      <w:pPr>
        <w:pStyle w:val="Bibliography"/>
      </w:pPr>
      <w:r>
        <w:t xml:space="preserve">Varma, Vikrant, Rohin Shah, Zachary Kenton, János Kramár, and Ramana Kumar. 2023.</w:t>
      </w:r>
      <w:r>
        <w:t xml:space="preserve"> </w:t>
      </w:r>
      <w:r>
        <w:t xml:space="preserve">“Explaining Grokking Through Circuit Efficiency.”</w:t>
      </w:r>
      <w:r>
        <w:t xml:space="preserve"> </w:t>
      </w:r>
      <w:r>
        <w:rPr>
          <w:iCs/>
          <w:i/>
        </w:rPr>
        <w:t xml:space="preserve">arXiv Preprint arXiv:2309.02390</w:t>
      </w:r>
      <w:r>
        <w:t xml:space="preserve">.</w:t>
      </w:r>
    </w:p>
    <w:bookmarkEnd w:id="107"/>
    <w:bookmarkStart w:id="108" w:name="ref-vaswani2017attention"/>
    <w:p>
      <w:pPr>
        <w:pStyle w:val="Bibliography"/>
      </w:pPr>
      <w:r>
        <w:t xml:space="preserve">Vaswani, Ashish, Noam Shazeer, Niki Parmar, Jakob Uszkoreit, Llion Jones, Aidan N Gomez, Lukasz Kaiser, and Illia Polosukhin. 2017.</w:t>
      </w:r>
      <w:r>
        <w:t xml:space="preserve"> </w:t>
      </w:r>
      <w:r>
        <w:t xml:space="preserve">“Attention Is All You Need.”</w:t>
      </w:r>
      <w:r>
        <w:t xml:space="preserve"> </w:t>
      </w:r>
      <w:r>
        <w:t xml:space="preserve">In</w:t>
      </w:r>
      <w:r>
        <w:t xml:space="preserve"> </w:t>
      </w:r>
      <w:r>
        <w:rPr>
          <w:iCs/>
          <w:i/>
        </w:rPr>
        <w:t xml:space="preserve">Advances in Neural Information Processing Systems</w:t>
      </w:r>
      <w:r>
        <w:t xml:space="preserve">.</w:t>
      </w:r>
    </w:p>
    <w:bookmarkEnd w:id="108"/>
    <w:bookmarkStart w:id="109" w:name="ref-wang2026dimensional"/>
    <w:p>
      <w:pPr>
        <w:pStyle w:val="Bibliography"/>
      </w:pPr>
      <w:r>
        <w:t xml:space="preserve">Wang, Ping. 2026.</w:t>
      </w:r>
      <w:r>
        <w:t xml:space="preserve"> </w:t>
      </w:r>
      <w:r>
        <w:t xml:space="preserve">“Grokking as Dimensional Phase Transition in Neural Networks.”</w:t>
      </w:r>
      <w:r>
        <w:t xml:space="preserve"> </w:t>
      </w:r>
      <w:r>
        <w:rPr>
          <w:iCs/>
          <w:i/>
        </w:rPr>
        <w:t xml:space="preserve">arXiv Preprint arXiv:2604.04655</w:t>
      </w:r>
      <w:r>
        <w:t xml:space="preserve">.</w:t>
      </w:r>
    </w:p>
    <w:bookmarkEnd w:id="109"/>
    <w:bookmarkStart w:id="110" w:name="ref-weiss2021thinking"/>
    <w:p>
      <w:pPr>
        <w:pStyle w:val="Bibliography"/>
      </w:pPr>
      <w:r>
        <w:t xml:space="preserve">Weiss, Gail, Yoav Goldberg, and Eran Yahav. 2021.</w:t>
      </w:r>
      <w:r>
        <w:t xml:space="preserve"> </w:t>
      </w:r>
      <w:r>
        <w:t xml:space="preserve">“Thinking Like Transformers.”</w:t>
      </w:r>
      <w:r>
        <w:t xml:space="preserve"> </w:t>
      </w:r>
      <w:r>
        <w:t xml:space="preserve">In</w:t>
      </w:r>
      <w:r>
        <w:t xml:space="preserve"> </w:t>
      </w:r>
      <w:r>
        <w:rPr>
          <w:iCs/>
          <w:i/>
        </w:rPr>
        <w:t xml:space="preserve">International Conference on Machine Learning</w:t>
      </w:r>
      <w:r>
        <w:t xml:space="preserve">, 11080–90.</w:t>
      </w:r>
    </w:p>
    <w:bookmarkEnd w:id="110"/>
    <w:bookmarkStart w:id="111" w:name="ref-xie2024implicitbias"/>
    <w:p>
      <w:pPr>
        <w:pStyle w:val="Bibliography"/>
      </w:pPr>
      <w:r>
        <w:t xml:space="preserve">Xie, Shuo, and Zhiyuan Li. 2024.</w:t>
      </w:r>
      <w:r>
        <w:t xml:space="preserve"> </w:t>
      </w:r>
      <w:r>
        <w:t xml:space="preserve">“Implicit Bias of AdamW:</w:t>
      </w:r>
      <w:r>
        <w:t xml:space="preserve"> </w:t>
      </w:r>
      <m:oMath>
        <m:sSub>
          <m:e>
            <m:r>
              <m:rPr>
                <m:sty m:val="p"/>
              </m:rPr>
              <m:t>ℓ</m:t>
            </m:r>
          </m:e>
          <m:sub>
            <m:r>
              <m:rPr>
                <m:sty m:val="p"/>
              </m:rPr>
              <m:t>∞</m:t>
            </m:r>
          </m:sub>
        </m:sSub>
      </m:oMath>
      <w:r>
        <w:t xml:space="preserve">-Norm Constrained Optimization.”</w:t>
      </w:r>
      <w:r>
        <w:t xml:space="preserve"> </w:t>
      </w:r>
      <w:r>
        <w:t xml:space="preserve">In</w:t>
      </w:r>
      <w:r>
        <w:t xml:space="preserve"> </w:t>
      </w:r>
      <w:r>
        <w:rPr>
          <w:iCs/>
          <w:i/>
        </w:rPr>
        <w:t xml:space="preserve">International Conference on Machine Learning</w:t>
      </w:r>
      <w:r>
        <w:t xml:space="preserve">.</w:t>
      </w:r>
    </w:p>
    <w:bookmarkEnd w:id="111"/>
    <w:bookmarkStart w:id="112" w:name="ref-xu2025letmegrok"/>
    <w:p>
      <w:pPr>
        <w:pStyle w:val="Bibliography"/>
      </w:pPr>
      <w:r>
        <w:t xml:space="preserve">Xu, Zhiwei, Zhiyu Ni, Yixin Wang, and Wei Hu. 2025.</w:t>
      </w:r>
      <w:r>
        <w:t xml:space="preserve"> </w:t>
      </w:r>
      <w:r>
        <w:t xml:space="preserve">“Let Me Grok for You: Accelerating Grokking via Embedding Transfer from a Weaker Model.”</w:t>
      </w:r>
      <w:r>
        <w:t xml:space="preserve"> </w:t>
      </w:r>
      <w:r>
        <w:t xml:space="preserve">In</w:t>
      </w:r>
      <w:r>
        <w:t xml:space="preserve"> </w:t>
      </w:r>
      <w:r>
        <w:rPr>
          <w:iCs/>
          <w:i/>
        </w:rPr>
        <w:t xml:space="preserve">International Conference on Learning Representations</w:t>
      </w:r>
      <w:r>
        <w:t xml:space="preserve">.</w:t>
      </w:r>
    </w:p>
    <w:bookmarkEnd w:id="112"/>
    <w:bookmarkStart w:id="113" w:name="ref-yao2021boundedhierarchical"/>
    <w:p>
      <w:pPr>
        <w:pStyle w:val="Bibliography"/>
      </w:pPr>
      <w:r>
        <w:t xml:space="preserve">Yao, Shunyu, Binghui Peng, Christos Papadimitriou, and Karthik Narasimhan. 2021.</w:t>
      </w:r>
      <w:r>
        <w:t xml:space="preserve"> </w:t>
      </w:r>
      <w:r>
        <w:t xml:space="preserve">“Self-Attention Networks Can Process Bounded Hierarchical Languages.”</w:t>
      </w:r>
      <w:r>
        <w:t xml:space="preserve"> </w:t>
      </w:r>
      <w:r>
        <w:t xml:space="preserve">In</w:t>
      </w:r>
      <w:r>
        <w:t xml:space="preserve"> </w:t>
      </w:r>
      <w:r>
        <w:rPr>
          <w:iCs/>
          <w:i/>
        </w:rPr>
        <w:t xml:space="preserve">Association for Computational Linguistics</w:t>
      </w:r>
      <w:r>
        <w:t xml:space="preserve">.</w:t>
      </w:r>
    </w:p>
    <w:bookmarkEnd w:id="113"/>
    <w:bookmarkStart w:id="114" w:name="ref-zhang2021longtailed"/>
    <w:p>
      <w:pPr>
        <w:pStyle w:val="Bibliography"/>
      </w:pPr>
      <w:r>
        <w:t xml:space="preserve">Zhang, Yifan, Bingyi Kang, Bryan Hooi, Shuicheng Yan, and Jiashi Feng. 2021.</w:t>
      </w:r>
      <w:r>
        <w:t xml:space="preserve"> </w:t>
      </w:r>
      <w:r>
        <w:t xml:space="preserve">“Deep Long-Tailed Learning: A Survey.”</w:t>
      </w:r>
      <w:r>
        <w:t xml:space="preserve"> </w:t>
      </w:r>
      <w:r>
        <w:rPr>
          <w:iCs/>
          <w:i/>
        </w:rPr>
        <w:t xml:space="preserve">arXiv Preprint arXiv:2110.04596</w:t>
      </w:r>
      <w:r>
        <w:t xml:space="preserve">.</w:t>
      </w:r>
    </w:p>
    <w:bookmarkEnd w:id="114"/>
    <w:bookmarkStart w:id="115" w:name="ref-zhao2026grok"/>
    <w:p>
      <w:pPr>
        <w:pStyle w:val="Bibliography"/>
      </w:pPr>
      <w:r>
        <w:t xml:space="preserve">Zhao, Yizheng. 2026.</w:t>
      </w:r>
      <w:r>
        <w:t xml:space="preserve"> </w:t>
      </w:r>
      <w:r>
        <w:t xml:space="preserve">“Do Transformers Grok Succinct Algorithms? Mechanistic Evidence for Counting Circuits.”</w:t>
      </w:r>
      <w:r>
        <w:t xml:space="preserve"> </w:t>
      </w:r>
      <w:r>
        <w:t xml:space="preserve">In</w:t>
      </w:r>
      <w:r>
        <w:t xml:space="preserve"> </w:t>
      </w:r>
      <w:r>
        <w:rPr>
          <w:iCs/>
          <w:i/>
        </w:rPr>
        <w:t xml:space="preserve">Findings of the Association for Computational Linguistics: ACL 2026</w:t>
      </w:r>
      <w:r>
        <w:t xml:space="preserve">, 26114–30.</w:t>
      </w:r>
    </w:p>
    <w:bookmarkEnd w:id="115"/>
    <w:bookmarkStart w:id="116" w:name="ref-zhou2025neuralgrok"/>
    <w:p>
      <w:pPr>
        <w:pStyle w:val="Bibliography"/>
      </w:pPr>
      <w:r>
        <w:t xml:space="preserve">Zhou, Xinyu, Simin Fan, Martin Jaggi, and Jie Fu. 2025.</w:t>
      </w:r>
      <w:r>
        <w:t xml:space="preserve"> </w:t>
      </w:r>
      <w:r>
        <w:t xml:space="preserve">“NeuralGrok: Accelerate Grokking by Neural Gradient Transformation.”</w:t>
      </w:r>
      <w:r>
        <w:t xml:space="preserve"> </w:t>
      </w:r>
      <w:r>
        <w:rPr>
          <w:iCs/>
          <w:i/>
        </w:rPr>
        <w:t xml:space="preserve">arXiv Preprint arXiv:2504.17243</w:t>
      </w:r>
      <w:r>
        <w:t xml:space="preserve">.</w:t>
      </w:r>
    </w:p>
    <w:bookmarkEnd w:id="116"/>
    <w:bookmarkStart w:id="117" w:name="ref-zhu2024criticaldatasize"/>
    <w:p>
      <w:pPr>
        <w:pStyle w:val="Bibliography"/>
      </w:pPr>
      <w:r>
        <w:t xml:space="preserve">Zhu, Xuekai, Yao Fu, Bowen Zhou, and Zhouhan Lin. 2024.</w:t>
      </w:r>
      <w:r>
        <w:t xml:space="preserve"> </w:t>
      </w:r>
      <w:r>
        <w:t xml:space="preserve">“Critical Data Size of Language Models from a Grokking Perspective.”</w:t>
      </w:r>
      <w:r>
        <w:t xml:space="preserve"> </w:t>
      </w:r>
      <w:r>
        <w:rPr>
          <w:iCs/>
          <w:i/>
        </w:rPr>
        <w:t xml:space="preserve">arXiv Preprint arXiv:2401.10463</w:t>
      </w:r>
      <w:r>
        <w:t xml:space="preserve">.</w:t>
      </w:r>
    </w:p>
    <w:bookmarkEnd w:id="117"/>
    <w:bookmarkEnd w:id="118"/>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w="http://schemas.openxmlformats.org/wordprocessingml/2006/main">
  <w:docDefaults>
    <w:rPrDefault>
      <w:rPr>
        <w:rFonts w:ascii="Times New Roman" w:hAnsi="Times New Roman" w:eastAsia="Times New Roman" w:cs="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rPr>
  </w:style>
  <w:style w:styleId="BodyText" w:type="paragraph">
    <w:name w:val="Body Text"/>
    <w:basedOn w:val="Normal"/>
    <w:link w:val="BodyTextChar"/>
    <w:pPr>
      <w:spacing w:after="180" w:before="180"/>
    </w:pPr>
    <w:qFormat/>
    <w:rPr>
      <w:rFonts w:ascii="Times New Roman" w:hAnsi="Times New Roman" w:eastAsia="Times New Roman" w:cs="Times New Roman"/>
    </w:rPr>
  </w:style>
  <w:style w:customStyle="1" w:styleId="FirstParagraph" w:type="paragraph">
    <w:name w:val="First Paragraph"/>
    <w:basedOn w:val="BodyText"/>
    <w:next w:val="BodyText"/>
    <w:qFormat/>
    <w:rPr>
      <w:rFonts w:ascii="Times New Roman" w:hAnsi="Times New Roman" w:eastAsia="Times New Roman" w:cs="Times New Roman"/>
    </w:rPr>
  </w:style>
  <w:style w:customStyle="1" w:styleId="Compact" w:type="paragraph">
    <w:name w:val="Compact"/>
    <w:basedOn w:val="BodyText"/>
    <w:qFormat/>
    <w:pPr>
      <w:spacing w:after="36" w:before="36"/>
    </w:pPr>
    <w:rPr>
      <w:rFonts w:ascii="Times New Roman" w:hAnsi="Times New Roman" w:eastAsia="Times New Roman" w:cs="Times New Roman"/>
    </w:rPr>
  </w:style>
  <w:style w:styleId="Title" w:type="paragraph">
    <w:name w:val="Title"/>
    <w:basedOn w:val="Normal"/>
    <w:next w:val="BodyText"/>
    <w:qFormat/>
    <w:pPr>
      <w:keepNext/>
      <w:keepLines/>
      <w:spacing w:after="240" w:before="480"/>
      <w:jc w:val="center"/>
    </w:pPr>
    <w:rPr>
      <w:rFonts w:ascii="Times New Roman" w:hAnsi="Times New Roman" w:eastAsia="Times New Roman" w:cs="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Fonts w:ascii="Times New Roman" w:hAnsi="Times New Roman" w:eastAsia="Times New Roman" w:cs="Times New Roman"/>
    </w:rPr>
  </w:style>
  <w:style w:customStyle="1" w:styleId="Author" w:type="paragraph">
    <w:name w:val="Author"/>
    <w:next w:val="BodyText"/>
    <w:qFormat/>
    <w:pPr>
      <w:keepNext/>
      <w:keepLines/>
      <w:jc w:val="center"/>
    </w:pPr>
    <w:rPr>
      <w:rFonts w:ascii="Times New Roman" w:hAnsi="Times New Roman" w:eastAsia="Times New Roman" w:cs="Times New Roman"/>
    </w:rPr>
  </w:style>
  <w:style w:styleId="Date" w:type="paragraph">
    <w:name w:val="Date"/>
    <w:next w:val="BodyText"/>
    <w:qFormat/>
    <w:pPr>
      <w:keepNext/>
      <w:keepLines/>
      <w:jc w:val="center"/>
    </w:pPr>
    <w:rPr>
      <w:rFonts w:ascii="Times New Roman" w:hAnsi="Times New Roman" w:eastAsia="Times New Roman" w:cs="Times New Roman"/>
    </w:rPr>
  </w:style>
  <w:style w:customStyle="1" w:styleId="AbstractTitle" w:type="paragraph">
    <w:name w:val="Abstract Title"/>
    <w:basedOn w:val="Normal"/>
    <w:next w:val="Abstract"/>
    <w:qFormat/>
    <w:pPr>
      <w:keepNext/>
      <w:keepLines/>
      <w:jc w:val="center"/>
      <w:spacing w:after="0" w:before="300"/>
    </w:pPr>
    <w:rPr>
      <w:sz w:val="20"/>
      <w:szCs w:val="20"/>
      <w:b/>
      <w:color w:val="345A8A"/>
      &gt;
      <w:rFonts w:ascii="Times New Roman" w:hAnsi="Times New Roman" w:eastAsia="Times New Roman" w:cs="Times New Roman"/>
    </w:rPr>
  </w:style>
  <w:style w:customStyle="1" w:styleId="Abstract" w:type="paragraph">
    <w:name w:val="Abstract"/>
    <w:basedOn w:val="Normal"/>
    <w:next w:val="BodyText"/>
    <w:qFormat/>
    <w:pPr>
      <w:keepNext/>
      <w:keepLines/>
      <w:spacing w:after="300" w:before="100"/>
    </w:pPr>
    <w:rPr>
      <w:sz w:val="20"/>
      <w:szCs w:val="20"/>
      <w:rFonts w:ascii="Times New Roman" w:hAnsi="Times New Roman" w:eastAsia="Times New Roman" w:cs="Times New Roman"/>
    </w:rPr>
  </w:style>
  <w:style w:styleId="Bibliography" w:type="paragraph">
    <w:name w:val="Bibliography"/>
    <w:basedOn w:val="Normal"/>
    <w:next w:val="Bibliography"/>
    <w:qFormat/>
    <w:pPr/>
    <w:rPr>
      <w:rFonts w:ascii="Times New Roman" w:hAnsi="Times New Roman" w:eastAsia="Times New Roman" w:cs="Times New Roman"/>
    </w:rPr>
  </w:style>
  <w:style w:styleId="Heading1" w:type="paragraph">
    <w:name w:val="Heading 1"/>
    <w:basedOn w:val="Normal"/>
    <w:next w:val="BodyText"/>
    <w:uiPriority w:val="9"/>
    <w:qFormat/>
    <w:pPr>
      <w:keepNext/>
      <w:keepLines/>
      <w:spacing w:after="0" w:before="480"/>
      <w:outlineLvl w:val="0"/>
    </w:pPr>
    <w:rPr>
      <w:rFonts w:ascii="Times New Roman" w:hAnsi="Times New Roman" w:eastAsia="Times New Roman" w:cs="Times New Roman"/>
      <w:b/>
      <w:bCs/>
      <w:color w:themeColor="accent1"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eastAsia="Times New Roman" w:cs="Times New Roman"/>
      <w:b/>
      <w:bCs/>
      <w:color w:themeColor="accent1"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eastAsia="Times New Roman" w:cs="Times New Roman"/>
      <w:b/>
      <w:bCs/>
      <w:color w:themeColor="accent1"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eastAsia="Times New Roman" w:cs="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eastAsia="Times New Roman" w:cs="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eastAsia="Times New Roman" w:cs="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eastAsia="Times New Roman" w:cs="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eastAsia="Times New Roman" w:cs="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eastAsia="Times New Roman" w:cs="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Fonts w:ascii="Times New Roman" w:hAnsi="Times New Roman" w:eastAsia="Times New Roman" w:cs="Times New Roman"/>
    </w:rPr>
  </w:style>
  <w:style w:customStyle="1" w:styleId="Definition" w:type="paragraph">
    <w:name w:val="Definition"/>
    <w:basedOn w:val="Normal"/>
  </w:style>
  <w:style w:styleId="Caption" w:type="paragraph">
    <w:name w:val="Caption"/>
    <w:basedOn w:val="Normal"/>
    <w:link w:val="BodyTextChar"/>
    <w:pPr>
      <w:spacing w:after="120" w:before="0"/>
    </w:pPr>
    <w:rPr>
      <w:i/>
      <w:rFonts w:ascii="Times New Roman" w:hAnsi="Times New Roman" w:eastAsia="Times New Roman" w:cs="Times New Roman"/>
    </w:rPr>
  </w:style>
  <w:style w:customStyle="1" w:styleId="TableCaption" w:type="paragraph">
    <w:name w:val="Table Caption"/>
    <w:basedOn w:val="Caption"/>
    <w:pPr>
      <w:keepNext/>
    </w:pPr>
    <w:rPr>
      <w:rFonts w:ascii="Times New Roman" w:hAnsi="Times New Roman" w:eastAsia="Times New Roman" w:cs="Times New Roman"/>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eastAsia="Times New Roman" w:cs="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Fonts w:ascii="Times New Roman" w:hAnsi="Times New Roman" w:eastAsia="Times New Roman" w:cs="Times New Roman"/>
    </w:rPr>
  </w:style>
  <w:style w:styleId="Hyperlink" w:type="character">
    <w:name w:val="Hyperlink"/>
    <w:basedOn w:val="BodyTextChar"/>
    <w:rPr>
      <w:color w:themeColor="accent1" w:val="4F81BD"/>
      <w:rFonts w:ascii="Times New Roman" w:hAnsi="Times New Roman" w:eastAsia="Times New Roman" w:cs="Times New Roman"/>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Fonts w:ascii="Times New Roman" w:hAnsi="Times New Roman" w:eastAsia="Times New Roman" w:cs="Times New Roman"/>
    </w:rPr>
  </w:style>
  <w:style w:type="character" w:customStyle="1" w:styleId="DataTypeTok">
    <w:name w:val="DataTypeTok"/>
    <w:basedOn w:val="VerbatimChar"/>
    <w:rPr>
      <w:color w:val="902000"/>
      <w:rFonts w:ascii="Times New Roman" w:hAnsi="Times New Roman" w:eastAsia="Times New Roman" w:cs="Times New Roman"/>
    </w:rPr>
  </w:style>
  <w:style w:type="character" w:customStyle="1" w:styleId="DecValTok">
    <w:name w:val="DecValTok"/>
    <w:basedOn w:val="VerbatimChar"/>
    <w:rPr>
      <w:color w:val="40a070"/>
      <w:rFonts w:ascii="Times New Roman" w:hAnsi="Times New Roman" w:eastAsia="Times New Roman" w:cs="Times New Roman"/>
    </w:rPr>
  </w:style>
  <w:style w:type="character" w:customStyle="1" w:styleId="BaseNTok">
    <w:name w:val="BaseNTok"/>
    <w:basedOn w:val="VerbatimChar"/>
    <w:rPr>
      <w:color w:val="40a070"/>
      <w:rFonts w:ascii="Times New Roman" w:hAnsi="Times New Roman" w:eastAsia="Times New Roman" w:cs="Times New Roman"/>
    </w:rPr>
  </w:style>
  <w:style w:type="character" w:customStyle="1" w:styleId="FloatTok">
    <w:name w:val="FloatTok"/>
    <w:basedOn w:val="VerbatimChar"/>
    <w:rPr>
      <w:color w:val="40a070"/>
      <w:rFonts w:ascii="Times New Roman" w:hAnsi="Times New Roman" w:eastAsia="Times New Roman" w:cs="Times New Roman"/>
    </w:rPr>
  </w:style>
  <w:style w:type="character" w:customStyle="1" w:styleId="ConstantTok">
    <w:name w:val="ConstantTok"/>
    <w:basedOn w:val="VerbatimChar"/>
    <w:rPr>
      <w:color w:val="880000"/>
      <w:rFonts w:ascii="Times New Roman" w:hAnsi="Times New Roman" w:eastAsia="Times New Roman" w:cs="Times New Roman"/>
    </w:rPr>
  </w:style>
  <w:style w:type="character" w:customStyle="1" w:styleId="CharTok">
    <w:name w:val="CharTok"/>
    <w:basedOn w:val="VerbatimChar"/>
    <w:rPr>
      <w:color w:val="4070a0"/>
      <w:rFonts w:ascii="Times New Roman" w:hAnsi="Times New Roman" w:eastAsia="Times New Roman" w:cs="Times New Roman"/>
    </w:rPr>
  </w:style>
  <w:style w:type="character" w:customStyle="1" w:styleId="SpecialCharTok">
    <w:name w:val="SpecialCharTok"/>
    <w:basedOn w:val="VerbatimChar"/>
    <w:rPr>
      <w:color w:val="4070a0"/>
      <w:rFonts w:ascii="Times New Roman" w:hAnsi="Times New Roman" w:eastAsia="Times New Roman" w:cs="Times New Roman"/>
    </w:rPr>
  </w:style>
  <w:style w:type="character" w:customStyle="1" w:styleId="StringTok">
    <w:name w:val="StringTok"/>
    <w:basedOn w:val="VerbatimChar"/>
    <w:rPr>
      <w:color w:val="4070a0"/>
      <w:rFonts w:ascii="Times New Roman" w:hAnsi="Times New Roman" w:eastAsia="Times New Roman" w:cs="Times New Roman"/>
    </w:rPr>
  </w:style>
  <w:style w:type="character" w:customStyle="1" w:styleId="VerbatimStringTok">
    <w:name w:val="VerbatimStringTok"/>
    <w:basedOn w:val="VerbatimChar"/>
    <w:rPr>
      <w:color w:val="4070a0"/>
      <w:rFonts w:ascii="Times New Roman" w:hAnsi="Times New Roman" w:eastAsia="Times New Roman" w:cs="Times New Roman"/>
    </w:rPr>
  </w:style>
  <w:style w:type="character" w:customStyle="1" w:styleId="SpecialStringTok">
    <w:name w:val="SpecialStringTok"/>
    <w:basedOn w:val="VerbatimChar"/>
    <w:rPr>
      <w:color w:val="bb6688"/>
      <w:rFonts w:ascii="Times New Roman" w:hAnsi="Times New Roman" w:eastAsia="Times New Roman" w:cs="Times New Roman"/>
    </w:rPr>
  </w:style>
  <w:style w:type="character" w:customStyle="1" w:styleId="ImportTok">
    <w:name w:val="ImportTok"/>
    <w:basedOn w:val="VerbatimChar"/>
    <w:rPr>
      <w:color w:val="008000"/>
      <w:b/>
      <w:rFonts w:ascii="Times New Roman" w:hAnsi="Times New Roman" w:eastAsia="Times New Roman" w:cs="Times New Roman"/>
    </w:rPr>
  </w:style>
  <w:style w:type="character" w:customStyle="1" w:styleId="CommentTok">
    <w:name w:val="CommentTok"/>
    <w:basedOn w:val="VerbatimChar"/>
    <w:rPr>
      <w:color w:val="60a0b0"/>
      <w:i/>
      <w:rFonts w:ascii="Times New Roman" w:hAnsi="Times New Roman" w:eastAsia="Times New Roman" w:cs="Times New Roman"/>
    </w:rPr>
  </w:style>
  <w:style w:type="character" w:customStyle="1" w:styleId="DocumentationTok">
    <w:name w:val="DocumentationTok"/>
    <w:basedOn w:val="VerbatimChar"/>
    <w:rPr>
      <w:color w:val="ba2121"/>
      <w:i/>
      <w:rFonts w:ascii="Times New Roman" w:hAnsi="Times New Roman" w:eastAsia="Times New Roman" w:cs="Times New Roman"/>
    </w:rPr>
  </w:style>
  <w:style w:type="character" w:customStyle="1" w:styleId="AnnotationTok">
    <w:name w:val="AnnotationTok"/>
    <w:basedOn w:val="VerbatimChar"/>
    <w:rPr>
      <w:color w:val="60a0b0"/>
      <w:b/>
      <w:i/>
      <w:rFonts w:ascii="Times New Roman" w:hAnsi="Times New Roman" w:eastAsia="Times New Roman" w:cs="Times New Roman"/>
    </w:rPr>
  </w:style>
  <w:style w:type="character" w:customStyle="1" w:styleId="CommentVarTok">
    <w:name w:val="CommentVarTok"/>
    <w:basedOn w:val="VerbatimChar"/>
    <w:rPr>
      <w:color w:val="60a0b0"/>
      <w:b/>
      <w:i/>
      <w:rFonts w:ascii="Times New Roman" w:hAnsi="Times New Roman" w:eastAsia="Times New Roman" w:cs="Times New Roman"/>
    </w:rPr>
  </w:style>
  <w:style w:type="character" w:customStyle="1" w:styleId="OtherTok">
    <w:name w:val="OtherTok"/>
    <w:basedOn w:val="VerbatimChar"/>
    <w:rPr>
      <w:color w:val="007020"/>
      <w:rFonts w:ascii="Times New Roman" w:hAnsi="Times New Roman" w:eastAsia="Times New Roman" w:cs="Times New Roman"/>
    </w:rPr>
  </w:style>
  <w:style w:type="character" w:customStyle="1" w:styleId="FunctionTok">
    <w:name w:val="FunctionTok"/>
    <w:basedOn w:val="VerbatimChar"/>
    <w:rPr>
      <w:color w:val="06287e"/>
      <w:rFonts w:ascii="Times New Roman" w:hAnsi="Times New Roman" w:eastAsia="Times New Roman" w:cs="Times New Roman"/>
    </w:rPr>
  </w:style>
  <w:style w:type="character" w:customStyle="1" w:styleId="VariableTok">
    <w:name w:val="VariableTok"/>
    <w:basedOn w:val="VerbatimChar"/>
    <w:rPr>
      <w:color w:val="19177c"/>
      <w:rFonts w:ascii="Times New Roman" w:hAnsi="Times New Roman" w:eastAsia="Times New Roman" w:cs="Times New Roman"/>
    </w:rPr>
  </w:style>
  <w:style w:type="character" w:customStyle="1" w:styleId="ControlFlowTok">
    <w:name w:val="ControlFlowTok"/>
    <w:basedOn w:val="VerbatimChar"/>
    <w:rPr>
      <w:color w:val="007020"/>
      <w:b/>
      <w:rFonts w:ascii="Times New Roman" w:hAnsi="Times New Roman" w:eastAsia="Times New Roman" w:cs="Times New Roman"/>
    </w:rPr>
  </w:style>
  <w:style w:type="character" w:customStyle="1" w:styleId="OperatorTok">
    <w:name w:val="OperatorTok"/>
    <w:basedOn w:val="VerbatimChar"/>
    <w:rPr>
      <w:color w:val="666666"/>
      <w:rFonts w:ascii="Times New Roman" w:hAnsi="Times New Roman" w:eastAsia="Times New Roman" w:cs="Times New Roman"/>
    </w:rPr>
  </w:style>
  <w:style w:type="character" w:customStyle="1" w:styleId="BuiltInTok">
    <w:name w:val="BuiltInTok"/>
    <w:basedOn w:val="VerbatimChar"/>
    <w:rPr>
      <w:color w:val="008000"/>
      <w:rFonts w:ascii="Times New Roman" w:hAnsi="Times New Roman" w:eastAsia="Times New Roman" w:cs="Times New Roman"/>
    </w:rPr>
  </w:style>
  <w:style w:type="character" w:customStyle="1" w:styleId="ExtensionTok">
    <w:name w:val="ExtensionTok"/>
    <w:basedOn w:val="VerbatimChar"/>
    <w:rPr>
      <w:rFonts w:ascii="Times New Roman" w:hAnsi="Times New Roman" w:eastAsia="Times New Roman" w:cs="Times New Roman"/>
    </w:rPr>
  </w:style>
  <w:style w:type="character" w:customStyle="1" w:styleId="PreprocessorTok">
    <w:name w:val="PreprocessorTok"/>
    <w:basedOn w:val="VerbatimChar"/>
    <w:rPr>
      <w:color w:val="bc7a00"/>
      <w:rFonts w:ascii="Times New Roman" w:hAnsi="Times New Roman" w:eastAsia="Times New Roman" w:cs="Times New Roman"/>
    </w:rPr>
  </w:style>
  <w:style w:type="character" w:customStyle="1" w:styleId="AttributeTok">
    <w:name w:val="AttributeTok"/>
    <w:basedOn w:val="VerbatimChar"/>
    <w:rPr>
      <w:color w:val="7d9029"/>
      <w:rFonts w:ascii="Times New Roman" w:hAnsi="Times New Roman" w:eastAsia="Times New Roman" w:cs="Times New Roman"/>
    </w:rPr>
  </w:style>
  <w:style w:type="character" w:customStyle="1" w:styleId="RegionMarkerTok">
    <w:name w:val="RegionMarkerTok"/>
    <w:basedOn w:val="VerbatimChar"/>
    <w:rPr>
      <w:rFonts w:ascii="Times New Roman" w:hAnsi="Times New Roman" w:eastAsia="Times New Roman" w:cs="Times New Roman"/>
    </w:rPr>
  </w:style>
  <w:style w:type="character" w:customStyle="1" w:styleId="InformationTok">
    <w:name w:val="InformationTok"/>
    <w:basedOn w:val="VerbatimChar"/>
    <w:rPr>
      <w:color w:val="60a0b0"/>
      <w:b/>
      <w:i/>
      <w:rFonts w:ascii="Times New Roman" w:hAnsi="Times New Roman" w:eastAsia="Times New Roman" w:cs="Times New Roman"/>
    </w:rPr>
  </w:style>
  <w:style w:type="character" w:customStyle="1" w:styleId="WarningTok">
    <w:name w:val="WarningTok"/>
    <w:basedOn w:val="VerbatimChar"/>
    <w:rPr>
      <w:color w:val="60a0b0"/>
      <w:b/>
      <w:i/>
      <w:rFonts w:ascii="Times New Roman" w:hAnsi="Times New Roman" w:eastAsia="Times New Roman" w:cs="Times New Roman"/>
    </w:rPr>
  </w:style>
  <w:style w:type="character" w:customStyle="1" w:styleId="AlertTok">
    <w:name w:val="AlertTok"/>
    <w:basedOn w:val="VerbatimChar"/>
    <w:rPr>
      <w:color w:val="ff0000"/>
      <w:b/>
      <w:rFonts w:ascii="Times New Roman" w:hAnsi="Times New Roman" w:eastAsia="Times New Roman" w:cs="Times New Roman"/>
    </w:rPr>
  </w:style>
  <w:style w:type="character" w:customStyle="1" w:styleId="ErrorTok">
    <w:name w:val="ErrorTok"/>
    <w:basedOn w:val="VerbatimChar"/>
    <w:rPr>
      <w:color w:val="ff0000"/>
      <w:b/>
      <w:rFonts w:ascii="Times New Roman" w:hAnsi="Times New Roman" w:eastAsia="Times New Roman" w:cs="Times New Roman"/>
    </w:rPr>
  </w:style>
  <w:style w:type="character" w:customStyle="1" w:styleId="NormalTok">
    <w:name w:val="NormalTok"/>
    <w:basedOn w:val="VerbatimChar"/>
    <w:rPr>
      <w:rFonts w:ascii="Times New Roman" w:hAnsi="Times New Roman" w:eastAsia="Times New Roman" w:cs="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df" /><Relationship Type="http://schemas.openxmlformats.org/officeDocument/2006/relationships/image" Id="rId35" Target="media/rId35.pdf" /><Relationship Type="http://schemas.openxmlformats.org/officeDocument/2006/relationships/image" Id="rId39" Target="media/rId39.pdf" /><Relationship Type="http://schemas.openxmlformats.org/officeDocument/2006/relationships/image" Id="rId48" Target="media/rId48.pdf" /><Relationship Type="http://schemas.openxmlformats.org/officeDocument/2006/relationships/image" Id="rId52" Target="media/rId52.pdf" /><Relationship Type="http://schemas.openxmlformats.org/officeDocument/2006/relationships/image" Id="rId55" Target="media/rId55.pdf" /><Relationship Type="http://schemas.openxmlformats.org/officeDocument/2006/relationships/hyperlink" Id="rId63" Target="https://github.com/yangyangtiaoguo/grokking" TargetMode="External" /></Relationships>
</file>

<file path=word/_rels/footnotes.xml.rels><?xml version="1.0" encoding="UTF-8"?><Relationships xmlns="http://schemas.openxmlformats.org/package/2006/relationships"><Relationship Type="http://schemas.openxmlformats.org/officeDocument/2006/relationships/hyperlink" Id="rId63" Target="https://github.com/yangyangtiaoguo/grokk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Times New Roman"/>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Empirical Phase Diagrams of Grokking Failure under Data Skew, and a Low-Dose Rescue Intervention</dc:title>
  <dc:creator/>
  <cp:keywords/>
  <dcterms:created xsi:type="dcterms:W3CDTF">2026-09-02T15:41:41Z</dcterms:created>
  <dcterms:modified xsi:type="dcterms:W3CDTF">2026-09-02T15:41:41Z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reports an empirical study, not a closed-form theory. We map (\alpha, \lambda) grokkability—data skew against weight decay—on an autoregressive counting task under a finite compute budget of up to 10^6 steps; the resulting boundary is a finite-budget empirical phase diagram, not evidence of an asymptotic phase transition. The onset of substantial rescue probability lies in the 0.4\%–0.8\% injected-dose range; a batch/step-fixed, probabilistically-implemented sweep deconfounds this from batch size and update count and shows a gradual rise rather than the sharper jump seen when batch size varies with dose. A controlled ranking of interventions shows that, among those tested, only injection drawn uniformly across the full state space achieves complete rescue. The failure and rescue pattern transfers to a second arithmetic task, modular addition, under sample-count-matched controls. A third, non-arithmetic task, Dyck-1 forced-position prediction, is included as a deliberately harder out-of-domain stress test: it qualifies rather than confirms the transfer claim, reproducing the failure topology and the injection-ranking direction while falling short of complete rescue and budget-monotonic behavior. All findings are reported at n\le 12, d\le 128 scale.</vt:lpwstr>
  </property>
  <property fmtid="{D5CDD505-2E9C-101B-9397-08002B2CF9AE}" pid="3" name="bibliography">
    <vt:lpwstr>references.bib</vt:lpwstr>
  </property>
  <property fmtid="{D5CDD505-2E9C-101B-9397-08002B2CF9AE}" pid="4" name="date">
    <vt:lpwstr/>
  </property>
</Properties>
</file>