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059168" cy="9144000"/>
            <wp:docPr id="1" name="Picture 1" descr="《亚马逊VC运营手册》2026电子版V0.1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9168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47" w:right="547" w:bottom="547" w:left="547" w:header="720" w:footer="720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0B1F33"/>
          <w:sz w:val="36"/>
        </w:rPr>
        <w:t>出版与版本信息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书名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亚马逊VC运营手册</w:t>
            </w:r>
          </w:p>
        </w:tc>
      </w:tr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副标题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从供应商合作、PO履约到利润增长的系统实战指南</w:t>
            </w:r>
          </w:p>
        </w:tc>
      </w:tr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作者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阳亚运｜天机跨境</w:t>
            </w:r>
          </w:p>
        </w:tc>
      </w:tr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版本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2026电子版 V0.1（基础运营版）</w:t>
            </w:r>
          </w:p>
        </w:tc>
      </w:tr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核验日期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2026年8月12日</w:t>
            </w:r>
          </w:p>
        </w:tc>
      </w:tr>
      <w:tr>
        <w:trPr>
          <w:trHeight w:hRule="atLeast"/>
        </w:trPr>
        <w:tc>
          <w:tcPr>
            <w:tcW w:type="dxa" w:w="220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>定位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9"/>
              </w:rPr>
              <w:t>面向品牌方、工厂、贸易商与VC运营团队的可执行工具书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/>
          <w:color w:val="2E5E82"/>
          <w:sz w:val="24"/>
        </w:rPr>
        <w:t>作者简介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阳亚运，天机跨境主理人，拥有12年跨境电商运营经验、9年创业经验，曾任两家上市公司跨境业务负责人，并担任亚马逊官方特邀讲师。长期专注亚马逊VC+SC精细化运营、选品、广告、Listing质量与AI系统化落地。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2E5E82"/>
          <w:sz w:val="24"/>
        </w:rPr>
        <w:t>版权与免责声明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本书为独立编写的实战资料，不是Amazon或其关联公司的官方出版物。Amazon、Vendor Central及相关产品名称的权利归其权利人所有。后台、合同、政策、税务与法律要求可能变化，读者必须以当前账号、供应商协议、站点Help和专业意见为准。严禁将书中模板用于伪造合规、物流、发票或其他证据。</w:t>
      </w:r>
    </w:p>
    <w:p>
      <w:r>
        <w:br w:type="page"/>
      </w:r>
    </w:p>
    <w:p>
      <w:pPr>
        <w:spacing w:after="100"/>
      </w:pPr>
      <w:r>
        <w:rPr>
          <w:rFonts w:ascii="Noto Sans CJK SC" w:hAnsi="Noto Sans CJK SC" w:eastAsia="Noto Sans CJK SC"/>
          <w:b/>
          <w:color w:val="0B1F33"/>
          <w:sz w:val="40"/>
        </w:rPr>
        <w:t>目录</w:t>
      </w:r>
    </w:p>
    <w:p>
      <w:r>
        <w:rPr>
          <w:rFonts w:ascii="Noto Sans CJK SC" w:hAnsi="Noto Sans CJK SC" w:eastAsia="Noto Sans CJK SC"/>
          <w:b w:val="0"/>
          <w:color w:val="607080"/>
          <w:sz w:val="18"/>
        </w:rPr>
        <w:t>电子版静态目录（章内小节可通过Word导航窗格查看；页码随版本更新而变化）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 w:val="0"/>
          <w:color w:val="17212B"/>
          <w:sz w:val="18"/>
        </w:rPr>
        <w:t>使用说明：先把VC当成一门“批发经营”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第一篇 认知重构：从SC卖家到Amazon供应商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第1章 VC到底是什么：合同、货权与定价权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第2章 账号、Vendor Code与权限体系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第3章 30天VC账号体检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第二篇 目录、上架与合规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第4章 从产品资料包到可售ASIN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第5章 合规、危险品与产品包装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第三篇 PO、物流与履约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第6章 PO全生命周期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第7章 ASN、标签、预约与收货差异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第8章 Direct Fulfillment（DF）运营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第9章 Bulk Buy决策模型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第四篇 利润、定价与谈判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第10章 VC单位经济模型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第11章 PPM、Net PPM与供应商CM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第12章 Cost、List Price与价格压力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第13章 Trade Agreement与年度谈判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第五篇 发票、回款与扣款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第14章 从开票到Remittance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第15章 Chargeback与争议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第16章 PO维度与零售维度双重核算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第六篇 库存、可售与增长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第17章 预测、库存与PO节奏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第18章 可售状态、Featured Offer与购物车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第19章 退货、VOC与质量闭环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第20章 VC广告：以零售可售和利润为前提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第21章 促销、Funding与叠加风险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第22章 SC+VC协同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第七篇 组织、SOP与系统化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第23章 日、周、月、季度运营节奏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第24章 KPI树与管理看板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第25章 与VM沟通和QBR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第26章 团队组织与RACI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第27章 EDI、SP-API与自动化</w:t>
      </w:r>
    </w:p>
    <w:p>
      <w:pPr>
        <w:spacing w:before="160" w:after="60"/>
      </w:pPr>
      <w:r>
        <w:rPr>
          <w:rFonts w:ascii="Noto Sans CJK SC" w:hAnsi="Noto Sans CJK SC" w:eastAsia="Noto Sans CJK SC"/>
          <w:b/>
          <w:color w:val="E98400"/>
          <w:sz w:val="22"/>
        </w:rPr>
        <w:t>第八篇 风险、申诉与持续迭代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第28章 VC风险红线</w:t>
      </w:r>
    </w:p>
    <w:p>
      <w:pPr>
        <w:spacing w:before="0" w:after="30"/>
        <w:ind w:left="317"/>
      </w:pPr>
      <w:r>
        <w:rPr>
          <w:rFonts w:ascii="Noto Sans CJK SC" w:hAnsi="Noto Sans CJK SC" w:eastAsia="Noto Sans CJK SC"/>
          <w:b w:val="0"/>
          <w:color w:val="17212B"/>
          <w:sz w:val="18"/>
        </w:rPr>
        <w:t>第29章 Case与POA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/>
          <w:color w:val="0B1F33"/>
          <w:sz w:val="18"/>
        </w:rPr>
        <w:t>附录A VC核心术语表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/>
          <w:color w:val="0B1F33"/>
          <w:sz w:val="18"/>
        </w:rPr>
        <w:t>附录B 新PO接单检查表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/>
          <w:color w:val="0B1F33"/>
          <w:sz w:val="18"/>
        </w:rPr>
        <w:t>附录C 发票与回款月结检查表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/>
          <w:color w:val="0B1F33"/>
          <w:sz w:val="18"/>
        </w:rPr>
        <w:t>附录D V0.2-V1.0持续写作路线图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/>
          <w:color w:val="0B1F33"/>
          <w:sz w:val="18"/>
        </w:rPr>
        <w:t>附录E 主要官方资料与核验入口</w:t>
      </w:r>
    </w:p>
    <w:p>
      <w:pPr>
        <w:spacing w:before="0" w:after="30"/>
        <w:ind w:left="115"/>
      </w:pPr>
      <w:r>
        <w:rPr>
          <w:rFonts w:ascii="Noto Sans CJK SC" w:hAnsi="Noto Sans CJK SC" w:eastAsia="Noto Sans CJK SC"/>
          <w:b w:val="0"/>
          <w:color w:val="17212B"/>
          <w:sz w:val="18"/>
        </w:rPr>
        <w:t>后记：把经验变成系统</w:t>
      </w:r>
    </w:p>
    <w:p>
      <w:pPr>
        <w:pStyle w:val="Heading1"/>
        <w:pageBreakBefore/>
      </w:pPr>
      <w:r>
        <w:rPr>
          <w:rFonts w:ascii="Noto Sans CJK SC" w:hAnsi="Noto Sans CJK SC" w:eastAsia="Noto Sans CJK SC"/>
          <w:b/>
          <w:color w:val="0B1F33"/>
          <w:sz w:val="36"/>
        </w:rPr>
        <w:t>使用说明：先把VC当成一门“批发经营”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本书写给已经具备亚马逊卖家经验、准备进入或正在运营 Vendor Central（VC）的品牌方、工厂、贸易商与运营团队。Seller Central（SC）解决的是“我如何面向消费者卖货”，VC解决的是“我如何把货批发给亚马逊，并让亚马逊愿意持续采购、持续销售、持续给资源”。两者都发生在Amazon生态内，但合同关系、货权、定价权、订单逻辑、利润口径和风险结构完全不同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本书不是亚马逊官方文件，也不替代供应商协议、站点法律意见、税务意见或账号内Help页面。VC后台按国家、项目、vendor code、权限组和上线批次存在差异。书中所有菜单路径都应理解为“常见入口”，最终以读者账号实际显示、合同条款和最新官方通知为准。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为了让读者区分信息的确定性，本书使用四种标签：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【官方机制】可由亚马逊公开文档、API文档或账号内规则支持的机制。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【合同变量】必须回到Trade Agreement、PO或站点合同核验的条款。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【实战口径】来自运营团队长期操作总结，适合做内部管理基准，但不是平台统一红线。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【账号差异】后台入口、字段、报表、权限或阈值可能不同，操作前必须在当前账号复核。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建议新手按章节顺序学习；已有VC账号的团队，可以先做“第3章账号体检”，再根据问题跳转到PO、财务、扣款或增长章节。本书的核心原则只有一句：先守住履约与现金，再追求PO与增长。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V0.1版本边界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0.1是“可执行的基础运营版”，覆盖VC商业模型、账号体检、目录与合规、PO/DF履约、利润模型、结算与扣款、库存、广告、促销、组织和自动化。后续版本将继续补充不同站点后台截图、Chargeback原因码字典、合同谈判案例、更多真实PO与发票对账样例，以及按品类拆分的合规专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3D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版本日期：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2026年8月12日。后台路径和官方规则以该日期为核验截点。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第一篇 认知重构：从SC卖家到Amazon供应商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第1章 VC到底是什么：合同、货权与定价权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Vendor Central是亚马逊与受邀供应商开展一方零售采购合作的工作台。供应商把商品卖给亚马逊，亚马逊再以零售商身份面向消费者销售。VC账号不是一种“更高级的SC账号”，也不是拿到购物车、低价流量或批量铺货的捷径；它首先是一份批发供货关系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【官方机制】在零售采购模式下，Purchase Order（PO）是履约主线。亚马逊向供应商发出采购订单，供应商确认、发货、提交装运信息并开票。亚马逊公开的Vendor Orders、Vendor Shipments和Vendor Invoices接口也围绕这条链路设计：获取PO、提交订单确认、提交货件/装运确认、提交发票或贷项通知。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VC与SC最重要的差异，不在后台按钮，而在经营控制权：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9"/>
        <w:gridCol w:w="4594"/>
        <w:gridCol w:w="2937"/>
      </w:tblGrid>
      <w:tr>
        <w:trPr>
          <w:trHeight w:hRule="atLeast"/>
          <w:tblHeader w:val="true"/>
        </w:trPr>
        <w:tc>
          <w:tcPr>
            <w:tcW w:type="dxa" w:w="1829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94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VC（一方供应商）</w:t>
            </w:r>
          </w:p>
        </w:tc>
        <w:tc>
          <w:tcPr>
            <w:tcW w:type="dxa" w:w="293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SC（三方卖家）</w:t>
            </w:r>
          </w:p>
        </w:tc>
      </w:tr>
      <w:tr>
        <w:trPr>
          <w:trHeight w:hRule="atLeast"/>
        </w:trPr>
        <w:tc>
          <w:tcPr>
            <w:tcW w:type="dxa" w:w="1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交易对象</w:t>
            </w:r>
          </w:p>
        </w:tc>
        <w:tc>
          <w:tcPr>
            <w:tcW w:type="dxa" w:w="45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供应商把货卖给亚马逊</w:t>
            </w:r>
          </w:p>
        </w:tc>
        <w:tc>
          <w:tcPr>
            <w:tcW w:type="dxa" w:w="2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卖家通过平台卖给消费者</w:t>
            </w:r>
          </w:p>
        </w:tc>
      </w:tr>
      <w:tr>
        <w:trPr>
          <w:trHeight w:hRule="atLeast"/>
        </w:trPr>
        <w:tc>
          <w:tcPr>
            <w:tcW w:type="dxa" w:w="1829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订单来源</w:t>
            </w:r>
          </w:p>
        </w:tc>
        <w:tc>
          <w:tcPr>
            <w:tcW w:type="dxa" w:w="459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Amazon PO或DF消费者订单</w:t>
            </w:r>
          </w:p>
        </w:tc>
        <w:tc>
          <w:tcPr>
            <w:tcW w:type="dxa" w:w="293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消费者订单</w:t>
            </w:r>
          </w:p>
        </w:tc>
      </w:tr>
      <w:tr>
        <w:trPr>
          <w:trHeight w:hRule="atLeast"/>
        </w:trPr>
        <w:tc>
          <w:tcPr>
            <w:tcW w:type="dxa" w:w="1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零售定价</w:t>
            </w:r>
          </w:p>
        </w:tc>
        <w:tc>
          <w:tcPr>
            <w:tcW w:type="dxa" w:w="45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亚马逊决定实际零售价</w:t>
            </w:r>
          </w:p>
        </w:tc>
        <w:tc>
          <w:tcPr>
            <w:tcW w:type="dxa" w:w="2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卖家在规则内设置售价</w:t>
            </w:r>
          </w:p>
        </w:tc>
      </w:tr>
      <w:tr>
        <w:trPr>
          <w:trHeight w:hRule="atLeast"/>
        </w:trPr>
        <w:tc>
          <w:tcPr>
            <w:tcW w:type="dxa" w:w="1829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库存所有权</w:t>
            </w:r>
          </w:p>
        </w:tc>
        <w:tc>
          <w:tcPr>
            <w:tcW w:type="dxa" w:w="459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PO入库验收后通常由亚马逊持有</w:t>
            </w:r>
          </w:p>
        </w:tc>
        <w:tc>
          <w:tcPr>
            <w:tcW w:type="dxa" w:w="293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一般仍归卖家，直至售出</w:t>
            </w:r>
          </w:p>
        </w:tc>
      </w:tr>
      <w:tr>
        <w:trPr>
          <w:trHeight w:hRule="atLeast"/>
        </w:trPr>
        <w:tc>
          <w:tcPr>
            <w:tcW w:type="dxa" w:w="1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收入核心</w:t>
            </w:r>
          </w:p>
        </w:tc>
        <w:tc>
          <w:tcPr>
            <w:tcW w:type="dxa" w:w="45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供货价、协议条款和实际净回款</w:t>
            </w:r>
          </w:p>
        </w:tc>
        <w:tc>
          <w:tcPr>
            <w:tcW w:type="dxa" w:w="2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消费者售价减平台费用</w:t>
            </w:r>
          </w:p>
        </w:tc>
      </w:tr>
      <w:tr>
        <w:trPr>
          <w:trHeight w:hRule="atLeast"/>
        </w:trPr>
        <w:tc>
          <w:tcPr>
            <w:tcW w:type="dxa" w:w="1829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主要风险</w:t>
            </w:r>
          </w:p>
        </w:tc>
        <w:tc>
          <w:tcPr>
            <w:tcW w:type="dxa" w:w="459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拒单、迟交、短缺、扣款、调价、库存处置</w:t>
            </w:r>
          </w:p>
        </w:tc>
        <w:tc>
          <w:tcPr>
            <w:tcW w:type="dxa" w:w="293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流量、广告、库存、绩效与合规</w:t>
            </w:r>
          </w:p>
        </w:tc>
      </w:tr>
      <w:tr>
        <w:trPr>
          <w:trHeight w:hRule="atLeast"/>
        </w:trPr>
        <w:tc>
          <w:tcPr>
            <w:tcW w:type="dxa" w:w="1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关键关系</w:t>
            </w:r>
          </w:p>
        </w:tc>
        <w:tc>
          <w:tcPr>
            <w:tcW w:type="dxa" w:w="45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Vendor Manager/AVS/采购与财务团队</w:t>
            </w:r>
          </w:p>
        </w:tc>
        <w:tc>
          <w:tcPr>
            <w:tcW w:type="dxa" w:w="2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平台规则、消费者与服务商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VC运营的四张利润表必须同时成立：供应商每件有利润；亚马逊每件有合理零售利润；PO履约成本可控；现金回收周期可承受。只看前台销量、只看供货价，或者只看所谓Net PPM，都可能做出错误决策。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1.1 VC常见合作模式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PO/Wholesale是最典型的仓配模式：亚马逊按预测下PO，供应商将货送到指定履约中心或约定节点。供应商关注response-by date、数量、供货价、ship/delivery window、目的地、装箱与标签要求。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Direct Fulfillment（DF）是供应商从自有仓或第三方仓直接履行消费者订单。供应商仍通过VC或接口接收订单，但拣货、包装、标签、承运商交接和时效控制由供应商完成。DF不是普通的SC自发货；其数据、标签和确认流程受Vendor DF项目规则约束。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Direct Import（DI）是亚马逊直接进口或通过指定进口链路采购的合作形态，常涉及FOB/港口交付、装柜、贸易单证、进口主体、目的港费用和更长的预测周期。DI条款差异大，不能用PO国内仓模式的成本表直接套用。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Bulk Buy是大批量采购机会，不是独立账号类型。它通常以更低cost、更长备货周期或特殊促销/库存安排换取数量。判断Bulk Buy不能只看订单金额，应当把降价、资金占用、退货/残次、仓储与促销支持写入同一模型。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1.2 新手最常见的五个误区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“VC能自己控制前台售价。”错误。你可以提交List Price或与Amazon讨论价格，但实际零售价格由Amazon决定。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“有VC就一定有持续PO。”错误。PO取决于需求预测、可售性、库存、成本、供应商履约与亚马逊的采购策略。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“VC前台销售额就是我的收入。”错误。供应商收入首先来自发票与净回款，前台零售额是亚马逊的retail sales口径。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“协议扣点越高，Amazon越喜欢。”不完整。条款能增加Amazon经济性，但如果导致供应商无法持续供货，最终仍会破坏合作。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“VC可以不供货，只用来做目录和广告。”高风险。是否接受PO、是否暂停某ASIN，应按合同和账号功能操作；不能在接受后无故不履约。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8F4E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运营结论：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VC运营不是“抢流量”，而是管理一条从预测、采购、履约、验收到开票、扣款、零售和复购的供应链利润链。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第2章 账号、Vendor Code与权限体系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同一个VC登录主体可能管理多个vendor code、国家站点、业务组和结算实体。利润、PO、发票与扣款经常按vendor code归集，账号权限却按用户角色分配。接手账号的第一件事不是上传产品，而是画清“实体—合同—vendor code—站点—仓库—银行—税务—用户”的关系图。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2.1 建立账号主数据表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账号主数据表至少包含：公司法定名称、税号、结算币种、付款条件、银行账号尾号、vendor code、站点、业务模式、发货仓、退货地址、主要联系人、VM/AVS联系人、用户角色、EDI/API状态、合同版本与生效日。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【合同变量】Damage Allowance、Freight Allowance、MDF/Co-op、Defective Allowance、Return Rights、Prompt Payment Discount、Price Protection等，均应逐条记录：计费基数、比例、币种、结算频率、税务处理、争议窗口、是否可年度谈判。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6"/>
        <w:gridCol w:w="3544"/>
        <w:gridCol w:w="3740"/>
      </w:tblGrid>
      <w:tr>
        <w:trPr>
          <w:trHeight w:hRule="atLeast"/>
          <w:tblHeader w:val="true"/>
        </w:trPr>
        <w:tc>
          <w:tcPr>
            <w:tcW w:type="dxa" w:w="2076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3544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必须回答的问题</w:t>
            </w:r>
          </w:p>
        </w:tc>
        <w:tc>
          <w:tcPr>
            <w:tcW w:type="dxa" w:w="3740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证据位置</w:t>
            </w:r>
          </w:p>
        </w:tc>
      </w:tr>
      <w:tr>
        <w:trPr>
          <w:trHeight w:hRule="atLeast"/>
        </w:trPr>
        <w:tc>
          <w:tcPr>
            <w:tcW w:type="dxa" w:w="20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Vendor code</w:t>
            </w:r>
          </w:p>
        </w:tc>
        <w:tc>
          <w:tcPr>
            <w:tcW w:type="dxa" w:w="3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该code对应哪一实体、站点与模式？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合同、后台Business Group</w:t>
            </w:r>
          </w:p>
        </w:tc>
      </w:tr>
      <w:tr>
        <w:trPr>
          <w:trHeight w:hRule="atLeast"/>
        </w:trPr>
        <w:tc>
          <w:tcPr>
            <w:tcW w:type="dxa" w:w="207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付款条件</w:t>
            </w:r>
          </w:p>
        </w:tc>
        <w:tc>
          <w:tcPr>
            <w:tcW w:type="dxa" w:w="354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Net 30/60/90还是提前付款折扣？</w:t>
            </w:r>
          </w:p>
        </w:tc>
        <w:tc>
          <w:tcPr>
            <w:tcW w:type="dxa" w:w="374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Agreement、Invoice/Remittance</w:t>
            </w:r>
          </w:p>
        </w:tc>
      </w:tr>
      <w:tr>
        <w:trPr>
          <w:trHeight w:hRule="atLeast"/>
        </w:trPr>
        <w:tc>
          <w:tcPr>
            <w:tcW w:type="dxa" w:w="20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运费责任</w:t>
            </w:r>
          </w:p>
        </w:tc>
        <w:tc>
          <w:tcPr>
            <w:tcW w:type="dxa" w:w="3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Prepaid还是Collect？起止责任点在哪里？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Freight Terms、PO</w:t>
            </w:r>
          </w:p>
        </w:tc>
      </w:tr>
      <w:tr>
        <w:trPr>
          <w:trHeight w:hRule="atLeast"/>
        </w:trPr>
        <w:tc>
          <w:tcPr>
            <w:tcW w:type="dxa" w:w="207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退货责任</w:t>
            </w:r>
          </w:p>
        </w:tc>
        <w:tc>
          <w:tcPr>
            <w:tcW w:type="dxa" w:w="354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退货、残次、销毁由谁承担？</w:t>
            </w:r>
          </w:p>
        </w:tc>
        <w:tc>
          <w:tcPr>
            <w:tcW w:type="dxa" w:w="374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Return/Defective条款</w:t>
            </w:r>
          </w:p>
        </w:tc>
      </w:tr>
      <w:tr>
        <w:trPr>
          <w:trHeight w:hRule="atLeast"/>
        </w:trPr>
        <w:tc>
          <w:tcPr>
            <w:tcW w:type="dxa" w:w="20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用户权限</w:t>
            </w:r>
          </w:p>
        </w:tc>
        <w:tc>
          <w:tcPr>
            <w:tcW w:type="dxa" w:w="3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谁能改cost、确认PO、开票、下载财务数据？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User Permissions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2.2 权限最小化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建议建立四类角色：目录与合规、订单与物流、财务与争议、管理员。修改供货价、银行信息、付款设置和用户权限应启用双人复核；离职人员必须当日停权；共享账号应改为实名用户。对于能导出消费者信息的DF流程，还要执行数据最小化、访问日志和定期删除制度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2.3 交接验收清单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所有vendor code与站点均能登录并确认权限。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最近12个月PO、发票、汇款、扣款与协议可下载。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VM、AVS、财务、合规和物流联系人已确认。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关键邮箱有共享归档与响应负责人。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银行、税务、退货地址和发货仓信息已复核。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不存在无人处理的PO、合规任务、未开票货件或即将过期的争议。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第3章 30天VC账号体检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接手VC账号时，应先做体检，再做增长。体检的目标是识别三类问题：会立刻造成损失的“现金漏洞”、会影响持续采购的“履约漏洞”、会影响可售和转化的“目录漏洞”。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3.1 第1周：止损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第1天导出未确认PO、在途PO、未开票货件、开放扣款、被抑制ASIN、合规待办和账户通知。按“金额×截止时间×可逆性”排序。PO过期、争议窗口到期和银行/税务异常优先级最高。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第2至3天做发票—汇款快速对账：抽取金额最大的20张发票，核对PO、收货数量、发票金额、协议扣款、Chargeback、实际付款和未分配余额。若抽样差异显著，立即扩大到全量。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第4至7天做履约根因分析：将过去90天扣款按No PO、Shortage、Carton/Label、ASN/Shipment、Appointment、Late Delivery等内部分类，找出金额和频次最高的前三项。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3.2 第2周：恢复可售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建立ASIN健康表：ASIN、品牌、产品类型、主图、标题、关键属性、合规状态、可售状态、Amazon在库、供应商可供库存、最近PO、前台零售价、退货率、广告状态。先修复高销售潜力且问题可逆的ASIN。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目录修改前必须保留“修改前快照”。同一ASIN可能同时被品牌方、SC卖家、VC团队和Amazon目录团队贡献数据，贸然覆盖会产生属性回滚、变体拆散或合规重新审核。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3.3 第3至4周：建立基准线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完成四张基准表：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PO生命周期表：从收到到收款的全链路状态。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SKU单位经济模型：常规、促销、Bulk Buy三个场景。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ASIN零售健康表：销量、库存、退货、内容、广告。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风险与待决策表：合同、合规、价格、库存和系统问题。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30天验收：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不应存在无人负责的开放PO、未解释的重大短付、无证据链的高频扣款、关键ASIN合规失效，以及无法说清的vendor code与结算关系。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第二篇 目录、上架与合规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第4章 从产品资料包到可售ASIN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VC上架不是“填完标题和图片”。一个可持续采购的ASIN必须同时满足目录正确、商业条款有效、合规文件齐全、物流属性准确、可售链路正常。建议将上架拆成五个门禁：身份、内容、合规、商业、可售。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4.1 产品资料包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资料包应包含GTIN/UPC/EAN、品牌与商标证据、型号、产品类型、颜色尺寸、变体关系、供货价与建议零售价、原产国、HS编码、税码、装箱数、单件与外箱尺寸重量、危险品信息、说明书、认证、主辅图、视频、A+素材、质保与售后政策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字段来源要唯一。产品尺寸来自工程图，包装尺寸来自打包后的实测，功率和安全参数来自铭牌/报告，品牌拼写来自商标证书。运营不得为了“先通过”而临时编造属性。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4.2 上架门禁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7"/>
        <w:gridCol w:w="3601"/>
        <w:gridCol w:w="3892"/>
      </w:tblGrid>
      <w:tr>
        <w:trPr>
          <w:trHeight w:hRule="atLeast"/>
          <w:tblHeader w:val="true"/>
        </w:trPr>
        <w:tc>
          <w:tcPr>
            <w:tcW w:type="dxa" w:w="186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360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3892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常见失败</w:t>
            </w:r>
          </w:p>
        </w:tc>
      </w:tr>
      <w:tr>
        <w:trPr>
          <w:trHeight w:hRule="atLeast"/>
        </w:trPr>
        <w:tc>
          <w:tcPr>
            <w:tcW w:type="dxa" w:w="18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身份</w:t>
            </w:r>
          </w:p>
        </w:tc>
        <w:tc>
          <w:tcPr>
            <w:tcW w:type="dxa" w:w="36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GTIN、品牌、型号与实物一致</w:t>
            </w:r>
          </w:p>
        </w:tc>
        <w:tc>
          <w:tcPr>
            <w:tcW w:type="dxa" w:w="38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GTIN占用、品牌不一致、重复ASIN</w:t>
            </w:r>
          </w:p>
        </w:tc>
      </w:tr>
      <w:tr>
        <w:trPr>
          <w:trHeight w:hRule="atLeast"/>
        </w:trPr>
        <w:tc>
          <w:tcPr>
            <w:tcW w:type="dxa" w:w="186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内容</w:t>
            </w:r>
          </w:p>
        </w:tc>
        <w:tc>
          <w:tcPr>
            <w:tcW w:type="dxa" w:w="360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标题、图片、要点、属性完整一致</w:t>
            </w:r>
          </w:p>
        </w:tc>
        <w:tc>
          <w:tcPr>
            <w:tcW w:type="dxa" w:w="389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多来源冲突、变体错误、缺图</w:t>
            </w:r>
          </w:p>
        </w:tc>
      </w:tr>
      <w:tr>
        <w:trPr>
          <w:trHeight w:hRule="atLeast"/>
        </w:trPr>
        <w:tc>
          <w:tcPr>
            <w:tcW w:type="dxa" w:w="18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合规</w:t>
            </w:r>
          </w:p>
        </w:tc>
        <w:tc>
          <w:tcPr>
            <w:tcW w:type="dxa" w:w="36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所需报告在有效期内且匹配产品</w:t>
            </w:r>
          </w:p>
        </w:tc>
        <w:tc>
          <w:tcPr>
            <w:tcW w:type="dxa" w:w="38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报告型号不匹配、过期、语言错误</w:t>
            </w:r>
          </w:p>
        </w:tc>
      </w:tr>
      <w:tr>
        <w:trPr>
          <w:trHeight w:hRule="atLeast"/>
        </w:trPr>
        <w:tc>
          <w:tcPr>
            <w:tcW w:type="dxa" w:w="186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商业</w:t>
            </w:r>
          </w:p>
        </w:tc>
        <w:tc>
          <w:tcPr>
            <w:tcW w:type="dxa" w:w="360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Cost、币种、税、装箱和条款可执行</w:t>
            </w:r>
          </w:p>
        </w:tc>
        <w:tc>
          <w:tcPr>
            <w:tcW w:type="dxa" w:w="389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含税/不含税混淆、case pack错误</w:t>
            </w:r>
          </w:p>
        </w:tc>
      </w:tr>
      <w:tr>
        <w:trPr>
          <w:trHeight w:hRule="atLeast"/>
        </w:trPr>
        <w:tc>
          <w:tcPr>
            <w:tcW w:type="dxa" w:w="18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可售</w:t>
            </w:r>
          </w:p>
        </w:tc>
        <w:tc>
          <w:tcPr>
            <w:tcW w:type="dxa" w:w="36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库存、报价、零售状态与配送可用</w:t>
            </w:r>
          </w:p>
        </w:tc>
        <w:tc>
          <w:tcPr>
            <w:tcW w:type="dxa" w:w="38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Offer不可售、价格异常、库存受限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4.3 修改品牌与关键属性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品牌、GTIN、产品类型等是高风险字段。修改前准备商标证书、包装六面图、产品实拍、官网或目录证据、错误形成原因和期望值。不要通过新建重复ASIN规避锁定；先在账号内Catalog/Item Support路径提交证据，必要时由品牌注册或VM协同。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【账号差异】Items、Catalog、Item Setup、Edit Products等入口可能随站点和新版界面变化。书中不把某个菜单名写成永久规则，操作人员应以当前Help页面和任务入口为准。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第5章 合规、危险品与产品包装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合规的本质是让“产品—型号—报告—ASIN—站点”形成可追溯链条。证书本身不是通行证：实验室、标准、型号覆盖、申请人/制造商、照片、额定参数和有效期任一不一致，都可能导致审核失败。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5.1 合规矩阵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按产品类型与站点建立矩阵，至少记录：法规/标准、需要文件、责任人、报告机构、型号范围、有效期、后台提交日期、审核状态、对应ASIN、原文件位置。儿童用品、医疗器械、无线/电子产品、电池、化学品和食品接触材料应单独管理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危险品审核常见材料包括16部分SDS或危险品豁免信息、电池类型、额定能量、成分与运输分类。SDS必须对应真实产品和制造商；不要用相似产品报告替代。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5.2 SIOC与SIPP名称变化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【官方机制】亚马逊公开资料已将Ships in Own Container（SIOC）逐步更新为Ships in Product Packaging（SIPP）。旧项目名仍会出现在历史材料、供应商沟通或部分界面中。本书后续统一写作“SIPP（原SIOC）”。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包装认证的价值不仅是减少额外包装，还包括降低运输损伤、减少客户拆包摩擦和改善单位物流成本。测试要求依产品尺寸、重量、脆弱性和项目而异，不能把“虚拟认证”或某一ISTA测试路径视为所有产品通用规则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5.3 合规任务SOP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截图并记录任务原文、ASIN、站点、截止时间和要求文件。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由合规负责人判断适用法规与型号覆盖，运营人员不得自行猜测。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做文件一致性检查：品牌、型号、制造商、地址、额定值、照片、标准与语言。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上传后记录提交ID/Case ID和文件哈希或版本号。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若被拒绝，按拒绝原因逐项修正，不重复提交完全相同的文件。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审核通过后，把结果回写ASIN主数据并设置证书到期提醒。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3D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红线：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不伪造、不拼接、不借用证书；不为抢时效而上传不匹配文件；不把“审核通过”误解为永久有效。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第三篇 PO、物流与履约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第6章 PO全生命周期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是VC经营的订单底座。团队必须把每张PO从“收到”追踪到“付款完成”，而不是在发货后就结束。一个标准生命周期包括：接收、评估、确认、备货、建货件、标签、承运、装运确认/ASN、Amazon接收、开票、付款、差异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17570"/>
            <wp:docPr id="2" name="Picture 2" descr="图6-1 PO从收到到收款的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图6-1 PO从收到到收款的闭环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6.1 收到PO后的六项检查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身份：vendor code、PO号、站点和收货方是否正确。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商品：ASIN/SKU、case pack、单位数量、单位供货价与币种。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时间：response-by date、ship window、delivery window及预约要求。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地点：ship-from、ship-to、FC/中转点、承运责任。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条款：freight terms、付款条件、特殊标签或单证。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可执行性：可用库存、生产完工日、运输时效和异常缓冲。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【实战口径】不要把“48小时确认”写成全账号固定规则。正确控制点是PO自身的response-by date与当前项目要求；内部SLA应比平台截止时间至少提前一个工作日。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6.2 接受、变更与拒绝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可完全履约时接受；数量可满足但窗口不可满足时，先评估账号是否支持变更/协商；部分可履约时按允许的acknowledgement逻辑提交可接受数量；完全不可履约时，使用真实原因并保留证据。不得为了提高接单率而先全量接受、再短发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PO变更和取消必须被系统化处理。亚马逊公开Vendor Orders API包含订单变更、取消、状态查询和acknowledgement场景，说明“原PO并非永远不变”。系统集成团队应保留每个版本的PO快照并对差异做告警。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6.3 PO台账字段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PO台账至少包括PO号、vendor code、站点、下单日、响应截止、窗口、SKU/ASIN、订购/确认/发货/接收/开票/付款数量、cost、PO金额、货件ID、承运商、追踪/POD、发票号、扣款、争议和最终关闭日期。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章末检查：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团队是否能在5分钟内回答任意PO的“现在在哪、差多少、谁负责、下一截止时间是什么、预计何时收款”？不能，就是PO管理尚未闭环。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第7章 ASN、标签、预约与收货差异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ASN可以理解为供应商向Amazon提交的装运确认与货件结构数据。它连接PO、箱/托盘、SKU数量、承运商、追踪号和预计到货。No PO、短缺、错箱、未按标签要求、货件数据与实物不一致，往往不是仓库单点错误，而是主数据、打包、扫描和提交之间断链。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7.1 发货前“四对一”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每个箱/托盘必须实现四类记录与一批实物一致：PO确认数量、WMS拣货数量、装箱明细、ASN/Shipment Confirmation、实际箱内商品。建议通过扫描SKU/箱码完成校验，禁止只靠人工目测和Excel复制。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【官方机制】Vendor Shipments API支持交换货件信息、生成/获取标签并提交shipment confirmation。DF工作流中，订单必须先确认，才能请求或生成部分类型的运输标签；发货后还应提交装运确认，使Amazon可跟踪货件。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7.2 证据链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每票货至少保留PO及版本、订单确认回执、拣货单、装箱单、ASN/货件提交回执、箱/托盘标签样张、称重记录、交接单、追踪记录、POD、预约记录、现场照片。争议证据按“PO—箱—承运—签收—开票”目录归档。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7.3 收货差异处理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Amazon显示短收时，先判断是未完成接收、箱级丢失、SKU错收、标签无法关联、PO取消/变更、承运损失还是实发不足。不要只拿POD证明“车到了”；POD能证明交付载体，但不必然证明每个SKU数量。更有力的证据是带重量的箱级/托盘级记录与ASN一致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3"/>
        <w:gridCol w:w="3296"/>
        <w:gridCol w:w="3651"/>
      </w:tblGrid>
      <w:tr>
        <w:trPr>
          <w:trHeight w:hRule="atLeast"/>
          <w:tblHeader w:val="true"/>
        </w:trPr>
        <w:tc>
          <w:tcPr>
            <w:tcW w:type="dxa" w:w="2413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差异</w:t>
            </w:r>
          </w:p>
        </w:tc>
        <w:tc>
          <w:tcPr>
            <w:tcW w:type="dxa" w:w="3296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首查数据</w:t>
            </w:r>
          </w:p>
        </w:tc>
        <w:tc>
          <w:tcPr>
            <w:tcW w:type="dxa" w:w="365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关键证据</w:t>
            </w:r>
          </w:p>
        </w:tc>
      </w:tr>
      <w:tr>
        <w:trPr>
          <w:trHeight w:hRule="atLeast"/>
        </w:trPr>
        <w:tc>
          <w:tcPr>
            <w:tcW w:type="dxa" w:w="24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No PO</w:t>
            </w:r>
          </w:p>
        </w:tc>
        <w:tc>
          <w:tcPr>
            <w:tcW w:type="dxa" w:w="3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PO状态、标签、ASN关联</w:t>
            </w:r>
          </w:p>
        </w:tc>
        <w:tc>
          <w:tcPr>
            <w:tcW w:type="dxa" w:w="36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PO版本、标签样张、ASN回执</w:t>
            </w:r>
          </w:p>
        </w:tc>
      </w:tr>
      <w:tr>
        <w:trPr>
          <w:trHeight w:hRule="atLeast"/>
        </w:trPr>
        <w:tc>
          <w:tcPr>
            <w:tcW w:type="dxa" w:w="241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Shortage</w:t>
            </w:r>
          </w:p>
        </w:tc>
        <w:tc>
          <w:tcPr>
            <w:tcW w:type="dxa" w:w="329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发货/收货数量、箱重量</w:t>
            </w:r>
          </w:p>
        </w:tc>
        <w:tc>
          <w:tcPr>
            <w:tcW w:type="dxa" w:w="365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装箱单、称重、POD、扫描记录</w:t>
            </w:r>
          </w:p>
        </w:tc>
      </w:tr>
      <w:tr>
        <w:trPr>
          <w:trHeight w:hRule="atLeast"/>
        </w:trPr>
        <w:tc>
          <w:tcPr>
            <w:tcW w:type="dxa" w:w="24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Label问题</w:t>
            </w:r>
          </w:p>
        </w:tc>
        <w:tc>
          <w:tcPr>
            <w:tcW w:type="dxa" w:w="3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条码内容、可读性、粘贴位置</w:t>
            </w:r>
          </w:p>
        </w:tc>
        <w:tc>
          <w:tcPr>
            <w:tcW w:type="dxa" w:w="36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标签模板、发货照片</w:t>
            </w:r>
          </w:p>
        </w:tc>
      </w:tr>
      <w:tr>
        <w:trPr>
          <w:trHeight w:hRule="atLeast"/>
        </w:trPr>
        <w:tc>
          <w:tcPr>
            <w:tcW w:type="dxa" w:w="241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迟交</w:t>
            </w:r>
          </w:p>
        </w:tc>
        <w:tc>
          <w:tcPr>
            <w:tcW w:type="dxa" w:w="329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窗口、预约、承运轨迹</w:t>
            </w:r>
          </w:p>
        </w:tc>
        <w:tc>
          <w:tcPr>
            <w:tcW w:type="dxa" w:w="365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预约回执、追踪、异常通知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第8章 Direct Fulfillment（DF）运营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DF的运营中心从“批量入仓”变成“逐单履约”。系统能力必须支持订单高频拉取、快速确认、库存同步、拣配、标签、承运和状态回传。人工每日下载一次订单的方式无法支撑稳定DF。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8.1 DF标准流程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订单进入后，先确认仓库、SKU、数量、配送方式和承诺时间；再提交订单确认；完成拣货与包装后，根据项目使用Amazon提供标签或自有承运方式；交接承运商后及时提交shipment confirmation与有效追踪；最后处理取消、未送达、退货和客户数据删除。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Amazon公开DF API按Inventory、Orders、Shipping、Payments和Transactions拆分。技术团队应围绕这五个域设计，而不是把DF当作普通ERP订单导入。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8.2 DF库存与超卖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DF库存应按“可销售库存”而不是物理库存同步：可销售库存=在库良品-已分配未出库-质检冻结-渠道安全库存-预计不可按时发出的数量。更新频率应匹配订单速度和平台要求。高取消往往来自多渠道共用库存、组合SKU未拆分或夜间库存不同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8.3 客户数据与标签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【官方机制】部分Amazon Label Only或特定运输方式下，供应商不会接收完整客户姓名、地址或电话，信息仅存在Amazon提供的运输标签；使用自有标签/承运方式时，可能因履约需要接触客户数据。团队应按最小必要原则访问，禁止用于营销、画像或另行留存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第9章 Bulk Buy决策模型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Bulk Buy的决策不是“有大单就接”，而是比较三个场景的现金回报：按原价等待常规PO、以折扣价一次性接单、拒绝并把产能用于其他渠道。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9.1 五层门槛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真实需求：是确定PO、非约束预测，还是VM意向？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单位经济：折后净回款是否覆盖变动成本、资金成本和风险准备？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产能机会成本：是否挤占更高利润订单？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库存退出：Amazon售不完时，退货、降价、价格保护由谁承担？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资源交换：是否有可确认的Deal窗口、广告支持或长期采购承诺？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Bulk Buy底价应按“净回款底价”反推，而不是在当前cost上直接打折：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公式卡：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可接受Bulk Buy Cost =（单位完全成本 + 目标单位利润 + 风险准备）÷（1 - 协议扣减率 - 提前付款折扣率 - 其他按Cost计提比例）。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所有支持条件必须落到邮件或合同附件：数量、cost、交货窗口、付款、促销、退出机制和取消责任。模糊的“后续会给资源”不进入财务模型。</w:t>
      </w: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第四篇 利润、定价与谈判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第10章 VC单位经济模型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VC利润模型至少分供应商视角和Amazon零售视角。供应商视角回答“这件货批发后我赚多少”；Amazon视角回答“Amazon销售这件货的经济性如何”。两者不能混在同一个毛利率里。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17570"/>
            <wp:docPr id="3" name="Picture 3" descr="图10-1 从前台零售价到供应商净利润的口径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图10-1 从前台零售价到供应商净利润的口径桥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10.1 供应商单位净回款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单位发票金额通常以PO确认的cost和实际可开票数量为基础。单位净回款估算为：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公式卡：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单位净回款 = 单位发票金额 - 协议性扣款 - 单位促销Funding - 单位Chargeback - 价格/数量差异 - 其他贷项。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单位贡献利润（供应商CM）为：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公式卡：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供应商CM = 单位净回款 - 出厂/采购成本 - 头程与本地运输 - 关税与清关 - 包装/贴标 - 仓储操作 - 售后/退货准备 - 可变管理费用。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固定团队工资、系统费、样品和办公室费用可在SKU层按销量或毛利分摊，但应与单位可变贡献分开，避免把可继续销售的产品误判为亏损，也避免用“未分摊固定成本”掩盖长期亏损。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10.2 欧洲含税价格示例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上传的《VC毛利测算样表（VC欧洲）》以零售价19.99、产品落地成本1.00为例，先用VAT倍率把含税价转为不含税价，再按目标Amazon零售毛利假设计算Invoice Cost，最后扣除协议费用、MDF、运费等得出净回款与供应商利润。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87"/>
        <w:gridCol w:w="1387"/>
        <w:gridCol w:w="1581"/>
        <w:gridCol w:w="1387"/>
        <w:gridCol w:w="2033"/>
        <w:gridCol w:w="1585"/>
      </w:tblGrid>
      <w:tr>
        <w:trPr>
          <w:trHeight w:hRule="atLeast"/>
          <w:tblHeader w:val="true"/>
        </w:trPr>
        <w:tc>
          <w:tcPr>
            <w:tcW w:type="dxa" w:w="138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站点</w:t>
            </w:r>
          </w:p>
        </w:tc>
        <w:tc>
          <w:tcPr>
            <w:tcW w:type="dxa" w:w="138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含税售价</w:t>
            </w:r>
          </w:p>
        </w:tc>
        <w:tc>
          <w:tcPr>
            <w:tcW w:type="dxa" w:w="158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VAT倍率（样表）</w:t>
            </w:r>
          </w:p>
        </w:tc>
        <w:tc>
          <w:tcPr>
            <w:tcW w:type="dxa" w:w="138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不含税售价</w:t>
            </w:r>
          </w:p>
        </w:tc>
        <w:tc>
          <w:tcPr>
            <w:tcW w:type="dxa" w:w="2033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Invoice Cost（样表）</w:t>
            </w:r>
          </w:p>
        </w:tc>
        <w:tc>
          <w:tcPr>
            <w:tcW w:type="dxa" w:w="1585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净发票回款（样表）</w:t>
            </w:r>
          </w:p>
        </w:tc>
      </w:tr>
      <w:tr>
        <w:trPr>
          <w:trHeight w:hRule="atLeast"/>
        </w:trPr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DE</w:t>
            </w:r>
          </w:p>
        </w:tc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19.99</w:t>
            </w:r>
          </w:p>
        </w:tc>
        <w:tc>
          <w:tcPr>
            <w:tcW w:type="dxa" w:w="1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1.19</w:t>
            </w:r>
          </w:p>
        </w:tc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16.80</w:t>
            </w:r>
          </w:p>
        </w:tc>
        <w:tc>
          <w:tcPr>
            <w:tcW w:type="dxa" w:w="20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14.28</w:t>
            </w:r>
          </w:p>
        </w:tc>
        <w:tc>
          <w:tcPr>
            <w:tcW w:type="dxa" w:w="1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12.14</w:t>
            </w:r>
          </w:p>
        </w:tc>
      </w:tr>
      <w:tr>
        <w:trPr>
          <w:trHeight w:hRule="atLeast"/>
        </w:trPr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FR</w:t>
            </w:r>
          </w:p>
        </w:tc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19.99</w:t>
            </w:r>
          </w:p>
        </w:tc>
        <w:tc>
          <w:tcPr>
            <w:tcW w:type="dxa" w:w="158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1.20</w:t>
            </w:r>
          </w:p>
        </w:tc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16.66</w:t>
            </w:r>
          </w:p>
        </w:tc>
        <w:tc>
          <w:tcPr>
            <w:tcW w:type="dxa" w:w="203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14.16</w:t>
            </w:r>
          </w:p>
        </w:tc>
        <w:tc>
          <w:tcPr>
            <w:tcW w:type="dxa" w:w="1585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12.04</w:t>
            </w:r>
          </w:p>
        </w:tc>
      </w:tr>
      <w:tr>
        <w:trPr>
          <w:trHeight w:hRule="atLeast"/>
        </w:trPr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IT</w:t>
            </w:r>
          </w:p>
        </w:tc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19.99</w:t>
            </w:r>
          </w:p>
        </w:tc>
        <w:tc>
          <w:tcPr>
            <w:tcW w:type="dxa" w:w="1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1.22</w:t>
            </w:r>
          </w:p>
        </w:tc>
        <w:tc>
          <w:tcPr>
            <w:tcW w:type="dxa" w:w="13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16.39</w:t>
            </w:r>
          </w:p>
        </w:tc>
        <w:tc>
          <w:tcPr>
            <w:tcW w:type="dxa" w:w="20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13.93</w:t>
            </w:r>
          </w:p>
        </w:tc>
        <w:tc>
          <w:tcPr>
            <w:tcW w:type="dxa" w:w="1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11.84</w:t>
            </w:r>
          </w:p>
        </w:tc>
      </w:tr>
      <w:tr>
        <w:trPr>
          <w:trHeight w:hRule="atLeast"/>
        </w:trPr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ES</w:t>
            </w:r>
          </w:p>
        </w:tc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19.99</w:t>
            </w:r>
          </w:p>
        </w:tc>
        <w:tc>
          <w:tcPr>
            <w:tcW w:type="dxa" w:w="158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1.21</w:t>
            </w:r>
          </w:p>
        </w:tc>
        <w:tc>
          <w:tcPr>
            <w:tcW w:type="dxa" w:w="138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16.52</w:t>
            </w:r>
          </w:p>
        </w:tc>
        <w:tc>
          <w:tcPr>
            <w:tcW w:type="dxa" w:w="203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14.04</w:t>
            </w:r>
          </w:p>
        </w:tc>
        <w:tc>
          <w:tcPr>
            <w:tcW w:type="dxa" w:w="1585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11.94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【合同变量】样表中的15%零售利润、15%净回款扣减、5% MDF、0.50运费和Deal场景10%等，都是模型假设，不是Amazon统一费率。正式决策前必须用当前站点VAT、合同、PO、实际回款和物流报价替换。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第11章 PPM、Net PPM与供应商CM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PPM、Net PPM和CM经常被混用。建议在团队词典中给每个字段同时写清“观察者、分子、分母、是否含条款、数据来源”。如果没有这些定义，会议里相同的“利润率”可能指三件不同的事。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11.1 实战估算口径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团队长期使用的常规估算公式为：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实战公式：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估算Net PPM（不促销）=（实际/估算零售收入 - Cost + 协议扣点×Cost）÷ 实际/估算零售收入。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促销场景为：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实战公式：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估算Net PPM（促销）=（促销零售收入 - Cost + 单位Funding + 协议扣点×Cost）÷ 促销零售收入。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这两个公式适合做内部快速情景比较，但应明确标注“团队估算”，不能对外宣称为Amazon公开的唯一官方Net PPM公式。实际零售财务口径可能还受净销售、退货、价格保护、contra-COGS、缺货、税和时间窗口影响。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11.2 双目标定价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定价不是单边最大化供应商利润，而是寻找可持续区间：供应商CM高于内部底线，同时Amazon零售经济性不触发持续cost压力。可将每个ASIN划分为四象限：双方健康、供应商健康/Amazon偏低、供应商偏低/Amazon健康、双方偏低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当Amazon要求降cost时，先问清触发原因：零售价下降、竞品价格、促销后盈利、退货、协议变化还是系统异常。谈判材料应包含最近90/180/365天销量、平均零售价、净回款、协议扣减、退货、物流/原料成本变化、可接受cost区间和交换条件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第12章 Cost、List Price与价格压力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Cost是Amazon向供应商采购的商业价格；List Price是建议或参考价格属性之一；实际零售价由Amazon决定。三者不能用同一个“售价”字段表示。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12.1 调Cost的证据包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成本上涨不能只说“原料涨了”。证据包应把旧cost、新cost、生效日、毛利影响、原料/汇率/运费变化、过去一年降本记录、竞品与替代方案放在一起。大幅调价可拆为分阶段生效、SKU分层或以条款/促销资源交换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12.2 价格压力应对树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如果零售价短期促销导致：先核对Funding、活动期和促销结束后的恢复机制。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如果竞品长期低价导致：比较规格、内容、评价、包装和供应链，不盲目同价。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如果退货/损伤拖累：降cost不能解决根因，应做产品与包装整改。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如果条款累积过高：谈判时以净回款而非单项费率为目标。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如果系统价格异常：保留前台时间戳、报表与case记录，避免先永久降cost。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谈判原则：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每次让步都交换一个可验证条件；每个条件都写清时间、范围、ASIN和退出机制。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第13章 Trade Agreement与年度谈判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年度谈判要从“单项扣点争论”升级为“合作损益表”。先算Amazon从采购价、协议条款、促销Funding、退货与价格调整中获得的整体经济性，再算供应商的净回款、质量投入、运费和资金占用。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13.1 谈判准备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建立过去12个月桥接表：PO发票总额→协议扣款→临时促销→Chargeback→短付/冲销→现金到账；再按ASIN拆分销量、退货、增长、缺货和成本变化。没有桥接表，谈判容易退化为“感觉费率太高”。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13.2 可交易筹码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供应商可提供新品、独家组合、稳定交付、SIPP包装、DF能力、营销预算、数据共享或更长预测承诺；可交换较低扣点、更合理付款条件、明确促销窗口、PO稳定性、退货责任限制或阶段性cost安排。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【合同变量】任何“行业通常3%-5%”只能作为外部参考，不应写进合同底稿。最终以自身实际损失、品类基准、替代渠道和可持续利润为依据。</w:t>
      </w: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第五篇 发票、回款与扣款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第14章 从开票到Remittance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VC财务管理必须做到三张单一致：PO（买了什么）、Shipment/Receiving（收到什么）、Invoice（申请支付什么）。其中任一单位、税、币种、数量或价格不一致，都可能造成拒票、短付或延迟。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【官方机制】Amazon公开的Vendor Invoices文档说明，发票用于对已发运商品请求付款；在DF API场景中，商品应在确认并发运后开票，否则发票可能被拒绝。接口层的成功仅代表语义/交易处理，不必然等于最终付款状态，运营仍需在VC Payments相关页面核验。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14.1 开票前校验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PO号、vendor code、bill-to/ship-to实体正确。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发票单位与PO单位一致，尤其是EA、case、pack转换。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数量不超过可开票的已发运/已接收规则。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cost、币种、税率、税号、发票日期和编号符合站点要求。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促销、贷项、退货和价格差异按正确文档类型处理。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14.2 汇款桥接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财务应把每次现金到账桥接到发票：期初应收+本期开票-协议扣款-临时扣款-退货/贷项-现金到账=期末未结。无法分配的现金、跨发票冲销和负数项单独挂账，不要强行塞到销量最大的PO。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月结标准：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每一笔差异都必须拥有“可解释原因、责任人、下一动作、截止时间和预计可追回金额”。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第15章 Chargeback与争议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Chargeback管理不应只靠财务月底申诉。高效机制是“预防—发现—证据—争议—根因关闭”。同一原因反复发生，即使每次申诉成功，也说明内部流程仍在制造成本。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15.1 争议优先级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优先处理金额大、截止近、证据完整、可复用根因的项目。建立“金额×成功概率×剩余时间÷处理工时”的排序，避免团队把时间耗在小额、低胜率、无证据的历史单。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15.2 争议包结构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争议包第一页只回答五个问题：争议对象、扣款原因、为什么不成立、请求金额、附件清单。附件按时间排序并交叉引用PO、货件、箱码、发票和POD。不要提交几十张无标注截图让审核人员自己寻找答案。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15.3 根因责任矩阵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78"/>
        <w:gridCol w:w="2940"/>
        <w:gridCol w:w="1831"/>
        <w:gridCol w:w="2111"/>
      </w:tblGrid>
      <w:tr>
        <w:trPr>
          <w:trHeight w:hRule="atLeast"/>
          <w:tblHeader w:val="true"/>
        </w:trPr>
        <w:tc>
          <w:tcPr>
            <w:tcW w:type="dxa" w:w="2478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原因族</w:t>
            </w:r>
          </w:p>
        </w:tc>
        <w:tc>
          <w:tcPr>
            <w:tcW w:type="dxa" w:w="2940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可能根因</w:t>
            </w:r>
          </w:p>
        </w:tc>
        <w:tc>
          <w:tcPr>
            <w:tcW w:type="dxa" w:w="183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主要责任人</w:t>
            </w:r>
          </w:p>
        </w:tc>
        <w:tc>
          <w:tcPr>
            <w:tcW w:type="dxa" w:w="211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预防控制</w:t>
            </w:r>
          </w:p>
        </w:tc>
      </w:tr>
      <w:tr>
        <w:trPr>
          <w:trHeight w:hRule="atLeast"/>
        </w:trPr>
        <w:tc>
          <w:tcPr>
            <w:tcW w:type="dxa" w:w="2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No PO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PO变更、标签错误、混PO、ASN关联失败</w:t>
            </w:r>
          </w:p>
        </w:tc>
        <w:tc>
          <w:tcPr>
            <w:tcW w:type="dxa" w:w="18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订单/仓库/系统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版本告警、扫码、发货门禁</w:t>
            </w:r>
          </w:p>
        </w:tc>
      </w:tr>
      <w:tr>
        <w:trPr>
          <w:trHeight w:hRule="atLeast"/>
        </w:trPr>
        <w:tc>
          <w:tcPr>
            <w:tcW w:type="dxa" w:w="247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Shortage</w:t>
            </w:r>
          </w:p>
        </w:tc>
        <w:tc>
          <w:tcPr>
            <w:tcW w:type="dxa" w:w="294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少装、箱损、仓库错收、单位转换</w:t>
            </w:r>
          </w:p>
        </w:tc>
        <w:tc>
          <w:tcPr>
            <w:tcW w:type="dxa" w:w="18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仓库/物流/主数据</w:t>
            </w:r>
          </w:p>
        </w:tc>
        <w:tc>
          <w:tcPr>
            <w:tcW w:type="dxa" w:w="211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称重、箱级清单、POD</w:t>
            </w:r>
          </w:p>
        </w:tc>
      </w:tr>
      <w:tr>
        <w:trPr>
          <w:trHeight w:hRule="atLeast"/>
        </w:trPr>
        <w:tc>
          <w:tcPr>
            <w:tcW w:type="dxa" w:w="2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ASN/Shipment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晚提交、数量错误、追踪无效</w:t>
            </w:r>
          </w:p>
        </w:tc>
        <w:tc>
          <w:tcPr>
            <w:tcW w:type="dxa" w:w="18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系统/物流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接口回执监控、异常队列</w:t>
            </w:r>
          </w:p>
        </w:tc>
      </w:tr>
      <w:tr>
        <w:trPr>
          <w:trHeight w:hRule="atLeast"/>
        </w:trPr>
        <w:tc>
          <w:tcPr>
            <w:tcW w:type="dxa" w:w="247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Appointment/Late</w:t>
            </w:r>
          </w:p>
        </w:tc>
        <w:tc>
          <w:tcPr>
            <w:tcW w:type="dxa" w:w="294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预约失败、承运延迟、窗口理解错误</w:t>
            </w:r>
          </w:p>
        </w:tc>
        <w:tc>
          <w:tcPr>
            <w:tcW w:type="dxa" w:w="18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物流</w:t>
            </w:r>
          </w:p>
        </w:tc>
        <w:tc>
          <w:tcPr>
            <w:tcW w:type="dxa" w:w="211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提前预约、缓冲、异常升级</w:t>
            </w:r>
          </w:p>
        </w:tc>
      </w:tr>
      <w:tr>
        <w:trPr>
          <w:trHeight w:hRule="atLeast"/>
        </w:trPr>
        <w:tc>
          <w:tcPr>
            <w:tcW w:type="dxa" w:w="2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Invoice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价格、税、单位、重复或过早开票</w:t>
            </w:r>
          </w:p>
        </w:tc>
        <w:tc>
          <w:tcPr>
            <w:tcW w:type="dxa" w:w="18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财务/主数据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三单匹配、自动校验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第16章 PO维度与零售维度双重核算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PO维度回答供应商是否赚钱、是否收回现金；零售维度回答ASIN在Amazon端的销售、库存和价格表现。两者时间口径不同：一张PO可能跨月接收与付款，Amazon在库又可能几个月后才零售出去。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17570"/>
            <wp:docPr id="4" name="Picture 4" descr="图16-1 PO现金链与零售经营链的双重核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reconcili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图16-1 PO现金链与零售经营链的双重核算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16.1 三层报表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第一层是现金表：发票、扣款、回款、账龄。第二层是PO贡献表：每张PO净回款、完全成本、争议与利润。第三层是ASIN零售表：sell-in、sell-through、Amazon在库、平均零售价、退货、广告与估算零售经济性。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三个层级通过ASIN、vendor code、站点和月份关联，但不要强行在单月完全相等。使用滚动13周和12个月视图，可以减弱PO批次与零售节奏的错配。</w:t>
      </w: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第六篇 库存、可售与增长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第17章 预测、库存与PO节奏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Amazon下PO不等于供应商可以被动等待。供应商应建立自己的需求预测，解释旺季、促销、缺货和价格变化，向VM提供可执行的供货计划。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17.1 预测分层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基准需求取稳定周销量；事件增量来自Deal、广告、季节和新品；风险折减来自价格、评价、合规、库存限制和竞品。预测输出不是一个点，而是保守/基准/乐观三个区间，并明确产能、原料与运输约束。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17.2 库存三角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同时看供应商可供库存、在途/待接收和Amazon可售库存。只看自有仓会误以为“库存充足”，只看Amazon库存会误以为“马上下PO”。对于长交期产品，设置原料锁定点、生产启动点和加急运输边界。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17.3 缺货与过量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缺货前提供恢复日期、可发数量、替代ASIN和加急成本；过量时先定位原因：预测偏高、零售价、内容、广告、退货、季节还是采购过量。促销清库存前必须重新计算Funding、广告和价格保护后的供应商CM。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第18章 可售状态、Featured Offer与购物车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VC产品“有页面”不等于“可购买”。可售链路包括目录有效、合规通过、零售Offer存在、库存可售、配送区域可达、价格未被抑制和前台Offer资格。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【官方机制】Amazon Ads明确要求Sponsored Products等广告所推广的商品满足相应资格，部分广告与Featured Offer状态相关。广告无展示时，应先排查可售与资格，不要只提高竞价。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VC团队常把“Amazon没购物车”归因于一个阈值，实际可能是库存、价格、合规、目录冲突、配送、零售策略或多个Offer竞争。建立逐层排查表并保留前台邮编、时间、设备和站点证据。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18.1 可售排查顺序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ASIN详情页是否存在且站点正确。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是否有Amazon Retail Offer，库存与配送日期是否显示。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合规/危险品/安全任务是否阻断。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零售价格是否异常或外部价格触发抑制。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关键属性、变体和品牌是否冲突。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其他卖家Offer与Featured Offer资格如何。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最近PO、接收、退货或停售动作是否改变状态。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第19章 退货、VOC与质量闭环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退货是连接产品、内容、包装、物流和用户预期的结果指标。只看总退货率不够，要把退货原因、评论、客服信息、批次、站点和时间关联起来。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19.1 四类根因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产品缺陷：功能、寿命、材料、装配或批次问题。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包装物流：破损、缺件、受潮、标签或二手退回品管理。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信息预期：尺寸、功率、兼容性、使用场景或“不包含什么”表达不清。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使用与人群：安装复杂、说明书不足、用户选错型号或不适合场景。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对每个高退货ASIN建立8D/POA：问题定义、临时遏制、根因、纠正措施、验证结果、长期预防、责任人和完成日。Listing优化必须与产品和包装措施配套，不能用文案掩盖真实缺陷。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第20章 VC广告：以零售可售和利润为前提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供应商可通过Amazon Ads使用适用的Sponsored Products、Sponsored Brands、display ads以及DSP等产品，但资格、站点和功能会变化。Amazon官方的供应商广告指南要求使用VC/Advantage等供应商账号注册广告，并选择产品、竞价与预算。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20.1 广告前置门禁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广告前检查Amazon Offer可售、库存覆盖、内容完整、评分与退货、零售价、活动和供应商CM。广告把流量送到不可售、低转化或亏损商品，只会更快放大问题。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20.2 三阶段策略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新品期用SP自动与手动探索搜索词，同时控制库存和零售价格波动；成长期把预算转向高转化词、品牌视频和商品定向；成熟期做品牌防御、竞品定向、再营销和促销协同。不要把“VC天然竞价权重更高”当作事实，官方公开机制并未承诺相同出价下VC一定优于SC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20.3 广告利润口径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广告ROAS以Amazon零售销售额为分母，但供应商承担广告费用时，必须回到自身净回款计算。建立“广告归因零售额→估算sell-in/补货→供应商净贡献”的桥，而不是直接用SC式毛利减ACOS。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9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1F33"/>
                <w:sz w:val="19"/>
              </w:rPr>
              <w:t xml:space="preserve">供应商可承受广告率： </w:t>
            </w:r>
            <w:r>
              <w:rPr>
                <w:rFonts w:ascii="Noto Sans CJK SC" w:hAnsi="Noto Sans CJK SC" w:eastAsia="Noto Sans CJK SC"/>
                <w:b w:val="0"/>
                <w:color w:val="17212B"/>
                <w:sz w:val="19"/>
              </w:rPr>
              <w:t>应由增量PO贡献利润、库存风险和品牌目标共同决定。没有明确增量逻辑时，广告费先作为供应商费用从CM扣除。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第21章 促销、Funding与叠加风险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Price Discount、Best Deal、Lightning Deal、Coupon等名称、权限和提报方式会按站点和年份变化。VC促销运营的通用逻辑是：确认零售价/折扣、供应商Funding、活动费、数量、库存、广告协同、价格历史和活动后恢复。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21.1 促销利润底线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促销前至少跑三个场景：销量不增、销量达到基准、销量超预期但需要加急补货。每个场景计算单位Funding、广告、协议扣款、退货准备和现金回收。没有明确Funding上限与活动窗口，不提交。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21.2 叠加检查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同一ASIN可能同时存在零售降价、Deal、Coupon、广告和外部渠道价格。活动前7天、前2天、当天与结束后分别截图并核对。若不清楚是否叠加，先以最坏情景计算，不以“应该不会”作为审批依据。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第22章 SC+VC协同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同品牌同时运营SC与VC可以形成互补，但也可能造成价格冲突、Offer竞争、库存错配和内部抢功。先明确每个ASIN的渠道角色：VC主供、SC主售、测试款、长尾款、清货款或区域差异款。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SC适合快速测试、长尾和可控零售价；VC适合稳定批发、规模采购和Amazon零售资源。新品可以先在SC验证转化、退货和内容，再向VC提交；但不得通过虚假交易或违反协议的方式“造数据”。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同ASIN并行时，统一品牌内容、价格边界、广告归因与库存计划。合同存在独家、渠道或价格条款时，必须由法务/商业负责人确认，不凭运营经验决定。</w:t>
      </w: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第七篇 组织、SOP与系统化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第23章 日、周、月、季度运营节奏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17570"/>
            <wp:docPr id="5" name="Picture 5" descr="图23-1 VC运营四级节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ng_ca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图23-1 VC运营四级节奏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23.1 每日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检查新PO与变更、DF订单、发货/接收异常、可售中断、合规任务、重大邮件和广告异常。每日看板只展示需要今天动作的事项，不堆积历史数据。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23.2 每周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周会依次看PO金额与履约、扣款新增与追回、库存覆盖、不可售ASIN、退货异常、广告与促销、现金风险。每个红项必须有owner、动作和截止日。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23.3 每月与季度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月度完成发票—汇款—扣款对账、ASIN利润、Net PPM估算、退货/VOC和预测更新。季度向VM提供业务回顾：销售与增长、供货、库存、质量、营销、新品和双方需决策事项。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2"/>
        <w:gridCol w:w="4392"/>
        <w:gridCol w:w="2696"/>
      </w:tblGrid>
      <w:tr>
        <w:trPr>
          <w:trHeight w:hRule="atLeast"/>
          <w:tblHeader w:val="true"/>
        </w:trPr>
        <w:tc>
          <w:tcPr>
            <w:tcW w:type="dxa" w:w="2272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4392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2696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会议不讨论什么</w:t>
            </w:r>
          </w:p>
        </w:tc>
      </w:tr>
      <w:tr>
        <w:trPr>
          <w:trHeight w:hRule="atLeast"/>
        </w:trPr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日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异常队列与截止时间</w:t>
            </w:r>
          </w:p>
        </w:tc>
        <w:tc>
          <w:tcPr>
            <w:tcW w:type="dxa" w:w="2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长期战略</w:t>
            </w:r>
          </w:p>
        </w:tc>
      </w:tr>
      <w:tr>
        <w:trPr>
          <w:trHeight w:hRule="atLeast"/>
        </w:trPr>
        <w:tc>
          <w:tcPr>
            <w:tcW w:type="dxa" w:w="227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周</w:t>
            </w:r>
          </w:p>
        </w:tc>
        <w:tc>
          <w:tcPr>
            <w:tcW w:type="dxa" w:w="439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履约、库存、扣款、可售行动</w:t>
            </w:r>
          </w:p>
        </w:tc>
        <w:tc>
          <w:tcPr>
            <w:tcW w:type="dxa" w:w="269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无数据的情绪复盘</w:t>
            </w:r>
          </w:p>
        </w:tc>
      </w:tr>
      <w:tr>
        <w:trPr>
          <w:trHeight w:hRule="atLeast"/>
        </w:trPr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月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财务桥接、ASIN利润与资源配置</w:t>
            </w:r>
          </w:p>
        </w:tc>
        <w:tc>
          <w:tcPr>
            <w:tcW w:type="dxa" w:w="2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单笔小额操作细节</w:t>
            </w:r>
          </w:p>
        </w:tc>
      </w:tr>
      <w:tr>
        <w:trPr>
          <w:trHeight w:hRule="atLeast"/>
        </w:trPr>
        <w:tc>
          <w:tcPr>
            <w:tcW w:type="dxa" w:w="227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季</w:t>
            </w:r>
          </w:p>
        </w:tc>
        <w:tc>
          <w:tcPr>
            <w:tcW w:type="dxa" w:w="4392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QBR、条款、新品、能力建设</w:t>
            </w:r>
          </w:p>
        </w:tc>
        <w:tc>
          <w:tcPr>
            <w:tcW w:type="dxa" w:w="2696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临时救火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第24章 KPI树与管理看板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VC看板分四层：结果、驱动、风险、动作。结果包括净回款、贡献利润、零售销售与现金；驱动包括PO接受/履约、在库可售、价格、广告和促销；风险包括扣款、退货、合规和账龄；动作是本周必须完成的任务。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【实战口径】KPI阈值不要写成平台统一红线。内部目标可设PO按时响应率、按时足量交付率、ASN准确率、开票及时率、争议追回率、不可售时长、库存覆盖和退货率，但每个指标要保留合同/账号目标与内部目标两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24.1 指标定义卡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每个指标必须写：业务目的、公式、数据源、更新频率、owner、红黄绿阈值、异常动作。比如“PO接受率”需说明分母是否排除Amazon取消、重复PO、不可供SKU或变更数量；否则团队会为了指标接受无法履行的订单。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第25章 与VM沟通和QBR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VM沟通要从“追PO”转向“共同经营”。一封高质量邮件包含结论、业务影响、数据证据、推荐方案、需要对方确认的决定和截止时间。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25.1 标准邮件结构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主题行写ASIN/PO、问题与动作；第一段给结论；第二段列数据；第三段给A/B方案；最后只留下一个明确请求。附件命名包含日期、主题和版本，正文引用附件页码或表格。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25.2 QBR框架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QBR建议控制在八页：业务摘要、零售与sell-in、供货与库存、价格与利润、退货与质量、营销与活动、新品管道、双方决策与下一步。不要用50页截图代替结论。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第26章 团队组织与RACI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VC团队至少覆盖商业/VM、目录与合规、PO与物流、财务与争议、零售运营/广告、数据系统。小团队可以一人多岗，但责任不能消失。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1843"/>
        <w:gridCol w:w="1843"/>
        <w:gridCol w:w="1843"/>
        <w:gridCol w:w="1847"/>
      </w:tblGrid>
      <w:tr>
        <w:trPr>
          <w:trHeight w:hRule="atLeast"/>
          <w:tblHeader w:val="true"/>
        </w:trPr>
        <w:tc>
          <w:tcPr>
            <w:tcW w:type="dxa" w:w="1984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1843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1843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审批</w:t>
            </w:r>
          </w:p>
        </w:tc>
        <w:tc>
          <w:tcPr>
            <w:tcW w:type="dxa" w:w="1843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协同</w:t>
            </w:r>
          </w:p>
        </w:tc>
        <w:tc>
          <w:tcPr>
            <w:tcW w:type="dxa" w:w="1847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知会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Cost与条款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商业负责人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总经理/财务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运营、供应链</w:t>
            </w:r>
          </w:p>
        </w:tc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</w:t>
            </w:r>
          </w:p>
        </w:tc>
      </w:tr>
      <w:tr>
        <w:trPr>
          <w:trHeight w:hRule="atLeast"/>
        </w:trPr>
        <w:tc>
          <w:tcPr>
            <w:tcW w:type="dxa" w:w="198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PO确认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订单运营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供应链负责人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仓库、计划</w:t>
            </w:r>
          </w:p>
        </w:tc>
        <w:tc>
          <w:tcPr>
            <w:tcW w:type="dxa" w:w="184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ASN与发运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物流/仓库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物流负责人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订单运营</w:t>
            </w:r>
          </w:p>
        </w:tc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</w:t>
            </w:r>
          </w:p>
        </w:tc>
      </w:tr>
      <w:tr>
        <w:trPr>
          <w:trHeight w:hRule="atLeast"/>
        </w:trPr>
        <w:tc>
          <w:tcPr>
            <w:tcW w:type="dxa" w:w="198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开票与对账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财务负责人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运营、物流</w:t>
            </w:r>
          </w:p>
        </w:tc>
        <w:tc>
          <w:tcPr>
            <w:tcW w:type="dxa" w:w="184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商业负责人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合规提交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合规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产品/法务</w:t>
            </w:r>
          </w:p>
        </w:tc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运营、工厂</w:t>
            </w:r>
          </w:p>
        </w:tc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商业负责人</w:t>
            </w:r>
          </w:p>
        </w:tc>
      </w:tr>
      <w:tr>
        <w:trPr>
          <w:trHeight w:hRule="atLeast"/>
        </w:trPr>
        <w:tc>
          <w:tcPr>
            <w:tcW w:type="dxa" w:w="1984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广告促销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零售运营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商业负责人</w:t>
            </w:r>
          </w:p>
        </w:tc>
        <w:tc>
          <w:tcPr>
            <w:tcW w:type="dxa" w:w="1843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财务、库存</w:t>
            </w:r>
          </w:p>
        </w:tc>
        <w:tc>
          <w:tcPr>
            <w:tcW w:type="dxa" w:w="1847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7"/>
              </w:rPr>
              <w:t>VM接口人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高风险动作使用四眼原则：供货价、付款信息、发票批量提交、PO大额确认、促销Funding和合规文件上传。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第27章 EDI、SP-API与自动化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自动化目标不是把人工点击搬到脚本，而是建立有回执、有校验、有异常队列的业务闭环。Amazon公开SP-API为Vendor Retail Procurement和DF提供Orders、Shipments、Invoices/Payments、Inventory及Transaction Status等能力。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27.1 最小自动化路线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第一阶段自动拉取PO、变更和状态，生成异常提醒；第二阶段连接库存/WMS，生成订单确认与货件数据；第三阶段打通发票、汇款和扣款桥接；第四阶段将ASIN零售、广告和财务数据进入统一看板。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每次POST后不能只看HTTP成功。应保存transaction ID并查询最终处理状态；失败进入人工队列，修正后重提。接口密钥、客户数据和财务数据按最小权限管理。</w:t>
      </w:r>
    </w:p>
    <w:p>
      <w:pPr>
        <w:pStyle w:val="Heading1"/>
        <w:pageBreakBefore/>
        <w:spacing w:before="0" w:after="360"/>
      </w:pPr>
      <w:r>
        <w:rPr>
          <w:rFonts w:ascii="Noto Sans CJK SC" w:hAnsi="Noto Sans CJK SC" w:eastAsia="Noto Sans CJK SC"/>
          <w:b/>
          <w:color w:val="E98400"/>
          <w:sz w:val="44"/>
        </w:rPr>
        <w:t>第八篇 风险、申诉与持续迭代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第28章 VC风险红线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VC并不存在一张对所有供应商公开且统一的“账号健康分”。风险通常以PO减少、可售中断、扣款增加、合规任务、付款冻结、条款升级或合作终止表现。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重点红线包括：接受后长期不履约；伪造合规/发运/发票文件；重复或错误开票；产品安全问题不处理；消费者数据滥用；未经授权修改银行或主体信息；大规模目录错误；合同与商业贿赂风险。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风险管理使用“预警—遏制—调查—修复—验证—复盘”六步。不要把开case当作完整解决方案。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第29章 Case与POA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Case应选对业务域并提供可验证事实。标题包含对象、问题、期望动作；正文包含时间线、影响、已排查项、证据和请求。每次回复都复述未解决点，避免新客服只看到最后一条信息。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POA不是道歉信，而是控制系统说明。标准三段为根因、已采取纠正措施、长期预防措施；每一项写owner、日期、证据与验证结果。根因避免使用“员工疏忽”作为终点，应追到培训、系统校验、权限、SOP或供应商管理为何未能阻止错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29.1 Shortage争议邮件骨架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主题：Dispute – Shortage Chargeback – PO [PO] – Invoice [Invoice] – [Amount]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结论：我们对上述短缺扣款提出争议，箱级发货记录、ASN、承运POD和重量记录显示全部数量已交付。正文依次列出PO确认数量、实际箱数与数量、交接与签收时间、Amazon接收差异，并在附件索引中逐一指向证据。请求明确写“请复核接收记录并冲回金额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E82"/>
          <w:sz w:val="26"/>
        </w:rPr>
        <w:t>29.2 Bulk Buy谈判邮件骨架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先确认可提供数量和最早交付窗口，再说明当前报价对单位净回款的影响，提出A/B方案：提高cost，或维持cost但交换明确Deal/广告/付款/退货条件。不要只说“利润太低”。</w:t>
      </w:r>
    </w:p>
    <w:p>
      <w:pPr>
        <w:pStyle w:val="Heading1"/>
        <w:pageBreakBefore/>
      </w:pPr>
      <w:r>
        <w:rPr>
          <w:rFonts w:ascii="Noto Sans CJK SC" w:hAnsi="Noto Sans CJK SC" w:eastAsia="Noto Sans CJK SC"/>
          <w:b/>
          <w:color w:val="0B1F33"/>
          <w:sz w:val="36"/>
        </w:rPr>
        <w:t>附录A VC核心术语表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8"/>
        <w:gridCol w:w="3431"/>
        <w:gridCol w:w="2591"/>
      </w:tblGrid>
      <w:tr>
        <w:trPr>
          <w:trHeight w:hRule="atLeast"/>
          <w:tblHeader w:val="true"/>
        </w:trPr>
        <w:tc>
          <w:tcPr>
            <w:tcW w:type="dxa" w:w="3338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43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中文解释</w:t>
            </w:r>
          </w:p>
        </w:tc>
        <w:tc>
          <w:tcPr>
            <w:tcW w:type="dxa" w:w="2591"/>
            <w:shd w:fill="0B1F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操作意义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ASIN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Amazon商品识别码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目录与零售分析主键之一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Vendor Code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供应商业务代码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连接合同、PO、发票与站点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采购订单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采购数量、价格、时间与地点依据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Acknowledgement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订单确认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接受/拒绝/变更可履约数量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ASN/Shipment Confirmation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装运通知/货件确认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连接PO、箱/托盘、承运与追踪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POD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签收证明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证明承运交付，不必然证明SKU数量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Cost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亚马逊采购价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供应商发票与零售利润的核心输入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List Price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建议/参考零售价属性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不等于Amazon实际零售价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MDF/Co-op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营销发展基金/合作营销费用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常见协议性扣减或预算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Chargeback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运营/合规/履约扣款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需预防、争议与根因关闭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Remittance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汇款通知/付款明细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发票到现金的桥接依据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DF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Direct Fulfillment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供应商直接履行消费者订单的项目</w:t>
            </w:r>
          </w:p>
        </w:tc>
      </w:tr>
      <w:tr>
        <w:trPr>
          <w:trHeight w:hRule="atLeast"/>
        </w:trPr>
        <w:tc>
          <w:tcPr>
            <w:tcW w:type="dxa" w:w="3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DI</w:t>
            </w:r>
          </w:p>
        </w:tc>
        <w:tc>
          <w:tcPr>
            <w:tcW w:type="dxa" w:w="3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Direct Import</w:t>
            </w:r>
          </w:p>
        </w:tc>
        <w:tc>
          <w:tcPr>
            <w:tcW w:type="dxa" w:w="25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直接进口采购合作模式</w:t>
            </w:r>
          </w:p>
        </w:tc>
      </w:tr>
      <w:tr>
        <w:trPr>
          <w:trHeight w:hRule="atLeast"/>
        </w:trPr>
        <w:tc>
          <w:tcPr>
            <w:tcW w:type="dxa" w:w="3338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SIPP</w:t>
            </w:r>
          </w:p>
        </w:tc>
        <w:tc>
          <w:tcPr>
            <w:tcW w:type="dxa" w:w="343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Ships in Product Packaging</w:t>
            </w:r>
          </w:p>
        </w:tc>
        <w:tc>
          <w:tcPr>
            <w:tcW w:type="dxa" w:w="2591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17212B"/>
                <w:sz w:val="18"/>
              </w:rPr>
              <w:t>原SIOC名称体系的更新表达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附录B 新PO接单检查表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vendor code、站点、PO与版本正确。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ASIN/SKU、case pack、单位、数量和cost正确。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response-by date和发运/到货窗口已记录。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供应商可用库存、产能与运输时间可满足。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ship-from、ship-to、freight terms和预约要求明确。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特殊标签、单证、合规和包装要求已确认。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接受/变更/拒绝决定经授权人审批。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台账、WMS/ERP和责任人已同步。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附录C 发票与回款月结检查表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所有已满足开票条件的货件均已开票。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发票PO、单位、数量、cost、税与币种一致。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现金到账已分配到发票或有未分配说明。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协议扣款与合同一致，临时扣款有原因码。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Chargeback已按金额与时限排序。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贷项、退货、价格差异和冲销已单独核对。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应收账龄与预计回款日期已更新。</w:t>
      </w:r>
    </w:p>
    <w:p>
      <w:pPr>
        <w:pStyle w:val="Checklist"/>
      </w:pPr>
      <w:r>
        <w:rPr>
          <w:rFonts w:ascii="Noto Sans CJK SC" w:hAnsi="Noto Sans CJK SC" w:eastAsia="Noto Sans CJK SC"/>
          <w:b w:val="0"/>
          <w:color w:val="17212B"/>
          <w:sz w:val="21"/>
        </w:rPr>
        <w:t>☐ 月末桥接差异为零或有可追踪解释。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附录D V0.2-V1.0持续写作路线图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V0.2“财务与扣款深水区”：补充发票类型字典、Remittance逐字段、Chargeback原因码、争议胜率库和现金流模型。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V0.3“目录与合规图解版”：按美国、英国、德国/欧盟拆后台截图，增加电池、电子、儿童、医疗、包装和危险品案例。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V0.4“广告与增长版”：加入Retail Analytics、广告结构、促销日历、SC+VC协同和新品投放案例。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V0.5“团队SOP与系统版”：提供岗位手册、RACI、周报/月报、PO台账、利润模型和SP-API字段映射。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V1.0“出版审校版”：完成法律与税务审阅、全书术语统一、真实案例匿名化、截图版权清理、索引与纸质书排版。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B1F33"/>
          <w:sz w:val="36"/>
        </w:rPr>
        <w:t>附录E 主要官方资料与核验入口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以下链接用于读者自行核验最新机制。Vendor Central账号内Help、供应商协议与PO优先级高于本书描述。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Amazon Vendor Central登录与账号内Help：</w:t>
      </w:r>
      <w:hyperlink r:id="rId16">
        <w:r>
          <w:rPr>
            <w:color w:val="2E5E82"/>
            <w:u w:val="single"/>
          </w:rPr>
          <w:t>https://vendorcentral.amazon.com/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Vendor Retail Procurement Orders API：</w:t>
      </w:r>
      <w:hyperlink r:id="rId17">
        <w:r>
          <w:rPr>
            <w:color w:val="2E5E82"/>
            <w:u w:val="single"/>
          </w:rPr>
          <w:t>https://developer-docs.amazon.com/sp-api/docs/vendor-retail-procurement-orders-api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Vendor Retail Procurement Shipments API：</w:t>
      </w:r>
      <w:hyperlink r:id="rId18">
        <w:r>
          <w:rPr>
            <w:color w:val="2E5E82"/>
            <w:u w:val="single"/>
          </w:rPr>
          <w:t>https://developer-docs.amazon.com/sp-api/docs/vendor-retail-procurement-shipments-api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Vendor Retail Procurement Invoices API：</w:t>
      </w:r>
      <w:hyperlink r:id="rId19">
        <w:r>
          <w:rPr>
            <w:color w:val="2E5E82"/>
            <w:u w:val="single"/>
          </w:rPr>
          <w:t>https://developer-docs.amazon.com/sp-api/docs/vendor-retail-procurement-invoices-api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Vendor Direct Fulfillment Workflow Guide：</w:t>
      </w:r>
      <w:hyperlink r:id="rId20">
        <w:r>
          <w:rPr>
            <w:color w:val="2E5E82"/>
            <w:u w:val="single"/>
          </w:rPr>
          <w:t>https://developer-docs.amazon.com/sp-api/docs/vendor-df-workflow-guide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SP-API Vendor Use Cases：</w:t>
      </w:r>
      <w:hyperlink r:id="rId21">
        <w:r>
          <w:rPr>
            <w:color w:val="2E5E82"/>
            <w:u w:val="single"/>
          </w:rPr>
          <w:t>https://developer-docs.amazon.com/sp-api/docs/sp-api-vendor-use-cases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Amazon Ads供应商指南：</w:t>
      </w:r>
      <w:hyperlink r:id="rId22">
        <w:r>
          <w:rPr>
            <w:color w:val="2E5E82"/>
            <w:u w:val="single"/>
          </w:rPr>
          <w:t>https://advertising.amazon.com/library/guides/vendors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Sponsored Products：</w:t>
      </w:r>
      <w:hyperlink r:id="rId23">
        <w:r>
          <w:rPr>
            <w:color w:val="2E5E82"/>
            <w:u w:val="single"/>
          </w:rPr>
          <w:t>https://advertising.amazon.com/solutions/products/sponsored-products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Sponsored Brands：</w:t>
      </w:r>
      <w:hyperlink r:id="rId24">
        <w:r>
          <w:rPr>
            <w:color w:val="2E5E82"/>
            <w:u w:val="single"/>
          </w:rPr>
          <w:t>https://advertising.amazon.com/solutions/products/sponsored-brands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Display Ads（原Sponsored Display相关入口）：</w:t>
      </w:r>
      <w:hyperlink r:id="rId25">
        <w:r>
          <w:rPr>
            <w:color w:val="2E5E82"/>
            <w:u w:val="single"/>
          </w:rPr>
          <w:t>https://advertising.amazon.com/solutions/products/sponsored-display</w:t>
        </w:r>
      </w:hyperlink>
    </w:p>
    <w:p>
      <w:pPr>
        <w:numPr>
          <w:ilvl w:val="0"/>
          <w:numId w:val="21"/>
        </w:numPr>
        <w:spacing w:after="80" w:line="300" w:lineRule="auto"/>
      </w:pPr>
      <w:r>
        <w:rPr>
          <w:rFonts w:ascii="Noto Sans CJK SC" w:hAnsi="Noto Sans CJK SC" w:eastAsia="Noto Sans CJK SC"/>
          <w:b w:val="0"/>
          <w:color w:val="17212B"/>
          <w:sz w:val="21"/>
        </w:rPr>
        <w:t>Amazon包装可持续与SIPP信息：</w:t>
      </w:r>
      <w:hyperlink r:id="rId26">
        <w:r>
          <w:rPr>
            <w:color w:val="2E5E82"/>
            <w:u w:val="single"/>
          </w:rPr>
          <w:t>https://sustainability.aboutamazon.com/waste/packaging</w:t>
        </w:r>
      </w:hyperlink>
    </w:p>
    <w:p>
      <w:pPr>
        <w:pStyle w:val="Heading1"/>
        <w:pageBreakBefore/>
      </w:pPr>
      <w:r>
        <w:rPr>
          <w:rFonts w:ascii="Noto Sans CJK SC" w:hAnsi="Noto Sans CJK SC" w:eastAsia="Noto Sans CJK SC"/>
          <w:b/>
          <w:color w:val="0B1F33"/>
          <w:sz w:val="36"/>
        </w:rPr>
        <w:t>后记：把经验变成系统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VC最难的不是某个菜单，而是跨部门一致性：商业团队谈的条款、运营确认的PO、仓库装的箱、系统提交的ASN、财务开的票和Amazon收到的货必须指向同一事实。只要事实链断裂，利润就会以短付、扣款、拒收、不可售或PO减少的形式流失。</w:t>
      </w:r>
    </w:p>
    <w:p>
      <w:r>
        <w:rPr>
          <w:rFonts w:ascii="Noto Sans CJK SC" w:hAnsi="Noto Sans CJK SC" w:eastAsia="Noto Sans CJK SC"/>
          <w:b w:val="0"/>
          <w:color w:val="17212B"/>
          <w:sz w:val="21"/>
        </w:rPr>
        <w:t>这本手册的长期目标，不只是教会一个运营“会点后台”，而是把12年跨境运营经验沉淀为公司可复制的系统：规则有来源、指标有定义、操作有SOP、异常有证据、决策有模型、版本有记录。VC运营真正成熟的标志，是重要结果不再依赖某个老员工的记忆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07080"/>
        <w:sz w:val="18"/>
      </w:rPr>
      <w:t xml:space="preserve">第 </w:t>
    </w:r>
    <w:fldSimple w:instr="PAGE"/>
    <w:r>
      <w:rPr>
        <w:rFonts w:ascii="Noto Sans CJK SC" w:hAnsi="Noto Sans CJK SC" w:eastAsia="Noto Sans CJK SC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607080"/>
        <w:sz w:val="17"/>
      </w:rPr>
      <w:t>亚马逊VC运营手册  ·  2026电子版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300" w:lineRule="auto"/>
    </w:pPr>
    <w:rPr>
      <w:rFonts w:ascii="Noto Sans CJK SC" w:hAnsi="Noto Sans CJK SC" w:eastAsia="Noto Sans CJK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/>
      <w:ind w:left="360" w:hanging="360"/>
    </w:pPr>
    <w:rPr>
      <w:rFonts w:ascii="Noto Sans CJK SC" w:hAnsi="Noto Sans CJK SC" w:eastAsia="Noto Sans CJK SC"/>
    </w:rPr>
  </w:style>
  <w:style w:type="paragraph" w:customStyle="1" w:styleId="FigureCaption">
    <w:name w:val="Figure Caption"/>
    <w:basedOn w:val="Normal"/>
    <w:pPr>
      <w:spacing w:before="60" w:after="200"/>
      <w:jc w:val="center"/>
    </w:pPr>
    <w:rPr>
      <w:rFonts w:ascii="Noto Sans CJK SC" w:hAnsi="Noto Sans CJK SC" w:eastAsia="Noto Sans CJK SC"/>
      <w:color w:val="6070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vendorcentral.amazon.com/" TargetMode="External"/><Relationship Id="rId17" Type="http://schemas.openxmlformats.org/officeDocument/2006/relationships/hyperlink" Target="https://developer-docs.amazon.com/sp-api/docs/vendor-retail-procurement-orders-api" TargetMode="External"/><Relationship Id="rId18" Type="http://schemas.openxmlformats.org/officeDocument/2006/relationships/hyperlink" Target="https://developer-docs.amazon.com/sp-api/docs/vendor-retail-procurement-shipments-api" TargetMode="External"/><Relationship Id="rId19" Type="http://schemas.openxmlformats.org/officeDocument/2006/relationships/hyperlink" Target="https://developer-docs.amazon.com/sp-api/docs/vendor-retail-procurement-invoices-api" TargetMode="External"/><Relationship Id="rId20" Type="http://schemas.openxmlformats.org/officeDocument/2006/relationships/hyperlink" Target="https://developer-docs.amazon.com/sp-api/docs/vendor-df-workflow-guide" TargetMode="External"/><Relationship Id="rId21" Type="http://schemas.openxmlformats.org/officeDocument/2006/relationships/hyperlink" Target="https://developer-docs.amazon.com/sp-api/docs/sp-api-vendor-use-cases" TargetMode="External"/><Relationship Id="rId22" Type="http://schemas.openxmlformats.org/officeDocument/2006/relationships/hyperlink" Target="https://advertising.amazon.com/library/guides/vendors" TargetMode="External"/><Relationship Id="rId23" Type="http://schemas.openxmlformats.org/officeDocument/2006/relationships/hyperlink" Target="https://advertising.amazon.com/solutions/products/sponsored-products" TargetMode="External"/><Relationship Id="rId24" Type="http://schemas.openxmlformats.org/officeDocument/2006/relationships/hyperlink" Target="https://advertising.amazon.com/solutions/products/sponsored-brands" TargetMode="External"/><Relationship Id="rId25" Type="http://schemas.openxmlformats.org/officeDocument/2006/relationships/hyperlink" Target="https://advertising.amazon.com/solutions/products/sponsored-display" TargetMode="External"/><Relationship Id="rId26" Type="http://schemas.openxmlformats.org/officeDocument/2006/relationships/hyperlink" Target="https://sustainability.aboutamazon.com/waste/packag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亚马逊VC运营手册</dc:title>
  <dc:subject>Amazon Vendor Central运营、PO履约、利润、财务与增长</dc:subject>
  <dc:creator>阳亚运｜天机跨境</dc:creator>
  <cp:keywords>Amazon Vendor Central, VC运营, PO, DF, Chargeback, Net PPM</cp:keywords>
  <dc:description>2026电子版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