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7059168" cy="9144000"/>
            <wp:docPr id="1" name="Picture 1" descr="《亚马逊VC运营手册》2026电子版V0.2封面"/>
            <wp:cNvGraphicFramePr>
              <a:graphicFrameLocks noChangeAspect="1"/>
            </wp:cNvGraphicFramePr>
            <a:graphic>
              <a:graphicData uri="http://schemas.openxmlformats.org/drawingml/2006/picture">
                <pic:pic>
                  <pic:nvPicPr>
                    <pic:cNvPr id="0" name="cover_v0.2.png"/>
                    <pic:cNvPicPr/>
                  </pic:nvPicPr>
                  <pic:blipFill>
                    <a:blip r:embed="rId9"/>
                    <a:stretch>
                      <a:fillRect/>
                    </a:stretch>
                  </pic:blipFill>
                  <pic:spPr>
                    <a:xfrm>
                      <a:off x="0" y="0"/>
                      <a:ext cx="7059168" cy="9144000"/>
                    </a:xfrm>
                    <a:prstGeom prst="rect"/>
                  </pic:spPr>
                </pic:pic>
              </a:graphicData>
            </a:graphic>
          </wp:inline>
        </w:drawing>
      </w:r>
    </w:p>
    <w:p>
      <w:pPr>
        <w:sectPr>
          <w:pgSz w:w="12240" w:h="15840"/>
          <w:pgMar w:top="547" w:right="547" w:bottom="547" w:left="547" w:header="720" w:footer="720" w:gutter="0"/>
          <w:cols w:space="720"/>
          <w:docGrid w:linePitch="360"/>
        </w:sectPr>
      </w:pPr>
    </w:p>
    <w:p>
      <w:pPr>
        <w:spacing w:after="360"/>
        <w:jc w:val="center"/>
      </w:pPr>
      <w:r>
        <w:rPr>
          <w:rFonts w:ascii="Noto Sans CJK SC" w:hAnsi="Noto Sans CJK SC" w:eastAsia="Noto Sans CJK SC"/>
          <w:b/>
          <w:color w:val="0B1F33"/>
          <w:sz w:val="36"/>
        </w:rPr>
        <w:t>出版与版本信息</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rHeight w:hRule="atLeast"/>
        </w:trPr>
        <w:tc>
          <w:tcPr>
            <w:tcW w:type="dxa" w:w="2200"/>
            <w:shd w:fill="E9F2F8"/>
            <w:vAlign w:val="center"/>
            <w:tcMar>
              <w:top w:w="90" w:type="dxa"/>
              <w:start w:w="120" w:type="dxa"/>
              <w:bottom w:w="90" w:type="dxa"/>
              <w:end w:w="120" w:type="dxa"/>
            </w:tcMar>
          </w:tcPr>
          <w:p>
            <w:r>
              <w:rPr>
                <w:rFonts w:ascii="Noto Sans CJK SC" w:hAnsi="Noto Sans CJK SC" w:eastAsia="Noto Sans CJK SC"/>
                <w:b/>
                <w:color w:val="0B1F33"/>
                <w:sz w:val="19"/>
              </w:rPr>
              <w:t>书名</w:t>
            </w:r>
          </w:p>
        </w:tc>
        <w:tc>
          <w:tcPr>
            <w:tcW w:type="dxa" w:w="7160"/>
            <w:vAlign w:val="center"/>
            <w:tcMar>
              <w:top w:w="90" w:type="dxa"/>
              <w:start w:w="120" w:type="dxa"/>
              <w:bottom w:w="90" w:type="dxa"/>
              <w:end w:w="120" w:type="dxa"/>
            </w:tcMar>
          </w:tcPr>
          <w:p>
            <w:r>
              <w:rPr>
                <w:rFonts w:ascii="Noto Sans CJK SC" w:hAnsi="Noto Sans CJK SC" w:eastAsia="Noto Sans CJK SC"/>
                <w:color w:val="17212B"/>
                <w:sz w:val="19"/>
              </w:rPr>
              <w:t>亚马逊VC运营手册</w:t>
            </w:r>
          </w:p>
        </w:tc>
      </w:tr>
      <w:tr>
        <w:trPr>
          <w:trHeight w:hRule="atLeast"/>
        </w:trPr>
        <w:tc>
          <w:tcPr>
            <w:tcW w:type="dxa" w:w="2200"/>
            <w:shd w:fill="E9F2F8"/>
            <w:vAlign w:val="center"/>
            <w:tcMar>
              <w:top w:w="90" w:type="dxa"/>
              <w:start w:w="120" w:type="dxa"/>
              <w:bottom w:w="90" w:type="dxa"/>
              <w:end w:w="120" w:type="dxa"/>
            </w:tcMar>
          </w:tcPr>
          <w:p>
            <w:r>
              <w:rPr>
                <w:rFonts w:ascii="Noto Sans CJK SC" w:hAnsi="Noto Sans CJK SC" w:eastAsia="Noto Sans CJK SC"/>
                <w:b/>
                <w:color w:val="0B1F33"/>
                <w:sz w:val="19"/>
              </w:rPr>
              <w:t>副标题</w:t>
            </w:r>
          </w:p>
        </w:tc>
        <w:tc>
          <w:tcPr>
            <w:tcW w:type="dxa" w:w="7160"/>
            <w:vAlign w:val="center"/>
            <w:tcMar>
              <w:top w:w="90" w:type="dxa"/>
              <w:start w:w="120" w:type="dxa"/>
              <w:bottom w:w="90" w:type="dxa"/>
              <w:end w:w="120" w:type="dxa"/>
            </w:tcMar>
          </w:tcPr>
          <w:p>
            <w:r>
              <w:rPr>
                <w:rFonts w:ascii="Noto Sans CJK SC" w:hAnsi="Noto Sans CJK SC" w:eastAsia="Noto Sans CJK SC"/>
                <w:color w:val="17212B"/>
                <w:sz w:val="19"/>
              </w:rPr>
              <w:t>从供应商合作、PO履约到利润增长的系统实战指南</w:t>
            </w:r>
          </w:p>
        </w:tc>
      </w:tr>
      <w:tr>
        <w:trPr>
          <w:trHeight w:hRule="atLeast"/>
        </w:trPr>
        <w:tc>
          <w:tcPr>
            <w:tcW w:type="dxa" w:w="2200"/>
            <w:shd w:fill="E9F2F8"/>
            <w:vAlign w:val="center"/>
            <w:tcMar>
              <w:top w:w="90" w:type="dxa"/>
              <w:start w:w="120" w:type="dxa"/>
              <w:bottom w:w="90" w:type="dxa"/>
              <w:end w:w="120" w:type="dxa"/>
            </w:tcMar>
          </w:tcPr>
          <w:p>
            <w:r>
              <w:rPr>
                <w:rFonts w:ascii="Noto Sans CJK SC" w:hAnsi="Noto Sans CJK SC" w:eastAsia="Noto Sans CJK SC"/>
                <w:b/>
                <w:color w:val="0B1F33"/>
                <w:sz w:val="19"/>
              </w:rPr>
              <w:t>作者</w:t>
            </w:r>
          </w:p>
        </w:tc>
        <w:tc>
          <w:tcPr>
            <w:tcW w:type="dxa" w:w="7160"/>
            <w:vAlign w:val="center"/>
            <w:tcMar>
              <w:top w:w="90" w:type="dxa"/>
              <w:start w:w="120" w:type="dxa"/>
              <w:bottom w:w="90" w:type="dxa"/>
              <w:end w:w="120" w:type="dxa"/>
            </w:tcMar>
          </w:tcPr>
          <w:p>
            <w:r>
              <w:rPr>
                <w:rFonts w:ascii="Noto Sans CJK SC" w:hAnsi="Noto Sans CJK SC" w:eastAsia="Noto Sans CJK SC"/>
                <w:color w:val="17212B"/>
                <w:sz w:val="19"/>
              </w:rPr>
              <w:t>阳亚运｜天机跨境</w:t>
            </w:r>
          </w:p>
        </w:tc>
      </w:tr>
      <w:tr>
        <w:trPr>
          <w:trHeight w:hRule="atLeast"/>
        </w:trPr>
        <w:tc>
          <w:tcPr>
            <w:tcW w:type="dxa" w:w="2200"/>
            <w:shd w:fill="E9F2F8"/>
            <w:vAlign w:val="center"/>
            <w:tcMar>
              <w:top w:w="90" w:type="dxa"/>
              <w:start w:w="120" w:type="dxa"/>
              <w:bottom w:w="90" w:type="dxa"/>
              <w:end w:w="120" w:type="dxa"/>
            </w:tcMar>
          </w:tcPr>
          <w:p>
            <w:r>
              <w:rPr>
                <w:rFonts w:ascii="Noto Sans CJK SC" w:hAnsi="Noto Sans CJK SC" w:eastAsia="Noto Sans CJK SC"/>
                <w:b/>
                <w:color w:val="0B1F33"/>
                <w:sz w:val="19"/>
              </w:rPr>
              <w:t>版本</w:t>
            </w:r>
          </w:p>
        </w:tc>
        <w:tc>
          <w:tcPr>
            <w:tcW w:type="dxa" w:w="7160"/>
            <w:vAlign w:val="center"/>
            <w:tcMar>
              <w:top w:w="90" w:type="dxa"/>
              <w:start w:w="120" w:type="dxa"/>
              <w:bottom w:w="90" w:type="dxa"/>
              <w:end w:w="120" w:type="dxa"/>
            </w:tcMar>
          </w:tcPr>
          <w:p>
            <w:r>
              <w:rPr>
                <w:rFonts w:ascii="Noto Sans CJK SC" w:hAnsi="Noto Sans CJK SC" w:eastAsia="Noto Sans CJK SC"/>
                <w:color w:val="17212B"/>
                <w:sz w:val="19"/>
              </w:rPr>
              <w:t>2026电子版 V0.2（财务与扣款深水区）</w:t>
            </w:r>
          </w:p>
        </w:tc>
      </w:tr>
      <w:tr>
        <w:trPr>
          <w:trHeight w:hRule="atLeast"/>
        </w:trPr>
        <w:tc>
          <w:tcPr>
            <w:tcW w:type="dxa" w:w="2200"/>
            <w:shd w:fill="E9F2F8"/>
            <w:vAlign w:val="center"/>
            <w:tcMar>
              <w:top w:w="90" w:type="dxa"/>
              <w:start w:w="120" w:type="dxa"/>
              <w:bottom w:w="90" w:type="dxa"/>
              <w:end w:w="120" w:type="dxa"/>
            </w:tcMar>
          </w:tcPr>
          <w:p>
            <w:r>
              <w:rPr>
                <w:rFonts w:ascii="Noto Sans CJK SC" w:hAnsi="Noto Sans CJK SC" w:eastAsia="Noto Sans CJK SC"/>
                <w:b/>
                <w:color w:val="0B1F33"/>
                <w:sz w:val="19"/>
              </w:rPr>
              <w:t>核验日期</w:t>
            </w:r>
          </w:p>
        </w:tc>
        <w:tc>
          <w:tcPr>
            <w:tcW w:type="dxa" w:w="7160"/>
            <w:vAlign w:val="center"/>
            <w:tcMar>
              <w:top w:w="90" w:type="dxa"/>
              <w:start w:w="120" w:type="dxa"/>
              <w:bottom w:w="90" w:type="dxa"/>
              <w:end w:w="120" w:type="dxa"/>
            </w:tcMar>
          </w:tcPr>
          <w:p>
            <w:r>
              <w:rPr>
                <w:rFonts w:ascii="Noto Sans CJK SC" w:hAnsi="Noto Sans CJK SC" w:eastAsia="Noto Sans CJK SC"/>
                <w:color w:val="17212B"/>
                <w:sz w:val="19"/>
              </w:rPr>
              <w:t>2026年8月13日</w:t>
            </w:r>
          </w:p>
        </w:tc>
      </w:tr>
      <w:tr>
        <w:trPr>
          <w:trHeight w:hRule="atLeast"/>
        </w:trPr>
        <w:tc>
          <w:tcPr>
            <w:tcW w:type="dxa" w:w="2200"/>
            <w:shd w:fill="E9F2F8"/>
            <w:vAlign w:val="center"/>
            <w:tcMar>
              <w:top w:w="90" w:type="dxa"/>
              <w:start w:w="120" w:type="dxa"/>
              <w:bottom w:w="90" w:type="dxa"/>
              <w:end w:w="120" w:type="dxa"/>
            </w:tcMar>
          </w:tcPr>
          <w:p>
            <w:r>
              <w:rPr>
                <w:rFonts w:ascii="Noto Sans CJK SC" w:hAnsi="Noto Sans CJK SC" w:eastAsia="Noto Sans CJK SC"/>
                <w:b/>
                <w:color w:val="0B1F33"/>
                <w:sz w:val="19"/>
              </w:rPr>
              <w:t>定位</w:t>
            </w:r>
          </w:p>
        </w:tc>
        <w:tc>
          <w:tcPr>
            <w:tcW w:type="dxa" w:w="7160"/>
            <w:vAlign w:val="center"/>
            <w:tcMar>
              <w:top w:w="90" w:type="dxa"/>
              <w:start w:w="120" w:type="dxa"/>
              <w:bottom w:w="90" w:type="dxa"/>
              <w:end w:w="120" w:type="dxa"/>
            </w:tcMar>
          </w:tcPr>
          <w:p>
            <w:r>
              <w:rPr>
                <w:rFonts w:ascii="Noto Sans CJK SC" w:hAnsi="Noto Sans CJK SC" w:eastAsia="Noto Sans CJK SC"/>
                <w:color w:val="17212B"/>
                <w:sz w:val="19"/>
              </w:rPr>
              <w:t>面向品牌方、工厂、贸易商与VC运营团队的可执行工具书</w:t>
            </w:r>
          </w:p>
        </w:tc>
      </w:tr>
    </w:tbl>
    <w:p/>
    <w:p>
      <w:pPr>
        <w:spacing w:after="120"/>
      </w:pPr>
      <w:r>
        <w:rPr>
          <w:rFonts w:ascii="Noto Sans CJK SC" w:hAnsi="Noto Sans CJK SC" w:eastAsia="Noto Sans CJK SC"/>
          <w:b/>
          <w:color w:val="2E5E82"/>
          <w:sz w:val="24"/>
        </w:rPr>
        <w:t>作者简介</w:t>
      </w:r>
    </w:p>
    <w:p>
      <w:r>
        <w:rPr>
          <w:rFonts w:ascii="Noto Sans CJK SC" w:hAnsi="Noto Sans CJK SC" w:eastAsia="Noto Sans CJK SC"/>
          <w:b w:val="0"/>
          <w:color w:val="17212B"/>
          <w:sz w:val="21"/>
        </w:rPr>
        <w:t>阳亚运，天机跨境主理人，拥有12年跨境电商运营经验、9年创业经验，曾任两家上市公司跨境业务负责人，并担任亚马逊官方特邀讲师。长期专注亚马逊VC+SC精细化运营、选品、广告、Listing质量与AI系统化落地。</w:t>
      </w:r>
    </w:p>
    <w:p>
      <w:pPr>
        <w:spacing w:before="240" w:after="120"/>
      </w:pPr>
      <w:r>
        <w:rPr>
          <w:rFonts w:ascii="Noto Sans CJK SC" w:hAnsi="Noto Sans CJK SC" w:eastAsia="Noto Sans CJK SC"/>
          <w:b/>
          <w:color w:val="2E5E82"/>
          <w:sz w:val="24"/>
        </w:rPr>
        <w:t>版权与免责声明</w:t>
      </w:r>
    </w:p>
    <w:p>
      <w:r>
        <w:rPr>
          <w:rFonts w:ascii="Noto Sans CJK SC" w:hAnsi="Noto Sans CJK SC" w:eastAsia="Noto Sans CJK SC"/>
          <w:b w:val="0"/>
          <w:color w:val="17212B"/>
          <w:sz w:val="21"/>
        </w:rPr>
        <w:t>本书为独立编写的实战资料，不是Amazon或其关联公司的官方出版物。Amazon、Vendor Central及相关产品名称的权利归其权利人所有。后台、合同、政策、税务与法律要求可能变化，读者必须以当前账号、供应商协议、站点Help和专业意见为准。严禁将书中模板用于伪造合规、物流、发票或其他证据。</w:t>
      </w:r>
    </w:p>
    <w:p>
      <w:r>
        <w:br w:type="page"/>
      </w:r>
    </w:p>
    <w:p>
      <w:pPr>
        <w:spacing w:after="100"/>
      </w:pPr>
      <w:r>
        <w:rPr>
          <w:rFonts w:ascii="Noto Sans CJK SC" w:hAnsi="Noto Sans CJK SC" w:eastAsia="Noto Sans CJK SC"/>
          <w:b/>
          <w:color w:val="0B1F33"/>
          <w:sz w:val="40"/>
        </w:rPr>
        <w:t>目录</w:t>
      </w:r>
    </w:p>
    <w:p>
      <w:r>
        <w:rPr>
          <w:rFonts w:ascii="Noto Sans CJK SC" w:hAnsi="Noto Sans CJK SC" w:eastAsia="Noto Sans CJK SC"/>
          <w:b w:val="0"/>
          <w:color w:val="607080"/>
          <w:sz w:val="18"/>
        </w:rPr>
        <w:t>电子版静态目录（章内小节可通过Word导航窗格查看；页码随版本更新而变化）</w:t>
      </w:r>
    </w:p>
    <w:p>
      <w:pPr>
        <w:spacing w:before="0" w:after="30"/>
        <w:ind w:left="115"/>
      </w:pPr>
      <w:r>
        <w:rPr>
          <w:rFonts w:ascii="Noto Sans CJK SC" w:hAnsi="Noto Sans CJK SC" w:eastAsia="Noto Sans CJK SC"/>
          <w:b w:val="0"/>
          <w:color w:val="17212B"/>
          <w:sz w:val="18"/>
        </w:rPr>
        <w:t>使用说明：先把VC当成一门“批发经营”</w:t>
      </w:r>
    </w:p>
    <w:p>
      <w:pPr>
        <w:spacing w:before="160" w:after="60"/>
      </w:pPr>
      <w:r>
        <w:rPr>
          <w:rFonts w:ascii="Noto Sans CJK SC" w:hAnsi="Noto Sans CJK SC" w:eastAsia="Noto Sans CJK SC"/>
          <w:b/>
          <w:color w:val="E98400"/>
          <w:sz w:val="22"/>
        </w:rPr>
        <w:t>第一篇 认知重构：从SC卖家到Amazon供应商</w:t>
      </w:r>
    </w:p>
    <w:p>
      <w:pPr>
        <w:spacing w:before="0" w:after="30"/>
        <w:ind w:left="317"/>
      </w:pPr>
      <w:r>
        <w:rPr>
          <w:rFonts w:ascii="Noto Sans CJK SC" w:hAnsi="Noto Sans CJK SC" w:eastAsia="Noto Sans CJK SC"/>
          <w:b w:val="0"/>
          <w:color w:val="17212B"/>
          <w:sz w:val="18"/>
        </w:rPr>
        <w:t>第1章 VC到底是什么：合同、货权与定价权</w:t>
      </w:r>
    </w:p>
    <w:p>
      <w:pPr>
        <w:spacing w:before="0" w:after="30"/>
        <w:ind w:left="317"/>
      </w:pPr>
      <w:r>
        <w:rPr>
          <w:rFonts w:ascii="Noto Sans CJK SC" w:hAnsi="Noto Sans CJK SC" w:eastAsia="Noto Sans CJK SC"/>
          <w:b w:val="0"/>
          <w:color w:val="17212B"/>
          <w:sz w:val="18"/>
        </w:rPr>
        <w:t>第2章 账号、Vendor Code与权限体系</w:t>
      </w:r>
    </w:p>
    <w:p>
      <w:pPr>
        <w:spacing w:before="0" w:after="30"/>
        <w:ind w:left="317"/>
      </w:pPr>
      <w:r>
        <w:rPr>
          <w:rFonts w:ascii="Noto Sans CJK SC" w:hAnsi="Noto Sans CJK SC" w:eastAsia="Noto Sans CJK SC"/>
          <w:b w:val="0"/>
          <w:color w:val="17212B"/>
          <w:sz w:val="18"/>
        </w:rPr>
        <w:t>第3章 30天VC账号体检</w:t>
      </w:r>
    </w:p>
    <w:p>
      <w:pPr>
        <w:spacing w:before="160" w:after="60"/>
      </w:pPr>
      <w:r>
        <w:rPr>
          <w:rFonts w:ascii="Noto Sans CJK SC" w:hAnsi="Noto Sans CJK SC" w:eastAsia="Noto Sans CJK SC"/>
          <w:b/>
          <w:color w:val="E98400"/>
          <w:sz w:val="22"/>
        </w:rPr>
        <w:t>第二篇 目录、上架与合规</w:t>
      </w:r>
    </w:p>
    <w:p>
      <w:pPr>
        <w:spacing w:before="0" w:after="30"/>
        <w:ind w:left="317"/>
      </w:pPr>
      <w:r>
        <w:rPr>
          <w:rFonts w:ascii="Noto Sans CJK SC" w:hAnsi="Noto Sans CJK SC" w:eastAsia="Noto Sans CJK SC"/>
          <w:b w:val="0"/>
          <w:color w:val="17212B"/>
          <w:sz w:val="18"/>
        </w:rPr>
        <w:t>第4章 从产品资料包到可售ASIN</w:t>
      </w:r>
    </w:p>
    <w:p>
      <w:pPr>
        <w:spacing w:before="0" w:after="30"/>
        <w:ind w:left="317"/>
      </w:pPr>
      <w:r>
        <w:rPr>
          <w:rFonts w:ascii="Noto Sans CJK SC" w:hAnsi="Noto Sans CJK SC" w:eastAsia="Noto Sans CJK SC"/>
          <w:b w:val="0"/>
          <w:color w:val="17212B"/>
          <w:sz w:val="18"/>
        </w:rPr>
        <w:t>第5章 合规、危险品与产品包装</w:t>
      </w:r>
    </w:p>
    <w:p>
      <w:pPr>
        <w:spacing w:before="160" w:after="60"/>
      </w:pPr>
      <w:r>
        <w:rPr>
          <w:rFonts w:ascii="Noto Sans CJK SC" w:hAnsi="Noto Sans CJK SC" w:eastAsia="Noto Sans CJK SC"/>
          <w:b/>
          <w:color w:val="E98400"/>
          <w:sz w:val="22"/>
        </w:rPr>
        <w:t>第三篇 PO、物流与履约</w:t>
      </w:r>
    </w:p>
    <w:p>
      <w:pPr>
        <w:spacing w:before="0" w:after="30"/>
        <w:ind w:left="317"/>
      </w:pPr>
      <w:r>
        <w:rPr>
          <w:rFonts w:ascii="Noto Sans CJK SC" w:hAnsi="Noto Sans CJK SC" w:eastAsia="Noto Sans CJK SC"/>
          <w:b w:val="0"/>
          <w:color w:val="17212B"/>
          <w:sz w:val="18"/>
        </w:rPr>
        <w:t>第6章 PO全生命周期</w:t>
      </w:r>
    </w:p>
    <w:p>
      <w:pPr>
        <w:spacing w:before="0" w:after="30"/>
        <w:ind w:left="317"/>
      </w:pPr>
      <w:r>
        <w:rPr>
          <w:rFonts w:ascii="Noto Sans CJK SC" w:hAnsi="Noto Sans CJK SC" w:eastAsia="Noto Sans CJK SC"/>
          <w:b w:val="0"/>
          <w:color w:val="17212B"/>
          <w:sz w:val="18"/>
        </w:rPr>
        <w:t>第7章 ASN、标签、预约与收货差异</w:t>
      </w:r>
    </w:p>
    <w:p>
      <w:pPr>
        <w:spacing w:before="0" w:after="30"/>
        <w:ind w:left="317"/>
      </w:pPr>
      <w:r>
        <w:rPr>
          <w:rFonts w:ascii="Noto Sans CJK SC" w:hAnsi="Noto Sans CJK SC" w:eastAsia="Noto Sans CJK SC"/>
          <w:b w:val="0"/>
          <w:color w:val="17212B"/>
          <w:sz w:val="18"/>
        </w:rPr>
        <w:t>第8章 Direct Fulfillment（DF）运营</w:t>
      </w:r>
    </w:p>
    <w:p>
      <w:pPr>
        <w:spacing w:before="0" w:after="30"/>
        <w:ind w:left="317"/>
      </w:pPr>
      <w:r>
        <w:rPr>
          <w:rFonts w:ascii="Noto Sans CJK SC" w:hAnsi="Noto Sans CJK SC" w:eastAsia="Noto Sans CJK SC"/>
          <w:b w:val="0"/>
          <w:color w:val="17212B"/>
          <w:sz w:val="18"/>
        </w:rPr>
        <w:t>第9章 Bulk Buy决策模型</w:t>
      </w:r>
    </w:p>
    <w:p>
      <w:pPr>
        <w:spacing w:before="160" w:after="60"/>
      </w:pPr>
      <w:r>
        <w:rPr>
          <w:rFonts w:ascii="Noto Sans CJK SC" w:hAnsi="Noto Sans CJK SC" w:eastAsia="Noto Sans CJK SC"/>
          <w:b/>
          <w:color w:val="E98400"/>
          <w:sz w:val="22"/>
        </w:rPr>
        <w:t>第四篇 利润、定价与谈判</w:t>
      </w:r>
    </w:p>
    <w:p>
      <w:pPr>
        <w:spacing w:before="0" w:after="30"/>
        <w:ind w:left="317"/>
      </w:pPr>
      <w:r>
        <w:rPr>
          <w:rFonts w:ascii="Noto Sans CJK SC" w:hAnsi="Noto Sans CJK SC" w:eastAsia="Noto Sans CJK SC"/>
          <w:b w:val="0"/>
          <w:color w:val="17212B"/>
          <w:sz w:val="18"/>
        </w:rPr>
        <w:t>第10章 VC单位经济模型</w:t>
      </w:r>
    </w:p>
    <w:p>
      <w:pPr>
        <w:spacing w:before="0" w:after="30"/>
        <w:ind w:left="317"/>
      </w:pPr>
      <w:r>
        <w:rPr>
          <w:rFonts w:ascii="Noto Sans CJK SC" w:hAnsi="Noto Sans CJK SC" w:eastAsia="Noto Sans CJK SC"/>
          <w:b w:val="0"/>
          <w:color w:val="17212B"/>
          <w:sz w:val="18"/>
        </w:rPr>
        <w:t>第11章 PPM、Net PPM与供应商CM</w:t>
      </w:r>
    </w:p>
    <w:p>
      <w:pPr>
        <w:spacing w:before="0" w:after="30"/>
        <w:ind w:left="317"/>
      </w:pPr>
      <w:r>
        <w:rPr>
          <w:rFonts w:ascii="Noto Sans CJK SC" w:hAnsi="Noto Sans CJK SC" w:eastAsia="Noto Sans CJK SC"/>
          <w:b w:val="0"/>
          <w:color w:val="17212B"/>
          <w:sz w:val="18"/>
        </w:rPr>
        <w:t>第12章 Cost、List Price与价格压力</w:t>
      </w:r>
    </w:p>
    <w:p>
      <w:pPr>
        <w:spacing w:before="0" w:after="30"/>
        <w:ind w:left="317"/>
      </w:pPr>
      <w:r>
        <w:rPr>
          <w:rFonts w:ascii="Noto Sans CJK SC" w:hAnsi="Noto Sans CJK SC" w:eastAsia="Noto Sans CJK SC"/>
          <w:b w:val="0"/>
          <w:color w:val="17212B"/>
          <w:sz w:val="18"/>
        </w:rPr>
        <w:t>第13章 Trade Agreement与年度谈判</w:t>
      </w:r>
    </w:p>
    <w:p>
      <w:pPr>
        <w:spacing w:before="160" w:after="60"/>
      </w:pPr>
      <w:r>
        <w:rPr>
          <w:rFonts w:ascii="Noto Sans CJK SC" w:hAnsi="Noto Sans CJK SC" w:eastAsia="Noto Sans CJK SC"/>
          <w:b/>
          <w:color w:val="E98400"/>
          <w:sz w:val="22"/>
        </w:rPr>
        <w:t>第五篇 财务与扣款深水区</w:t>
      </w:r>
    </w:p>
    <w:p>
      <w:pPr>
        <w:spacing w:before="0" w:after="30"/>
        <w:ind w:left="317"/>
      </w:pPr>
      <w:r>
        <w:rPr>
          <w:rFonts w:ascii="Noto Sans CJK SC" w:hAnsi="Noto Sans CJK SC" w:eastAsia="Noto Sans CJK SC"/>
          <w:b w:val="0"/>
          <w:color w:val="17212B"/>
          <w:sz w:val="18"/>
        </w:rPr>
        <w:t>第14章 发票字段字典与三单匹配</w:t>
      </w:r>
    </w:p>
    <w:p>
      <w:pPr>
        <w:spacing w:before="0" w:after="30"/>
        <w:ind w:left="317"/>
      </w:pPr>
      <w:r>
        <w:rPr>
          <w:rFonts w:ascii="Noto Sans CJK SC" w:hAnsi="Noto Sans CJK SC" w:eastAsia="Noto Sans CJK SC"/>
          <w:b w:val="0"/>
          <w:color w:val="17212B"/>
          <w:sz w:val="18"/>
        </w:rPr>
        <w:t>第15章 Remittance逐行对账</w:t>
      </w:r>
    </w:p>
    <w:p>
      <w:pPr>
        <w:spacing w:before="0" w:after="30"/>
        <w:ind w:left="317"/>
      </w:pPr>
      <w:r>
        <w:rPr>
          <w:rFonts w:ascii="Noto Sans CJK SC" w:hAnsi="Noto Sans CJK SC" w:eastAsia="Noto Sans CJK SC"/>
          <w:b w:val="0"/>
          <w:color w:val="17212B"/>
          <w:sz w:val="18"/>
        </w:rPr>
        <w:t>第16章 Chargeback原因码字典与根因控制</w:t>
      </w:r>
    </w:p>
    <w:p>
      <w:pPr>
        <w:spacing w:before="0" w:after="30"/>
        <w:ind w:left="317"/>
      </w:pPr>
      <w:r>
        <w:rPr>
          <w:rFonts w:ascii="Noto Sans CJK SC" w:hAnsi="Noto Sans CJK SC" w:eastAsia="Noto Sans CJK SC"/>
          <w:b w:val="0"/>
          <w:color w:val="17212B"/>
          <w:sz w:val="18"/>
        </w:rPr>
        <w:t>第17章 争议证据包与胜率库</w:t>
      </w:r>
    </w:p>
    <w:p>
      <w:pPr>
        <w:spacing w:before="0" w:after="30"/>
        <w:ind w:left="317"/>
      </w:pPr>
      <w:r>
        <w:rPr>
          <w:rFonts w:ascii="Noto Sans CJK SC" w:hAnsi="Noto Sans CJK SC" w:eastAsia="Noto Sans CJK SC"/>
          <w:b w:val="0"/>
          <w:color w:val="17212B"/>
          <w:sz w:val="18"/>
        </w:rPr>
        <w:t>第18章 13周现金流、BTR退货与Cost冲回</w:t>
      </w:r>
    </w:p>
    <w:p>
      <w:pPr>
        <w:spacing w:before="0" w:after="30"/>
        <w:ind w:left="317"/>
      </w:pPr>
      <w:r>
        <w:rPr>
          <w:rFonts w:ascii="Noto Sans CJK SC" w:hAnsi="Noto Sans CJK SC" w:eastAsia="Noto Sans CJK SC"/>
          <w:b w:val="0"/>
          <w:color w:val="17212B"/>
          <w:sz w:val="18"/>
        </w:rPr>
        <w:t>第19章 PO维度与零售维度双重核算</w:t>
      </w:r>
    </w:p>
    <w:p>
      <w:pPr>
        <w:spacing w:before="160" w:after="60"/>
      </w:pPr>
      <w:r>
        <w:rPr>
          <w:rFonts w:ascii="Noto Sans CJK SC" w:hAnsi="Noto Sans CJK SC" w:eastAsia="Noto Sans CJK SC"/>
          <w:b/>
          <w:color w:val="E98400"/>
          <w:sz w:val="22"/>
        </w:rPr>
        <w:t>第六篇 库存、可售与增长</w:t>
      </w:r>
    </w:p>
    <w:p>
      <w:pPr>
        <w:spacing w:before="0" w:after="30"/>
        <w:ind w:left="317"/>
      </w:pPr>
      <w:r>
        <w:rPr>
          <w:rFonts w:ascii="Noto Sans CJK SC" w:hAnsi="Noto Sans CJK SC" w:eastAsia="Noto Sans CJK SC"/>
          <w:b w:val="0"/>
          <w:color w:val="17212B"/>
          <w:sz w:val="18"/>
        </w:rPr>
        <w:t>第20章 预测、库存与PO节奏</w:t>
      </w:r>
    </w:p>
    <w:p>
      <w:pPr>
        <w:spacing w:before="0" w:after="30"/>
        <w:ind w:left="317"/>
      </w:pPr>
      <w:r>
        <w:rPr>
          <w:rFonts w:ascii="Noto Sans CJK SC" w:hAnsi="Noto Sans CJK SC" w:eastAsia="Noto Sans CJK SC"/>
          <w:b w:val="0"/>
          <w:color w:val="17212B"/>
          <w:sz w:val="18"/>
        </w:rPr>
        <w:t>第21章 可售状态、Featured Offer与购物车</w:t>
      </w:r>
    </w:p>
    <w:p>
      <w:pPr>
        <w:spacing w:before="0" w:after="30"/>
        <w:ind w:left="317"/>
      </w:pPr>
      <w:r>
        <w:rPr>
          <w:rFonts w:ascii="Noto Sans CJK SC" w:hAnsi="Noto Sans CJK SC" w:eastAsia="Noto Sans CJK SC"/>
          <w:b w:val="0"/>
          <w:color w:val="17212B"/>
          <w:sz w:val="18"/>
        </w:rPr>
        <w:t>第22章 退货、VOC与质量闭环</w:t>
      </w:r>
    </w:p>
    <w:p>
      <w:pPr>
        <w:spacing w:before="0" w:after="30"/>
        <w:ind w:left="317"/>
      </w:pPr>
      <w:r>
        <w:rPr>
          <w:rFonts w:ascii="Noto Sans CJK SC" w:hAnsi="Noto Sans CJK SC" w:eastAsia="Noto Sans CJK SC"/>
          <w:b w:val="0"/>
          <w:color w:val="17212B"/>
          <w:sz w:val="18"/>
        </w:rPr>
        <w:t>第23章 VC广告：以零售可售和利润为前提</w:t>
      </w:r>
    </w:p>
    <w:p>
      <w:pPr>
        <w:spacing w:before="0" w:after="30"/>
        <w:ind w:left="317"/>
      </w:pPr>
      <w:r>
        <w:rPr>
          <w:rFonts w:ascii="Noto Sans CJK SC" w:hAnsi="Noto Sans CJK SC" w:eastAsia="Noto Sans CJK SC"/>
          <w:b w:val="0"/>
          <w:color w:val="17212B"/>
          <w:sz w:val="18"/>
        </w:rPr>
        <w:t>第24章 促销、Funding与叠加风险</w:t>
      </w:r>
    </w:p>
    <w:p>
      <w:pPr>
        <w:spacing w:before="0" w:after="30"/>
        <w:ind w:left="317"/>
      </w:pPr>
      <w:r>
        <w:rPr>
          <w:rFonts w:ascii="Noto Sans CJK SC" w:hAnsi="Noto Sans CJK SC" w:eastAsia="Noto Sans CJK SC"/>
          <w:b w:val="0"/>
          <w:color w:val="17212B"/>
          <w:sz w:val="18"/>
        </w:rPr>
        <w:t>第25章 SC+VC协同</w:t>
      </w:r>
    </w:p>
    <w:p>
      <w:pPr>
        <w:spacing w:before="160" w:after="60"/>
      </w:pPr>
      <w:r>
        <w:rPr>
          <w:rFonts w:ascii="Noto Sans CJK SC" w:hAnsi="Noto Sans CJK SC" w:eastAsia="Noto Sans CJK SC"/>
          <w:b/>
          <w:color w:val="E98400"/>
          <w:sz w:val="22"/>
        </w:rPr>
        <w:t>第七篇 组织、SOP与系统化</w:t>
      </w:r>
    </w:p>
    <w:p>
      <w:pPr>
        <w:spacing w:before="0" w:after="30"/>
        <w:ind w:left="317"/>
      </w:pPr>
      <w:r>
        <w:rPr>
          <w:rFonts w:ascii="Noto Sans CJK SC" w:hAnsi="Noto Sans CJK SC" w:eastAsia="Noto Sans CJK SC"/>
          <w:b w:val="0"/>
          <w:color w:val="17212B"/>
          <w:sz w:val="18"/>
        </w:rPr>
        <w:t>第26章 日、周、月、季度运营节奏</w:t>
      </w:r>
    </w:p>
    <w:p>
      <w:pPr>
        <w:spacing w:before="0" w:after="30"/>
        <w:ind w:left="317"/>
      </w:pPr>
      <w:r>
        <w:rPr>
          <w:rFonts w:ascii="Noto Sans CJK SC" w:hAnsi="Noto Sans CJK SC" w:eastAsia="Noto Sans CJK SC"/>
          <w:b w:val="0"/>
          <w:color w:val="17212B"/>
          <w:sz w:val="18"/>
        </w:rPr>
        <w:t>第27章 KPI树与管理看板</w:t>
      </w:r>
    </w:p>
    <w:p>
      <w:pPr>
        <w:spacing w:before="0" w:after="30"/>
        <w:ind w:left="317"/>
      </w:pPr>
      <w:r>
        <w:rPr>
          <w:rFonts w:ascii="Noto Sans CJK SC" w:hAnsi="Noto Sans CJK SC" w:eastAsia="Noto Sans CJK SC"/>
          <w:b w:val="0"/>
          <w:color w:val="17212B"/>
          <w:sz w:val="18"/>
        </w:rPr>
        <w:t>第28章 与VM沟通和QBR</w:t>
      </w:r>
    </w:p>
    <w:p>
      <w:pPr>
        <w:spacing w:before="0" w:after="30"/>
        <w:ind w:left="317"/>
      </w:pPr>
      <w:r>
        <w:rPr>
          <w:rFonts w:ascii="Noto Sans CJK SC" w:hAnsi="Noto Sans CJK SC" w:eastAsia="Noto Sans CJK SC"/>
          <w:b w:val="0"/>
          <w:color w:val="17212B"/>
          <w:sz w:val="18"/>
        </w:rPr>
        <w:t>第29章 团队组织与RACI</w:t>
      </w:r>
    </w:p>
    <w:p>
      <w:pPr>
        <w:spacing w:before="0" w:after="30"/>
        <w:ind w:left="317"/>
      </w:pPr>
      <w:r>
        <w:rPr>
          <w:rFonts w:ascii="Noto Sans CJK SC" w:hAnsi="Noto Sans CJK SC" w:eastAsia="Noto Sans CJK SC"/>
          <w:b w:val="0"/>
          <w:color w:val="17212B"/>
          <w:sz w:val="18"/>
        </w:rPr>
        <w:t>第30章 EDI、SP-API与自动化</w:t>
      </w:r>
    </w:p>
    <w:p>
      <w:pPr>
        <w:spacing w:before="160" w:after="60"/>
      </w:pPr>
      <w:r>
        <w:rPr>
          <w:rFonts w:ascii="Noto Sans CJK SC" w:hAnsi="Noto Sans CJK SC" w:eastAsia="Noto Sans CJK SC"/>
          <w:b/>
          <w:color w:val="E98400"/>
          <w:sz w:val="22"/>
        </w:rPr>
        <w:t>第八篇 风险、申诉与持续迭代</w:t>
      </w:r>
    </w:p>
    <w:p>
      <w:pPr>
        <w:spacing w:before="0" w:after="30"/>
        <w:ind w:left="317"/>
      </w:pPr>
      <w:r>
        <w:rPr>
          <w:rFonts w:ascii="Noto Sans CJK SC" w:hAnsi="Noto Sans CJK SC" w:eastAsia="Noto Sans CJK SC"/>
          <w:b w:val="0"/>
          <w:color w:val="17212B"/>
          <w:sz w:val="18"/>
        </w:rPr>
        <w:t>第31章 VC风险红线</w:t>
      </w:r>
    </w:p>
    <w:p>
      <w:pPr>
        <w:spacing w:before="0" w:after="30"/>
        <w:ind w:left="317"/>
      </w:pPr>
      <w:r>
        <w:rPr>
          <w:rFonts w:ascii="Noto Sans CJK SC" w:hAnsi="Noto Sans CJK SC" w:eastAsia="Noto Sans CJK SC"/>
          <w:b w:val="0"/>
          <w:color w:val="17212B"/>
          <w:sz w:val="18"/>
        </w:rPr>
        <w:t>第32章 Case与POA</w:t>
      </w:r>
    </w:p>
    <w:p>
      <w:pPr>
        <w:spacing w:before="0" w:after="30"/>
        <w:ind w:left="115"/>
      </w:pPr>
      <w:r>
        <w:rPr>
          <w:rFonts w:ascii="Noto Sans CJK SC" w:hAnsi="Noto Sans CJK SC" w:eastAsia="Noto Sans CJK SC"/>
          <w:b/>
          <w:color w:val="0B1F33"/>
          <w:sz w:val="18"/>
        </w:rPr>
        <w:t>附录A VC核心术语表</w:t>
      </w:r>
    </w:p>
    <w:p>
      <w:pPr>
        <w:spacing w:before="0" w:after="30"/>
        <w:ind w:left="115"/>
      </w:pPr>
      <w:r>
        <w:rPr>
          <w:rFonts w:ascii="Noto Sans CJK SC" w:hAnsi="Noto Sans CJK SC" w:eastAsia="Noto Sans CJK SC"/>
          <w:b/>
          <w:color w:val="0B1F33"/>
          <w:sz w:val="18"/>
        </w:rPr>
        <w:t>附录B 新PO接单检查表</w:t>
      </w:r>
    </w:p>
    <w:p>
      <w:pPr>
        <w:spacing w:before="0" w:after="30"/>
        <w:ind w:left="115"/>
      </w:pPr>
      <w:r>
        <w:rPr>
          <w:rFonts w:ascii="Noto Sans CJK SC" w:hAnsi="Noto Sans CJK SC" w:eastAsia="Noto Sans CJK SC"/>
          <w:b/>
          <w:color w:val="0B1F33"/>
          <w:sz w:val="18"/>
        </w:rPr>
        <w:t>附录C 发票与回款月结检查表</w:t>
      </w:r>
    </w:p>
    <w:p>
      <w:pPr>
        <w:spacing w:before="0" w:after="30"/>
        <w:ind w:left="115"/>
      </w:pPr>
      <w:r>
        <w:rPr>
          <w:rFonts w:ascii="Noto Sans CJK SC" w:hAnsi="Noto Sans CJK SC" w:eastAsia="Noto Sans CJK SC"/>
          <w:b/>
          <w:color w:val="0B1F33"/>
          <w:sz w:val="18"/>
        </w:rPr>
        <w:t>附录D Remittance字段映射与异常表</w:t>
      </w:r>
    </w:p>
    <w:p>
      <w:pPr>
        <w:spacing w:before="0" w:after="30"/>
        <w:ind w:left="115"/>
      </w:pPr>
      <w:r>
        <w:rPr>
          <w:rFonts w:ascii="Noto Sans CJK SC" w:hAnsi="Noto Sans CJK SC" w:eastAsia="Noto Sans CJK SC"/>
          <w:b/>
          <w:color w:val="0B1F33"/>
          <w:sz w:val="18"/>
        </w:rPr>
        <w:t>附录E Chargeback争议提交检查表</w:t>
      </w:r>
    </w:p>
    <w:p>
      <w:pPr>
        <w:spacing w:before="0" w:after="30"/>
        <w:ind w:left="115"/>
      </w:pPr>
      <w:r>
        <w:rPr>
          <w:rFonts w:ascii="Noto Sans CJK SC" w:hAnsi="Noto Sans CJK SC" w:eastAsia="Noto Sans CJK SC"/>
          <w:b/>
          <w:color w:val="0B1F33"/>
          <w:sz w:val="18"/>
        </w:rPr>
        <w:t>附录F 13周现金流模型字段</w:t>
      </w:r>
    </w:p>
    <w:p>
      <w:pPr>
        <w:spacing w:before="0" w:after="30"/>
        <w:ind w:left="115"/>
      </w:pPr>
      <w:r>
        <w:rPr>
          <w:rFonts w:ascii="Noto Sans CJK SC" w:hAnsi="Noto Sans CJK SC" w:eastAsia="Noto Sans CJK SC"/>
          <w:b/>
          <w:color w:val="0B1F33"/>
          <w:sz w:val="18"/>
        </w:rPr>
        <w:t>附录G BTR退货结算取证清单</w:t>
      </w:r>
    </w:p>
    <w:p>
      <w:pPr>
        <w:spacing w:before="0" w:after="30"/>
        <w:ind w:left="115"/>
      </w:pPr>
      <w:r>
        <w:rPr>
          <w:rFonts w:ascii="Noto Sans CJK SC" w:hAnsi="Noto Sans CJK SC" w:eastAsia="Noto Sans CJK SC"/>
          <w:b/>
          <w:color w:val="0B1F33"/>
          <w:sz w:val="18"/>
        </w:rPr>
        <w:t>附录H V0.3-V1.0持续写作路线图</w:t>
      </w:r>
    </w:p>
    <w:p>
      <w:pPr>
        <w:spacing w:before="0" w:after="30"/>
        <w:ind w:left="115"/>
      </w:pPr>
      <w:r>
        <w:rPr>
          <w:rFonts w:ascii="Noto Sans CJK SC" w:hAnsi="Noto Sans CJK SC" w:eastAsia="Noto Sans CJK SC"/>
          <w:b/>
          <w:color w:val="0B1F33"/>
          <w:sz w:val="18"/>
        </w:rPr>
        <w:t>附录I 主要官方资料与核验入口</w:t>
      </w:r>
    </w:p>
    <w:p>
      <w:pPr>
        <w:spacing w:before="0" w:after="30"/>
        <w:ind w:left="115"/>
      </w:pPr>
      <w:r>
        <w:rPr>
          <w:rFonts w:ascii="Noto Sans CJK SC" w:hAnsi="Noto Sans CJK SC" w:eastAsia="Noto Sans CJK SC"/>
          <w:b w:val="0"/>
          <w:color w:val="17212B"/>
          <w:sz w:val="18"/>
        </w:rPr>
        <w:t>后记：把经验变成系统</w:t>
      </w:r>
    </w:p>
    <w:p>
      <w:pPr>
        <w:pStyle w:val="Heading1"/>
        <w:pageBreakBefore/>
      </w:pPr>
      <w:r>
        <w:rPr>
          <w:rFonts w:ascii="Noto Sans CJK SC" w:hAnsi="Noto Sans CJK SC" w:eastAsia="Noto Sans CJK SC"/>
          <w:b/>
          <w:color w:val="0B1F33"/>
          <w:sz w:val="36"/>
        </w:rPr>
        <w:t>使用说明：先把VC当成一门“批发经营”</w:t>
      </w:r>
    </w:p>
    <w:p>
      <w:r>
        <w:rPr>
          <w:rFonts w:ascii="Noto Sans CJK SC" w:hAnsi="Noto Sans CJK SC" w:eastAsia="Noto Sans CJK SC"/>
          <w:b w:val="0"/>
          <w:color w:val="17212B"/>
          <w:sz w:val="21"/>
        </w:rPr>
        <w:t>本书写给已经具备亚马逊卖家经验、准备进入或正在运营 Vendor Central（VC）的品牌方、工厂、贸易商与运营团队。Seller Central（SC）解决的是“我如何面向消费者卖货”，VC解决的是“我如何把货批发给亚马逊，并让亚马逊愿意持续采购、持续销售、持续给资源”。两者都发生在Amazon生态内，但合同关系、货权、定价权、订单逻辑、利润口径和风险结构完全不同。</w:t>
      </w:r>
    </w:p>
    <w:p>
      <w:r>
        <w:rPr>
          <w:rFonts w:ascii="Noto Sans CJK SC" w:hAnsi="Noto Sans CJK SC" w:eastAsia="Noto Sans CJK SC"/>
          <w:b w:val="0"/>
          <w:color w:val="17212B"/>
          <w:sz w:val="21"/>
        </w:rPr>
        <w:t>本书不是亚马逊官方文件，也不替代供应商协议、站点法律意见、税务意见或账号内Help页面。VC后台按国家、项目、vendor code、权限组和上线批次存在差异。书中所有菜单路径都应理解为“常见入口”，最终以读者账号实际显示、合同条款和最新官方通知为准。</w:t>
      </w:r>
    </w:p>
    <w:p>
      <w:r>
        <w:rPr>
          <w:rFonts w:ascii="Noto Sans CJK SC" w:hAnsi="Noto Sans CJK SC" w:eastAsia="Noto Sans CJK SC"/>
          <w:b w:val="0"/>
          <w:color w:val="17212B"/>
          <w:sz w:val="21"/>
        </w:rPr>
        <w:t>为了让读者区分信息的确定性，本书使用四种标签：</w:t>
      </w:r>
    </w:p>
    <w:p>
      <w:pPr>
        <w:numPr>
          <w:ilvl w:val="0"/>
          <w:numId w:val="10"/>
        </w:numPr>
        <w:spacing w:after="80" w:line="300" w:lineRule="auto"/>
      </w:pPr>
      <w:r>
        <w:rPr>
          <w:rFonts w:ascii="Noto Sans CJK SC" w:hAnsi="Noto Sans CJK SC" w:eastAsia="Noto Sans CJK SC"/>
          <w:b w:val="0"/>
          <w:color w:val="17212B"/>
          <w:sz w:val="21"/>
        </w:rPr>
        <w:t>【官方机制】可由亚马逊公开文档、API文档或账号内规则支持的机制。</w:t>
      </w:r>
    </w:p>
    <w:p>
      <w:pPr>
        <w:numPr>
          <w:ilvl w:val="0"/>
          <w:numId w:val="10"/>
        </w:numPr>
        <w:spacing w:after="80" w:line="300" w:lineRule="auto"/>
      </w:pPr>
      <w:r>
        <w:rPr>
          <w:rFonts w:ascii="Noto Sans CJK SC" w:hAnsi="Noto Sans CJK SC" w:eastAsia="Noto Sans CJK SC"/>
          <w:b w:val="0"/>
          <w:color w:val="17212B"/>
          <w:sz w:val="21"/>
        </w:rPr>
        <w:t>【合同变量】必须回到Trade Agreement、PO或站点合同核验的条款。</w:t>
      </w:r>
    </w:p>
    <w:p>
      <w:pPr>
        <w:numPr>
          <w:ilvl w:val="0"/>
          <w:numId w:val="10"/>
        </w:numPr>
        <w:spacing w:after="80" w:line="300" w:lineRule="auto"/>
      </w:pPr>
      <w:r>
        <w:rPr>
          <w:rFonts w:ascii="Noto Sans CJK SC" w:hAnsi="Noto Sans CJK SC" w:eastAsia="Noto Sans CJK SC"/>
          <w:b w:val="0"/>
          <w:color w:val="17212B"/>
          <w:sz w:val="21"/>
        </w:rPr>
        <w:t>【实战口径】来自运营团队长期操作总结，适合做内部管理基准，但不是平台统一红线。</w:t>
      </w:r>
    </w:p>
    <w:p>
      <w:pPr>
        <w:numPr>
          <w:ilvl w:val="0"/>
          <w:numId w:val="10"/>
        </w:numPr>
        <w:spacing w:after="80" w:line="300" w:lineRule="auto"/>
      </w:pPr>
      <w:r>
        <w:rPr>
          <w:rFonts w:ascii="Noto Sans CJK SC" w:hAnsi="Noto Sans CJK SC" w:eastAsia="Noto Sans CJK SC"/>
          <w:b w:val="0"/>
          <w:color w:val="17212B"/>
          <w:sz w:val="21"/>
        </w:rPr>
        <w:t>【账号差异】后台入口、字段、报表、权限或阈值可能不同，操作前必须在当前账号复核。</w:t>
      </w:r>
    </w:p>
    <w:p>
      <w:r>
        <w:rPr>
          <w:rFonts w:ascii="Noto Sans CJK SC" w:hAnsi="Noto Sans CJK SC" w:eastAsia="Noto Sans CJK SC"/>
          <w:b w:val="0"/>
          <w:color w:val="17212B"/>
          <w:sz w:val="21"/>
        </w:rPr>
        <w:t>建议新手按章节顺序学习；已有VC账号的团队，可以先做“第3章账号体检”，再根据问题跳转到PO、财务、扣款或增长章节。本书的核心原则只有一句：先守住履约与现金，再追求PO与增长。</w:t>
      </w:r>
    </w:p>
    <w:p>
      <w:pPr>
        <w:pStyle w:val="Heading2"/>
      </w:pPr>
      <w:r>
        <w:rPr>
          <w:rFonts w:ascii="Noto Sans CJK SC" w:hAnsi="Noto Sans CJK SC" w:eastAsia="Noto Sans CJK SC"/>
          <w:b/>
          <w:color w:val="2E5E82"/>
          <w:sz w:val="26"/>
        </w:rPr>
        <w:t>V0.2版本边界</w:t>
      </w:r>
    </w:p>
    <w:p>
      <w:r>
        <w:rPr>
          <w:rFonts w:ascii="Noto Sans CJK SC" w:hAnsi="Noto Sans CJK SC" w:eastAsia="Noto Sans CJK SC"/>
          <w:b w:val="0"/>
          <w:color w:val="17212B"/>
          <w:sz w:val="21"/>
        </w:rPr>
        <w:t>V0.2是在基础运营版上升级的“财务与扣款深水区”，完整保留VC商业模型、账号体检、目录与合规、PO/DF履约、利润、库存、广告、组织和自动化，并重点扩写发票字段、Remittance逐行对账、Chargeback原因码分类、争议证据包、13周现金流，以及BTR/滞销退货造成的Cost冲回。书中原因码采用“内部标准原因族 + 账号原始代码”双轨记录；没有把某个站点、某份合同或某个账号看到的标签冒充为全球统一字典。</w:t>
      </w:r>
    </w:p>
    <w:p>
      <w:r>
        <w:rPr>
          <w:rFonts w:ascii="Noto Sans CJK SC" w:hAnsi="Noto Sans CJK SC" w:eastAsia="Noto Sans CJK SC"/>
          <w:b w:val="0"/>
          <w:color w:val="17212B"/>
          <w:sz w:val="21"/>
        </w:rPr>
        <w:t>本版新增案例来自读者提供的实际场景：BTR商品未在约定期内售完，ASIN冻结并滞销约一年，Amazon随后陆续退货。案例用于讲解如何把商品货款冲回、返程物流、合同费用、罚款和可能的费用返还拆开核对，不替代该账号的BTR接受条款和Remittance原始明细。</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FF3DE"/>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版本日期： </w:t>
            </w:r>
            <w:r>
              <w:rPr>
                <w:rFonts w:ascii="Noto Sans CJK SC" w:hAnsi="Noto Sans CJK SC" w:eastAsia="Noto Sans CJK SC"/>
                <w:b w:val="0"/>
                <w:color w:val="17212B"/>
                <w:sz w:val="19"/>
              </w:rPr>
              <w:t>2026年8月13日。后台路径和公开官方机制以该日期为核验截点；金额、期限、费率和退货责任必须回到当前账号Help、PO、Trade Agreement、活动接受页面及结算文件复核。</w:t>
            </w:r>
          </w:p>
        </w:tc>
      </w:tr>
    </w:tbl>
    <w:p>
      <w:pPr>
        <w:spacing w:after="20"/>
      </w:pPr>
    </w:p>
    <w:p>
      <w:pPr>
        <w:pStyle w:val="Heading1"/>
        <w:pageBreakBefore/>
        <w:spacing w:before="0" w:after="360"/>
      </w:pPr>
      <w:r>
        <w:rPr>
          <w:rFonts w:ascii="Noto Sans CJK SC" w:hAnsi="Noto Sans CJK SC" w:eastAsia="Noto Sans CJK SC"/>
          <w:b/>
          <w:color w:val="E98400"/>
          <w:sz w:val="44"/>
        </w:rPr>
        <w:t>第一篇 认知重构：从SC卖家到Amazon供应商</w:t>
      </w:r>
      <w:r>
        <w:br w:type="page"/>
      </w:r>
    </w:p>
    <w:p>
      <w:pPr>
        <w:pStyle w:val="Heading1"/>
      </w:pPr>
      <w:r>
        <w:rPr>
          <w:rFonts w:ascii="Noto Sans CJK SC" w:hAnsi="Noto Sans CJK SC" w:eastAsia="Noto Sans CJK SC"/>
          <w:b/>
          <w:color w:val="0B1F33"/>
          <w:sz w:val="36"/>
        </w:rPr>
        <w:t>第1章 VC到底是什么：合同、货权与定价权</w:t>
      </w:r>
    </w:p>
    <w:p>
      <w:r>
        <w:rPr>
          <w:rFonts w:ascii="Noto Sans CJK SC" w:hAnsi="Noto Sans CJK SC" w:eastAsia="Noto Sans CJK SC"/>
          <w:b w:val="0"/>
          <w:color w:val="17212B"/>
          <w:sz w:val="21"/>
        </w:rPr>
        <w:t>Vendor Central是亚马逊与受邀供应商开展一方零售采购合作的工作台。供应商把商品卖给亚马逊，亚马逊再以零售商身份面向消费者销售。VC账号不是一种“更高级的SC账号”，也不是拿到购物车、低价流量或批量铺货的捷径；它首先是一份批发供货关系。</w:t>
      </w:r>
    </w:p>
    <w:p>
      <w:r>
        <w:rPr>
          <w:rFonts w:ascii="Noto Sans CJK SC" w:hAnsi="Noto Sans CJK SC" w:eastAsia="Noto Sans CJK SC"/>
          <w:b w:val="0"/>
          <w:color w:val="17212B"/>
          <w:sz w:val="21"/>
        </w:rPr>
        <w:t>【官方机制】在零售采购模式下，Purchase Order（PO）是履约主线。亚马逊向供应商发出采购订单，供应商确认、发货、提交装运信息并开票。亚马逊公开的Vendor Orders、Vendor Shipments和Vendor Invoices接口也围绕这条链路设计：获取PO、提交订单确认、提交货件/装运确认、提交发票或贷项通知。</w:t>
      </w:r>
    </w:p>
    <w:p>
      <w:r>
        <w:rPr>
          <w:rFonts w:ascii="Noto Sans CJK SC" w:hAnsi="Noto Sans CJK SC" w:eastAsia="Noto Sans CJK SC"/>
          <w:b w:val="0"/>
          <w:color w:val="17212B"/>
          <w:sz w:val="21"/>
        </w:rPr>
        <w:t>VC与SC最重要的差异，不在后台按钮，而在经营控制权：</w:t>
      </w:r>
    </w:p>
    <w:tbl>
      <w:tblPr>
        <w:tblStyle w:val="TableGrid"/>
        <w:tblW w:type="dxa" w:w="9360"/>
        <w:jc w:val="left"/>
        <w:tblLayout w:type="fixed"/>
        <w:tblLook w:firstColumn="1" w:firstRow="1" w:lastColumn="0" w:lastRow="0" w:noHBand="0" w:noVBand="1" w:val="04A0"/>
        <w:tblInd w:w="120" w:type="dxa"/>
      </w:tblPr>
      <w:tblGrid>
        <w:gridCol w:w="1829"/>
        <w:gridCol w:w="4594"/>
        <w:gridCol w:w="2937"/>
      </w:tblGrid>
      <w:tr>
        <w:trPr>
          <w:trHeight w:hRule="atLeast"/>
          <w:tblHeader w:val="true"/>
        </w:trPr>
        <w:tc>
          <w:tcPr>
            <w:tcW w:type="dxa" w:w="1829"/>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维度</w:t>
            </w:r>
          </w:p>
        </w:tc>
        <w:tc>
          <w:tcPr>
            <w:tcW w:type="dxa" w:w="4594"/>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VC（一方供应商）</w:t>
            </w:r>
          </w:p>
        </w:tc>
        <w:tc>
          <w:tcPr>
            <w:tcW w:type="dxa" w:w="293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SC（三方卖家）</w:t>
            </w:r>
          </w:p>
        </w:tc>
      </w:tr>
      <w:tr>
        <w:trPr>
          <w:trHeight w:hRule="atLeast"/>
        </w:trPr>
        <w:tc>
          <w:tcPr>
            <w:tcW w:type="dxa" w:w="182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交易对象</w:t>
            </w:r>
          </w:p>
        </w:tc>
        <w:tc>
          <w:tcPr>
            <w:tcW w:type="dxa" w:w="459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供应商把货卖给亚马逊</w:t>
            </w:r>
          </w:p>
        </w:tc>
        <w:tc>
          <w:tcPr>
            <w:tcW w:type="dxa" w:w="293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卖家通过平台卖给消费者</w:t>
            </w:r>
          </w:p>
        </w:tc>
      </w:tr>
      <w:tr>
        <w:trPr>
          <w:trHeight w:hRule="atLeast"/>
        </w:trPr>
        <w:tc>
          <w:tcPr>
            <w:tcW w:type="dxa" w:w="182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订单来源</w:t>
            </w:r>
          </w:p>
        </w:tc>
        <w:tc>
          <w:tcPr>
            <w:tcW w:type="dxa" w:w="459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Amazon PO或DF消费者订单</w:t>
            </w:r>
          </w:p>
        </w:tc>
        <w:tc>
          <w:tcPr>
            <w:tcW w:type="dxa" w:w="293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消费者订单</w:t>
            </w:r>
          </w:p>
        </w:tc>
      </w:tr>
      <w:tr>
        <w:trPr>
          <w:trHeight w:hRule="atLeast"/>
        </w:trPr>
        <w:tc>
          <w:tcPr>
            <w:tcW w:type="dxa" w:w="182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零售定价</w:t>
            </w:r>
          </w:p>
        </w:tc>
        <w:tc>
          <w:tcPr>
            <w:tcW w:type="dxa" w:w="459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亚马逊决定实际零售价</w:t>
            </w:r>
          </w:p>
        </w:tc>
        <w:tc>
          <w:tcPr>
            <w:tcW w:type="dxa" w:w="293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卖家在规则内设置售价</w:t>
            </w:r>
          </w:p>
        </w:tc>
      </w:tr>
      <w:tr>
        <w:trPr>
          <w:trHeight w:hRule="atLeast"/>
        </w:trPr>
        <w:tc>
          <w:tcPr>
            <w:tcW w:type="dxa" w:w="182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库存所有权</w:t>
            </w:r>
          </w:p>
        </w:tc>
        <w:tc>
          <w:tcPr>
            <w:tcW w:type="dxa" w:w="459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PO入库验收后通常由亚马逊持有</w:t>
            </w:r>
          </w:p>
        </w:tc>
        <w:tc>
          <w:tcPr>
            <w:tcW w:type="dxa" w:w="293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一般仍归卖家，直至售出</w:t>
            </w:r>
          </w:p>
        </w:tc>
      </w:tr>
      <w:tr>
        <w:trPr>
          <w:trHeight w:hRule="atLeast"/>
        </w:trPr>
        <w:tc>
          <w:tcPr>
            <w:tcW w:type="dxa" w:w="182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收入核心</w:t>
            </w:r>
          </w:p>
        </w:tc>
        <w:tc>
          <w:tcPr>
            <w:tcW w:type="dxa" w:w="459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供货价、协议条款和实际净回款</w:t>
            </w:r>
          </w:p>
        </w:tc>
        <w:tc>
          <w:tcPr>
            <w:tcW w:type="dxa" w:w="293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消费者售价减平台费用</w:t>
            </w:r>
          </w:p>
        </w:tc>
      </w:tr>
      <w:tr>
        <w:trPr>
          <w:trHeight w:hRule="atLeast"/>
        </w:trPr>
        <w:tc>
          <w:tcPr>
            <w:tcW w:type="dxa" w:w="182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主要风险</w:t>
            </w:r>
          </w:p>
        </w:tc>
        <w:tc>
          <w:tcPr>
            <w:tcW w:type="dxa" w:w="459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拒单、迟交、短缺、扣款、调价、库存处置</w:t>
            </w:r>
          </w:p>
        </w:tc>
        <w:tc>
          <w:tcPr>
            <w:tcW w:type="dxa" w:w="293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流量、广告、库存、绩效与合规</w:t>
            </w:r>
          </w:p>
        </w:tc>
      </w:tr>
      <w:tr>
        <w:trPr>
          <w:trHeight w:hRule="atLeast"/>
        </w:trPr>
        <w:tc>
          <w:tcPr>
            <w:tcW w:type="dxa" w:w="182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关键关系</w:t>
            </w:r>
          </w:p>
        </w:tc>
        <w:tc>
          <w:tcPr>
            <w:tcW w:type="dxa" w:w="459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Vendor Manager/AVS/采购与财务团队</w:t>
            </w:r>
          </w:p>
        </w:tc>
        <w:tc>
          <w:tcPr>
            <w:tcW w:type="dxa" w:w="293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平台规则、消费者与服务商</w:t>
            </w:r>
          </w:p>
        </w:tc>
      </w:tr>
    </w:tbl>
    <w:p>
      <w:pPr>
        <w:spacing w:after="20"/>
      </w:pPr>
    </w:p>
    <w:p>
      <w:r>
        <w:rPr>
          <w:rFonts w:ascii="Noto Sans CJK SC" w:hAnsi="Noto Sans CJK SC" w:eastAsia="Noto Sans CJK SC"/>
          <w:b w:val="0"/>
          <w:color w:val="17212B"/>
          <w:sz w:val="21"/>
        </w:rPr>
        <w:t>VC运营的四张利润表必须同时成立：供应商每件有利润；亚马逊每件有合理零售利润；PO履约成本可控；现金回收周期可承受。只看前台销量、只看供货价，或者只看所谓Net PPM，都可能做出错误决策。</w:t>
      </w:r>
    </w:p>
    <w:p>
      <w:pPr>
        <w:pStyle w:val="Heading2"/>
      </w:pPr>
      <w:r>
        <w:rPr>
          <w:rFonts w:ascii="Noto Sans CJK SC" w:hAnsi="Noto Sans CJK SC" w:eastAsia="Noto Sans CJK SC"/>
          <w:b/>
          <w:color w:val="2E5E82"/>
          <w:sz w:val="26"/>
        </w:rPr>
        <w:t>1.1 VC常见合作模式</w:t>
      </w:r>
    </w:p>
    <w:p>
      <w:r>
        <w:rPr>
          <w:rFonts w:ascii="Noto Sans CJK SC" w:hAnsi="Noto Sans CJK SC" w:eastAsia="Noto Sans CJK SC"/>
          <w:b w:val="0"/>
          <w:color w:val="17212B"/>
          <w:sz w:val="21"/>
        </w:rPr>
        <w:t>PO/Wholesale是最典型的仓配模式：亚马逊按预测下PO，供应商将货送到指定履约中心或约定节点。供应商关注response-by date、数量、供货价、ship/delivery window、目的地、装箱与标签要求。</w:t>
      </w:r>
    </w:p>
    <w:p>
      <w:r>
        <w:rPr>
          <w:rFonts w:ascii="Noto Sans CJK SC" w:hAnsi="Noto Sans CJK SC" w:eastAsia="Noto Sans CJK SC"/>
          <w:b w:val="0"/>
          <w:color w:val="17212B"/>
          <w:sz w:val="21"/>
        </w:rPr>
        <w:t>Direct Fulfillment（DF）是供应商从自有仓或第三方仓直接履行消费者订单。供应商仍通过VC或接口接收订单，但拣货、包装、标签、承运商交接和时效控制由供应商完成。DF不是普通的SC自发货；其数据、标签和确认流程受Vendor DF项目规则约束。</w:t>
      </w:r>
    </w:p>
    <w:p>
      <w:r>
        <w:rPr>
          <w:rFonts w:ascii="Noto Sans CJK SC" w:hAnsi="Noto Sans CJK SC" w:eastAsia="Noto Sans CJK SC"/>
          <w:b w:val="0"/>
          <w:color w:val="17212B"/>
          <w:sz w:val="21"/>
        </w:rPr>
        <w:t>Direct Import（DI）是亚马逊直接进口或通过指定进口链路采购的合作形态，常涉及FOB/港口交付、装柜、贸易单证、进口主体、目的港费用和更长的预测周期。DI条款差异大，不能用PO国内仓模式的成本表直接套用。</w:t>
      </w:r>
    </w:p>
    <w:p>
      <w:r>
        <w:rPr>
          <w:rFonts w:ascii="Noto Sans CJK SC" w:hAnsi="Noto Sans CJK SC" w:eastAsia="Noto Sans CJK SC"/>
          <w:b w:val="0"/>
          <w:color w:val="17212B"/>
          <w:sz w:val="21"/>
        </w:rPr>
        <w:t>Bulk Buy是大批量采购机会，不是独立账号类型。它通常以更低cost、更长备货周期或特殊促销/库存安排换取数量。判断Bulk Buy不能只看订单金额，应当把降价、资金占用、退货/残次、仓储与促销支持写入同一模型。</w:t>
      </w:r>
    </w:p>
    <w:p>
      <w:pPr>
        <w:pStyle w:val="Heading2"/>
      </w:pPr>
      <w:r>
        <w:rPr>
          <w:rFonts w:ascii="Noto Sans CJK SC" w:hAnsi="Noto Sans CJK SC" w:eastAsia="Noto Sans CJK SC"/>
          <w:b/>
          <w:color w:val="2E5E82"/>
          <w:sz w:val="26"/>
        </w:rPr>
        <w:t>1.2 新手最常见的五个误区</w:t>
      </w:r>
    </w:p>
    <w:p>
      <w:pPr>
        <w:numPr>
          <w:ilvl w:val="0"/>
          <w:numId w:val="11"/>
        </w:numPr>
        <w:spacing w:after="80" w:line="300" w:lineRule="auto"/>
      </w:pPr>
      <w:r>
        <w:rPr>
          <w:rFonts w:ascii="Noto Sans CJK SC" w:hAnsi="Noto Sans CJK SC" w:eastAsia="Noto Sans CJK SC"/>
          <w:b w:val="0"/>
          <w:color w:val="17212B"/>
          <w:sz w:val="21"/>
        </w:rPr>
        <w:t>“VC能自己控制前台售价。”错误。你可以提交List Price或与Amazon讨论价格，但实际零售价格由Amazon决定。</w:t>
      </w:r>
    </w:p>
    <w:p>
      <w:pPr>
        <w:numPr>
          <w:ilvl w:val="0"/>
          <w:numId w:val="11"/>
        </w:numPr>
        <w:spacing w:after="80" w:line="300" w:lineRule="auto"/>
      </w:pPr>
      <w:r>
        <w:rPr>
          <w:rFonts w:ascii="Noto Sans CJK SC" w:hAnsi="Noto Sans CJK SC" w:eastAsia="Noto Sans CJK SC"/>
          <w:b w:val="0"/>
          <w:color w:val="17212B"/>
          <w:sz w:val="21"/>
        </w:rPr>
        <w:t>“有VC就一定有持续PO。”错误。PO取决于需求预测、可售性、库存、成本、供应商履约与亚马逊的采购策略。</w:t>
      </w:r>
    </w:p>
    <w:p>
      <w:pPr>
        <w:numPr>
          <w:ilvl w:val="0"/>
          <w:numId w:val="11"/>
        </w:numPr>
        <w:spacing w:after="80" w:line="300" w:lineRule="auto"/>
      </w:pPr>
      <w:r>
        <w:rPr>
          <w:rFonts w:ascii="Noto Sans CJK SC" w:hAnsi="Noto Sans CJK SC" w:eastAsia="Noto Sans CJK SC"/>
          <w:b w:val="0"/>
          <w:color w:val="17212B"/>
          <w:sz w:val="21"/>
        </w:rPr>
        <w:t>“VC前台销售额就是我的收入。”错误。供应商收入首先来自发票与净回款，前台零售额是亚马逊的retail sales口径。</w:t>
      </w:r>
    </w:p>
    <w:p>
      <w:pPr>
        <w:numPr>
          <w:ilvl w:val="0"/>
          <w:numId w:val="11"/>
        </w:numPr>
        <w:spacing w:after="80" w:line="300" w:lineRule="auto"/>
      </w:pPr>
      <w:r>
        <w:rPr>
          <w:rFonts w:ascii="Noto Sans CJK SC" w:hAnsi="Noto Sans CJK SC" w:eastAsia="Noto Sans CJK SC"/>
          <w:b w:val="0"/>
          <w:color w:val="17212B"/>
          <w:sz w:val="21"/>
        </w:rPr>
        <w:t>“协议扣点越高，Amazon越喜欢。”不完整。条款能增加Amazon经济性，但如果导致供应商无法持续供货，最终仍会破坏合作。</w:t>
      </w:r>
    </w:p>
    <w:p>
      <w:pPr>
        <w:numPr>
          <w:ilvl w:val="0"/>
          <w:numId w:val="11"/>
        </w:numPr>
        <w:spacing w:after="80" w:line="300" w:lineRule="auto"/>
      </w:pPr>
      <w:r>
        <w:rPr>
          <w:rFonts w:ascii="Noto Sans CJK SC" w:hAnsi="Noto Sans CJK SC" w:eastAsia="Noto Sans CJK SC"/>
          <w:b w:val="0"/>
          <w:color w:val="17212B"/>
          <w:sz w:val="21"/>
        </w:rPr>
        <w:t>“VC可以不供货，只用来做目录和广告。”高风险。是否接受PO、是否暂停某ASIN，应按合同和账号功能操作；不能在接受后无故不履约。</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8F4EF"/>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运营结论： </w:t>
            </w:r>
            <w:r>
              <w:rPr>
                <w:rFonts w:ascii="Noto Sans CJK SC" w:hAnsi="Noto Sans CJK SC" w:eastAsia="Noto Sans CJK SC"/>
                <w:b w:val="0"/>
                <w:color w:val="17212B"/>
                <w:sz w:val="19"/>
              </w:rPr>
              <w:t>VC运营不是“抢流量”，而是管理一条从预测、采购、履约、验收到开票、扣款、零售和复购的供应链利润链。</w:t>
            </w:r>
          </w:p>
        </w:tc>
      </w:tr>
    </w:tbl>
    <w:p>
      <w:pPr>
        <w:spacing w:after="20"/>
      </w:pPr>
    </w:p>
    <w:p>
      <w:pPr>
        <w:pStyle w:val="Heading1"/>
      </w:pPr>
      <w:r>
        <w:rPr>
          <w:rFonts w:ascii="Noto Sans CJK SC" w:hAnsi="Noto Sans CJK SC" w:eastAsia="Noto Sans CJK SC"/>
          <w:b/>
          <w:color w:val="0B1F33"/>
          <w:sz w:val="36"/>
        </w:rPr>
        <w:t>第2章 账号、Vendor Code与权限体系</w:t>
      </w:r>
    </w:p>
    <w:p>
      <w:r>
        <w:rPr>
          <w:rFonts w:ascii="Noto Sans CJK SC" w:hAnsi="Noto Sans CJK SC" w:eastAsia="Noto Sans CJK SC"/>
          <w:b w:val="0"/>
          <w:color w:val="17212B"/>
          <w:sz w:val="21"/>
        </w:rPr>
        <w:t>同一个VC登录主体可能管理多个vendor code、国家站点、业务组和结算实体。利润、PO、发票与扣款经常按vendor code归集，账号权限却按用户角色分配。接手账号的第一件事不是上传产品，而是画清“实体—合同—vendor code—站点—仓库—银行—税务—用户”的关系图。</w:t>
      </w:r>
    </w:p>
    <w:p>
      <w:pPr>
        <w:pStyle w:val="Heading2"/>
      </w:pPr>
      <w:r>
        <w:rPr>
          <w:rFonts w:ascii="Noto Sans CJK SC" w:hAnsi="Noto Sans CJK SC" w:eastAsia="Noto Sans CJK SC"/>
          <w:b/>
          <w:color w:val="2E5E82"/>
          <w:sz w:val="26"/>
        </w:rPr>
        <w:t>2.1 建立账号主数据表</w:t>
      </w:r>
    </w:p>
    <w:p>
      <w:r>
        <w:rPr>
          <w:rFonts w:ascii="Noto Sans CJK SC" w:hAnsi="Noto Sans CJK SC" w:eastAsia="Noto Sans CJK SC"/>
          <w:b w:val="0"/>
          <w:color w:val="17212B"/>
          <w:sz w:val="21"/>
        </w:rPr>
        <w:t>账号主数据表至少包含：公司法定名称、税号、结算币种、付款条件、银行账号尾号、vendor code、站点、业务模式、发货仓、退货地址、主要联系人、VM/AVS联系人、用户角色、EDI/API状态、合同版本与生效日。</w:t>
      </w:r>
    </w:p>
    <w:p>
      <w:r>
        <w:rPr>
          <w:rFonts w:ascii="Noto Sans CJK SC" w:hAnsi="Noto Sans CJK SC" w:eastAsia="Noto Sans CJK SC"/>
          <w:b w:val="0"/>
          <w:color w:val="17212B"/>
          <w:sz w:val="21"/>
        </w:rPr>
        <w:t>【合同变量】Damage Allowance、Freight Allowance、MDF/Co-op、Defective Allowance、Return Rights、Prompt Payment Discount、Price Protection等，均应逐条记录：计费基数、比例、币种、结算频率、税务处理、争议窗口、是否可年度谈判。</w:t>
      </w:r>
    </w:p>
    <w:tbl>
      <w:tblPr>
        <w:tblStyle w:val="TableGrid"/>
        <w:tblW w:type="dxa" w:w="9360"/>
        <w:jc w:val="left"/>
        <w:tblLayout w:type="fixed"/>
        <w:tblLook w:firstColumn="1" w:firstRow="1" w:lastColumn="0" w:lastRow="0" w:noHBand="0" w:noVBand="1" w:val="04A0"/>
        <w:tblInd w:w="120" w:type="dxa"/>
      </w:tblPr>
      <w:tblGrid>
        <w:gridCol w:w="2076"/>
        <w:gridCol w:w="3544"/>
        <w:gridCol w:w="3740"/>
      </w:tblGrid>
      <w:tr>
        <w:trPr>
          <w:trHeight w:hRule="atLeast"/>
          <w:tblHeader w:val="true"/>
        </w:trPr>
        <w:tc>
          <w:tcPr>
            <w:tcW w:type="dxa" w:w="207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控制项</w:t>
            </w:r>
          </w:p>
        </w:tc>
        <w:tc>
          <w:tcPr>
            <w:tcW w:type="dxa" w:w="3544"/>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必须回答的问题</w:t>
            </w:r>
          </w:p>
        </w:tc>
        <w:tc>
          <w:tcPr>
            <w:tcW w:type="dxa" w:w="3740"/>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证据位置</w:t>
            </w:r>
          </w:p>
        </w:tc>
      </w:tr>
      <w:tr>
        <w:trPr>
          <w:trHeight w:hRule="atLeast"/>
        </w:trPr>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Vendor code</w:t>
            </w:r>
          </w:p>
        </w:tc>
        <w:tc>
          <w:tcPr>
            <w:tcW w:type="dxa" w:w="354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该code对应哪一实体、站点与模式？</w:t>
            </w:r>
          </w:p>
        </w:tc>
        <w:tc>
          <w:tcPr>
            <w:tcW w:type="dxa" w:w="374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合同、后台Business Group</w:t>
            </w:r>
          </w:p>
        </w:tc>
      </w:tr>
      <w:tr>
        <w:trPr>
          <w:trHeight w:hRule="atLeast"/>
        </w:trPr>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付款条件</w:t>
            </w:r>
          </w:p>
        </w:tc>
        <w:tc>
          <w:tcPr>
            <w:tcW w:type="dxa" w:w="354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Net 30/60/90还是提前付款折扣？</w:t>
            </w:r>
          </w:p>
        </w:tc>
        <w:tc>
          <w:tcPr>
            <w:tcW w:type="dxa" w:w="374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Agreement、Invoice/Remittance</w:t>
            </w:r>
          </w:p>
        </w:tc>
      </w:tr>
      <w:tr>
        <w:trPr>
          <w:trHeight w:hRule="atLeast"/>
        </w:trPr>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运费责任</w:t>
            </w:r>
          </w:p>
        </w:tc>
        <w:tc>
          <w:tcPr>
            <w:tcW w:type="dxa" w:w="354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Prepaid还是Collect？起止责任点在哪里？</w:t>
            </w:r>
          </w:p>
        </w:tc>
        <w:tc>
          <w:tcPr>
            <w:tcW w:type="dxa" w:w="374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Freight Terms、PO</w:t>
            </w:r>
          </w:p>
        </w:tc>
      </w:tr>
      <w:tr>
        <w:trPr>
          <w:trHeight w:hRule="atLeast"/>
        </w:trPr>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退货责任</w:t>
            </w:r>
          </w:p>
        </w:tc>
        <w:tc>
          <w:tcPr>
            <w:tcW w:type="dxa" w:w="354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退货、残次、销毁由谁承担？</w:t>
            </w:r>
          </w:p>
        </w:tc>
        <w:tc>
          <w:tcPr>
            <w:tcW w:type="dxa" w:w="374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Return/Defective条款</w:t>
            </w:r>
          </w:p>
        </w:tc>
      </w:tr>
      <w:tr>
        <w:trPr>
          <w:trHeight w:hRule="atLeast"/>
        </w:trPr>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用户权限</w:t>
            </w:r>
          </w:p>
        </w:tc>
        <w:tc>
          <w:tcPr>
            <w:tcW w:type="dxa" w:w="354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谁能改cost、确认PO、开票、下载财务数据？</w:t>
            </w:r>
          </w:p>
        </w:tc>
        <w:tc>
          <w:tcPr>
            <w:tcW w:type="dxa" w:w="374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User Permissions</w:t>
            </w:r>
          </w:p>
        </w:tc>
      </w:tr>
    </w:tbl>
    <w:p>
      <w:pPr>
        <w:spacing w:after="20"/>
      </w:pPr>
    </w:p>
    <w:p>
      <w:pPr>
        <w:pStyle w:val="Heading2"/>
      </w:pPr>
      <w:r>
        <w:rPr>
          <w:rFonts w:ascii="Noto Sans CJK SC" w:hAnsi="Noto Sans CJK SC" w:eastAsia="Noto Sans CJK SC"/>
          <w:b/>
          <w:color w:val="2E5E82"/>
          <w:sz w:val="26"/>
        </w:rPr>
        <w:t>2.2 权限最小化</w:t>
      </w:r>
    </w:p>
    <w:p>
      <w:r>
        <w:rPr>
          <w:rFonts w:ascii="Noto Sans CJK SC" w:hAnsi="Noto Sans CJK SC" w:eastAsia="Noto Sans CJK SC"/>
          <w:b w:val="0"/>
          <w:color w:val="17212B"/>
          <w:sz w:val="21"/>
        </w:rPr>
        <w:t>建议建立四类角色：目录与合规、订单与物流、财务与争议、管理员。修改供货价、银行信息、付款设置和用户权限应启用双人复核；离职人员必须当日停权；共享账号应改为实名用户。对于能导出消费者信息的DF流程，还要执行数据最小化、访问日志和定期删除制度。</w:t>
      </w:r>
    </w:p>
    <w:p>
      <w:pPr>
        <w:pStyle w:val="Heading2"/>
      </w:pPr>
      <w:r>
        <w:rPr>
          <w:rFonts w:ascii="Noto Sans CJK SC" w:hAnsi="Noto Sans CJK SC" w:eastAsia="Noto Sans CJK SC"/>
          <w:b/>
          <w:color w:val="2E5E82"/>
          <w:sz w:val="26"/>
        </w:rPr>
        <w:t>2.3 交接验收清单</w:t>
      </w:r>
    </w:p>
    <w:p>
      <w:pPr>
        <w:numPr>
          <w:ilvl w:val="0"/>
          <w:numId w:val="12"/>
        </w:numPr>
        <w:spacing w:after="80" w:line="300" w:lineRule="auto"/>
      </w:pPr>
      <w:r>
        <w:rPr>
          <w:rFonts w:ascii="Noto Sans CJK SC" w:hAnsi="Noto Sans CJK SC" w:eastAsia="Noto Sans CJK SC"/>
          <w:b w:val="0"/>
          <w:color w:val="17212B"/>
          <w:sz w:val="21"/>
        </w:rPr>
        <w:t>所有vendor code与站点均能登录并确认权限。</w:t>
      </w:r>
    </w:p>
    <w:p>
      <w:pPr>
        <w:numPr>
          <w:ilvl w:val="0"/>
          <w:numId w:val="12"/>
        </w:numPr>
        <w:spacing w:after="80" w:line="300" w:lineRule="auto"/>
      </w:pPr>
      <w:r>
        <w:rPr>
          <w:rFonts w:ascii="Noto Sans CJK SC" w:hAnsi="Noto Sans CJK SC" w:eastAsia="Noto Sans CJK SC"/>
          <w:b w:val="0"/>
          <w:color w:val="17212B"/>
          <w:sz w:val="21"/>
        </w:rPr>
        <w:t>最近12个月PO、发票、汇款、扣款与协议可下载。</w:t>
      </w:r>
    </w:p>
    <w:p>
      <w:pPr>
        <w:numPr>
          <w:ilvl w:val="0"/>
          <w:numId w:val="12"/>
        </w:numPr>
        <w:spacing w:after="80" w:line="300" w:lineRule="auto"/>
      </w:pPr>
      <w:r>
        <w:rPr>
          <w:rFonts w:ascii="Noto Sans CJK SC" w:hAnsi="Noto Sans CJK SC" w:eastAsia="Noto Sans CJK SC"/>
          <w:b w:val="0"/>
          <w:color w:val="17212B"/>
          <w:sz w:val="21"/>
        </w:rPr>
        <w:t>VM、AVS、财务、合规和物流联系人已确认。</w:t>
      </w:r>
    </w:p>
    <w:p>
      <w:pPr>
        <w:numPr>
          <w:ilvl w:val="0"/>
          <w:numId w:val="12"/>
        </w:numPr>
        <w:spacing w:after="80" w:line="300" w:lineRule="auto"/>
      </w:pPr>
      <w:r>
        <w:rPr>
          <w:rFonts w:ascii="Noto Sans CJK SC" w:hAnsi="Noto Sans CJK SC" w:eastAsia="Noto Sans CJK SC"/>
          <w:b w:val="0"/>
          <w:color w:val="17212B"/>
          <w:sz w:val="21"/>
        </w:rPr>
        <w:t>关键邮箱有共享归档与响应负责人。</w:t>
      </w:r>
    </w:p>
    <w:p>
      <w:pPr>
        <w:numPr>
          <w:ilvl w:val="0"/>
          <w:numId w:val="12"/>
        </w:numPr>
        <w:spacing w:after="80" w:line="300" w:lineRule="auto"/>
      </w:pPr>
      <w:r>
        <w:rPr>
          <w:rFonts w:ascii="Noto Sans CJK SC" w:hAnsi="Noto Sans CJK SC" w:eastAsia="Noto Sans CJK SC"/>
          <w:b w:val="0"/>
          <w:color w:val="17212B"/>
          <w:sz w:val="21"/>
        </w:rPr>
        <w:t>银行、税务、退货地址和发货仓信息已复核。</w:t>
      </w:r>
    </w:p>
    <w:p>
      <w:pPr>
        <w:numPr>
          <w:ilvl w:val="0"/>
          <w:numId w:val="12"/>
        </w:numPr>
        <w:spacing w:after="80" w:line="300" w:lineRule="auto"/>
      </w:pPr>
      <w:r>
        <w:rPr>
          <w:rFonts w:ascii="Noto Sans CJK SC" w:hAnsi="Noto Sans CJK SC" w:eastAsia="Noto Sans CJK SC"/>
          <w:b w:val="0"/>
          <w:color w:val="17212B"/>
          <w:sz w:val="21"/>
        </w:rPr>
        <w:t>不存在无人处理的PO、合规任务、未开票货件或即将过期的争议。</w:t>
      </w:r>
    </w:p>
    <w:p>
      <w:pPr>
        <w:pStyle w:val="Heading1"/>
      </w:pPr>
      <w:r>
        <w:rPr>
          <w:rFonts w:ascii="Noto Sans CJK SC" w:hAnsi="Noto Sans CJK SC" w:eastAsia="Noto Sans CJK SC"/>
          <w:b/>
          <w:color w:val="0B1F33"/>
          <w:sz w:val="36"/>
        </w:rPr>
        <w:t>第3章 30天VC账号体检</w:t>
      </w:r>
    </w:p>
    <w:p>
      <w:r>
        <w:rPr>
          <w:rFonts w:ascii="Noto Sans CJK SC" w:hAnsi="Noto Sans CJK SC" w:eastAsia="Noto Sans CJK SC"/>
          <w:b w:val="0"/>
          <w:color w:val="17212B"/>
          <w:sz w:val="21"/>
        </w:rPr>
        <w:t>接手VC账号时，应先做体检，再做增长。体检的目标是识别三类问题：会立刻造成损失的“现金漏洞”、会影响持续采购的“履约漏洞”、会影响可售和转化的“目录漏洞”。</w:t>
      </w:r>
    </w:p>
    <w:p>
      <w:pPr>
        <w:pStyle w:val="Heading2"/>
      </w:pPr>
      <w:r>
        <w:rPr>
          <w:rFonts w:ascii="Noto Sans CJK SC" w:hAnsi="Noto Sans CJK SC" w:eastAsia="Noto Sans CJK SC"/>
          <w:b/>
          <w:color w:val="2E5E82"/>
          <w:sz w:val="26"/>
        </w:rPr>
        <w:t>3.1 第1周：止损</w:t>
      </w:r>
    </w:p>
    <w:p>
      <w:r>
        <w:rPr>
          <w:rFonts w:ascii="Noto Sans CJK SC" w:hAnsi="Noto Sans CJK SC" w:eastAsia="Noto Sans CJK SC"/>
          <w:b w:val="0"/>
          <w:color w:val="17212B"/>
          <w:sz w:val="21"/>
        </w:rPr>
        <w:t>第1天导出未确认PO、在途PO、未开票货件、开放扣款、被抑制ASIN、合规待办和账户通知。按“金额×截止时间×可逆性”排序。PO过期、争议窗口到期和银行/税务异常优先级最高。</w:t>
      </w:r>
    </w:p>
    <w:p>
      <w:r>
        <w:rPr>
          <w:rFonts w:ascii="Noto Sans CJK SC" w:hAnsi="Noto Sans CJK SC" w:eastAsia="Noto Sans CJK SC"/>
          <w:b w:val="0"/>
          <w:color w:val="17212B"/>
          <w:sz w:val="21"/>
        </w:rPr>
        <w:t>第2至3天做发票—汇款快速对账：抽取金额最大的20张发票，核对PO、收货数量、发票金额、协议扣款、Chargeback、实际付款和未分配余额。若抽样差异显著，立即扩大到全量。</w:t>
      </w:r>
    </w:p>
    <w:p>
      <w:r>
        <w:rPr>
          <w:rFonts w:ascii="Noto Sans CJK SC" w:hAnsi="Noto Sans CJK SC" w:eastAsia="Noto Sans CJK SC"/>
          <w:b w:val="0"/>
          <w:color w:val="17212B"/>
          <w:sz w:val="21"/>
        </w:rPr>
        <w:t>第4至7天做履约根因分析：将过去90天扣款按No PO、Shortage、Carton/Label、ASN/Shipment、Appointment、Late Delivery等内部分类，找出金额和频次最高的前三项。</w:t>
      </w:r>
    </w:p>
    <w:p>
      <w:pPr>
        <w:pStyle w:val="Heading2"/>
      </w:pPr>
      <w:r>
        <w:rPr>
          <w:rFonts w:ascii="Noto Sans CJK SC" w:hAnsi="Noto Sans CJK SC" w:eastAsia="Noto Sans CJK SC"/>
          <w:b/>
          <w:color w:val="2E5E82"/>
          <w:sz w:val="26"/>
        </w:rPr>
        <w:t>3.2 第2周：恢复可售</w:t>
      </w:r>
    </w:p>
    <w:p>
      <w:r>
        <w:rPr>
          <w:rFonts w:ascii="Noto Sans CJK SC" w:hAnsi="Noto Sans CJK SC" w:eastAsia="Noto Sans CJK SC"/>
          <w:b w:val="0"/>
          <w:color w:val="17212B"/>
          <w:sz w:val="21"/>
        </w:rPr>
        <w:t>建立ASIN健康表：ASIN、品牌、产品类型、主图、标题、关键属性、合规状态、可售状态、Amazon在库、供应商可供库存、最近PO、前台零售价、退货率、广告状态。先修复高销售潜力且问题可逆的ASIN。</w:t>
      </w:r>
    </w:p>
    <w:p>
      <w:r>
        <w:rPr>
          <w:rFonts w:ascii="Noto Sans CJK SC" w:hAnsi="Noto Sans CJK SC" w:eastAsia="Noto Sans CJK SC"/>
          <w:b w:val="0"/>
          <w:color w:val="17212B"/>
          <w:sz w:val="21"/>
        </w:rPr>
        <w:t>目录修改前必须保留“修改前快照”。同一ASIN可能同时被品牌方、SC卖家、VC团队和Amazon目录团队贡献数据，贸然覆盖会产生属性回滚、变体拆散或合规重新审核。</w:t>
      </w:r>
    </w:p>
    <w:p>
      <w:pPr>
        <w:pStyle w:val="Heading2"/>
      </w:pPr>
      <w:r>
        <w:rPr>
          <w:rFonts w:ascii="Noto Sans CJK SC" w:hAnsi="Noto Sans CJK SC" w:eastAsia="Noto Sans CJK SC"/>
          <w:b/>
          <w:color w:val="2E5E82"/>
          <w:sz w:val="26"/>
        </w:rPr>
        <w:t>3.3 第3至4周：建立基准线</w:t>
      </w:r>
    </w:p>
    <w:p>
      <w:r>
        <w:rPr>
          <w:rFonts w:ascii="Noto Sans CJK SC" w:hAnsi="Noto Sans CJK SC" w:eastAsia="Noto Sans CJK SC"/>
          <w:b w:val="0"/>
          <w:color w:val="17212B"/>
          <w:sz w:val="21"/>
        </w:rPr>
        <w:t>完成四张基准表：</w:t>
      </w:r>
    </w:p>
    <w:p>
      <w:pPr>
        <w:numPr>
          <w:ilvl w:val="0"/>
          <w:numId w:val="13"/>
        </w:numPr>
        <w:spacing w:after="80" w:line="300" w:lineRule="auto"/>
      </w:pPr>
      <w:r>
        <w:rPr>
          <w:rFonts w:ascii="Noto Sans CJK SC" w:hAnsi="Noto Sans CJK SC" w:eastAsia="Noto Sans CJK SC"/>
          <w:b w:val="0"/>
          <w:color w:val="17212B"/>
          <w:sz w:val="21"/>
        </w:rPr>
        <w:t>PO生命周期表：从收到到收款的全链路状态。</w:t>
      </w:r>
    </w:p>
    <w:p>
      <w:pPr>
        <w:numPr>
          <w:ilvl w:val="0"/>
          <w:numId w:val="13"/>
        </w:numPr>
        <w:spacing w:after="80" w:line="300" w:lineRule="auto"/>
      </w:pPr>
      <w:r>
        <w:rPr>
          <w:rFonts w:ascii="Noto Sans CJK SC" w:hAnsi="Noto Sans CJK SC" w:eastAsia="Noto Sans CJK SC"/>
          <w:b w:val="0"/>
          <w:color w:val="17212B"/>
          <w:sz w:val="21"/>
        </w:rPr>
        <w:t>SKU单位经济模型：常规、促销、Bulk Buy三个场景。</w:t>
      </w:r>
    </w:p>
    <w:p>
      <w:pPr>
        <w:numPr>
          <w:ilvl w:val="0"/>
          <w:numId w:val="13"/>
        </w:numPr>
        <w:spacing w:after="80" w:line="300" w:lineRule="auto"/>
      </w:pPr>
      <w:r>
        <w:rPr>
          <w:rFonts w:ascii="Noto Sans CJK SC" w:hAnsi="Noto Sans CJK SC" w:eastAsia="Noto Sans CJK SC"/>
          <w:b w:val="0"/>
          <w:color w:val="17212B"/>
          <w:sz w:val="21"/>
        </w:rPr>
        <w:t>ASIN零售健康表：销量、库存、退货、内容、广告。</w:t>
      </w:r>
    </w:p>
    <w:p>
      <w:pPr>
        <w:numPr>
          <w:ilvl w:val="0"/>
          <w:numId w:val="13"/>
        </w:numPr>
        <w:spacing w:after="80" w:line="300" w:lineRule="auto"/>
      </w:pPr>
      <w:r>
        <w:rPr>
          <w:rFonts w:ascii="Noto Sans CJK SC" w:hAnsi="Noto Sans CJK SC" w:eastAsia="Noto Sans CJK SC"/>
          <w:b w:val="0"/>
          <w:color w:val="17212B"/>
          <w:sz w:val="21"/>
        </w:rPr>
        <w:t>风险与待决策表：合同、合规、价格、库存和系统问题。</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30天验收： </w:t>
            </w:r>
            <w:r>
              <w:rPr>
                <w:rFonts w:ascii="Noto Sans CJK SC" w:hAnsi="Noto Sans CJK SC" w:eastAsia="Noto Sans CJK SC"/>
                <w:b w:val="0"/>
                <w:color w:val="17212B"/>
                <w:sz w:val="19"/>
              </w:rPr>
              <w:t>不应存在无人负责的开放PO、未解释的重大短付、无证据链的高频扣款、关键ASIN合规失效，以及无法说清的vendor code与结算关系。</w:t>
            </w:r>
          </w:p>
        </w:tc>
      </w:tr>
    </w:tbl>
    <w:p>
      <w:pPr>
        <w:spacing w:after="20"/>
      </w:pPr>
    </w:p>
    <w:p>
      <w:pPr>
        <w:pStyle w:val="Heading1"/>
        <w:pageBreakBefore/>
        <w:spacing w:before="0" w:after="360"/>
      </w:pPr>
      <w:r>
        <w:rPr>
          <w:rFonts w:ascii="Noto Sans CJK SC" w:hAnsi="Noto Sans CJK SC" w:eastAsia="Noto Sans CJK SC"/>
          <w:b/>
          <w:color w:val="E98400"/>
          <w:sz w:val="44"/>
        </w:rPr>
        <w:t>第二篇 目录、上架与合规</w:t>
      </w:r>
      <w:r>
        <w:br w:type="page"/>
      </w:r>
    </w:p>
    <w:p>
      <w:pPr>
        <w:pStyle w:val="Heading1"/>
      </w:pPr>
      <w:r>
        <w:rPr>
          <w:rFonts w:ascii="Noto Sans CJK SC" w:hAnsi="Noto Sans CJK SC" w:eastAsia="Noto Sans CJK SC"/>
          <w:b/>
          <w:color w:val="0B1F33"/>
          <w:sz w:val="36"/>
        </w:rPr>
        <w:t>第4章 从产品资料包到可售ASIN</w:t>
      </w:r>
    </w:p>
    <w:p>
      <w:r>
        <w:rPr>
          <w:rFonts w:ascii="Noto Sans CJK SC" w:hAnsi="Noto Sans CJK SC" w:eastAsia="Noto Sans CJK SC"/>
          <w:b w:val="0"/>
          <w:color w:val="17212B"/>
          <w:sz w:val="21"/>
        </w:rPr>
        <w:t>VC上架不是“填完标题和图片”。一个可持续采购的ASIN必须同时满足目录正确、商业条款有效、合规文件齐全、物流属性准确、可售链路正常。建议将上架拆成五个门禁：身份、内容、合规、商业、可售。</w:t>
      </w:r>
    </w:p>
    <w:p>
      <w:pPr>
        <w:pStyle w:val="Heading2"/>
      </w:pPr>
      <w:r>
        <w:rPr>
          <w:rFonts w:ascii="Noto Sans CJK SC" w:hAnsi="Noto Sans CJK SC" w:eastAsia="Noto Sans CJK SC"/>
          <w:b/>
          <w:color w:val="2E5E82"/>
          <w:sz w:val="26"/>
        </w:rPr>
        <w:t>4.1 产品资料包</w:t>
      </w:r>
    </w:p>
    <w:p>
      <w:r>
        <w:rPr>
          <w:rFonts w:ascii="Noto Sans CJK SC" w:hAnsi="Noto Sans CJK SC" w:eastAsia="Noto Sans CJK SC"/>
          <w:b w:val="0"/>
          <w:color w:val="17212B"/>
          <w:sz w:val="21"/>
        </w:rPr>
        <w:t>资料包应包含GTIN/UPC/EAN、品牌与商标证据、型号、产品类型、颜色尺寸、变体关系、供货价与建议零售价、原产国、HS编码、税码、装箱数、单件与外箱尺寸重量、危险品信息、说明书、认证、主辅图、视频、A+素材、质保与售后政策。</w:t>
      </w:r>
    </w:p>
    <w:p>
      <w:r>
        <w:rPr>
          <w:rFonts w:ascii="Noto Sans CJK SC" w:hAnsi="Noto Sans CJK SC" w:eastAsia="Noto Sans CJK SC"/>
          <w:b w:val="0"/>
          <w:color w:val="17212B"/>
          <w:sz w:val="21"/>
        </w:rPr>
        <w:t>字段来源要唯一。产品尺寸来自工程图，包装尺寸来自打包后的实测，功率和安全参数来自铭牌/报告，品牌拼写来自商标证书。运营不得为了“先通过”而临时编造属性。</w:t>
      </w:r>
    </w:p>
    <w:p>
      <w:pPr>
        <w:pStyle w:val="Heading2"/>
      </w:pPr>
      <w:r>
        <w:rPr>
          <w:rFonts w:ascii="Noto Sans CJK SC" w:hAnsi="Noto Sans CJK SC" w:eastAsia="Noto Sans CJK SC"/>
          <w:b/>
          <w:color w:val="2E5E82"/>
          <w:sz w:val="26"/>
        </w:rPr>
        <w:t>4.2 上架门禁</w:t>
      </w:r>
    </w:p>
    <w:tbl>
      <w:tblPr>
        <w:tblStyle w:val="TableGrid"/>
        <w:tblW w:type="dxa" w:w="9360"/>
        <w:jc w:val="left"/>
        <w:tblLayout w:type="fixed"/>
        <w:tblLook w:firstColumn="1" w:firstRow="1" w:lastColumn="0" w:lastRow="0" w:noHBand="0" w:noVBand="1" w:val="04A0"/>
        <w:tblInd w:w="120" w:type="dxa"/>
      </w:tblPr>
      <w:tblGrid>
        <w:gridCol w:w="1867"/>
        <w:gridCol w:w="3601"/>
        <w:gridCol w:w="3892"/>
      </w:tblGrid>
      <w:tr>
        <w:trPr>
          <w:trHeight w:hRule="atLeast"/>
          <w:tblHeader w:val="true"/>
        </w:trPr>
        <w:tc>
          <w:tcPr>
            <w:tcW w:type="dxa" w:w="186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门禁</w:t>
            </w:r>
          </w:p>
        </w:tc>
        <w:tc>
          <w:tcPr>
            <w:tcW w:type="dxa" w:w="3601"/>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通过条件</w:t>
            </w:r>
          </w:p>
        </w:tc>
        <w:tc>
          <w:tcPr>
            <w:tcW w:type="dxa" w:w="3892"/>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常见失败</w:t>
            </w:r>
          </w:p>
        </w:tc>
      </w:tr>
      <w:tr>
        <w:trPr>
          <w:trHeight w:hRule="atLeast"/>
        </w:trPr>
        <w:tc>
          <w:tcPr>
            <w:tcW w:type="dxa" w:w="186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身份</w:t>
            </w:r>
          </w:p>
        </w:tc>
        <w:tc>
          <w:tcPr>
            <w:tcW w:type="dxa" w:w="360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GTIN、品牌、型号与实物一致</w:t>
            </w:r>
          </w:p>
        </w:tc>
        <w:tc>
          <w:tcPr>
            <w:tcW w:type="dxa" w:w="389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GTIN占用、品牌不一致、重复ASIN</w:t>
            </w:r>
          </w:p>
        </w:tc>
      </w:tr>
      <w:tr>
        <w:trPr>
          <w:trHeight w:hRule="atLeast"/>
        </w:trPr>
        <w:tc>
          <w:tcPr>
            <w:tcW w:type="dxa" w:w="186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内容</w:t>
            </w:r>
          </w:p>
        </w:tc>
        <w:tc>
          <w:tcPr>
            <w:tcW w:type="dxa" w:w="360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标题、图片、要点、属性完整一致</w:t>
            </w:r>
          </w:p>
        </w:tc>
        <w:tc>
          <w:tcPr>
            <w:tcW w:type="dxa" w:w="389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多来源冲突、变体错误、缺图</w:t>
            </w:r>
          </w:p>
        </w:tc>
      </w:tr>
      <w:tr>
        <w:trPr>
          <w:trHeight w:hRule="atLeast"/>
        </w:trPr>
        <w:tc>
          <w:tcPr>
            <w:tcW w:type="dxa" w:w="186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合规</w:t>
            </w:r>
          </w:p>
        </w:tc>
        <w:tc>
          <w:tcPr>
            <w:tcW w:type="dxa" w:w="360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所需报告在有效期内且匹配产品</w:t>
            </w:r>
          </w:p>
        </w:tc>
        <w:tc>
          <w:tcPr>
            <w:tcW w:type="dxa" w:w="389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报告型号不匹配、过期、语言错误</w:t>
            </w:r>
          </w:p>
        </w:tc>
      </w:tr>
      <w:tr>
        <w:trPr>
          <w:trHeight w:hRule="atLeast"/>
        </w:trPr>
        <w:tc>
          <w:tcPr>
            <w:tcW w:type="dxa" w:w="186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商业</w:t>
            </w:r>
          </w:p>
        </w:tc>
        <w:tc>
          <w:tcPr>
            <w:tcW w:type="dxa" w:w="360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Cost、币种、税、装箱和条款可执行</w:t>
            </w:r>
          </w:p>
        </w:tc>
        <w:tc>
          <w:tcPr>
            <w:tcW w:type="dxa" w:w="389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含税/不含税混淆、case pack错误</w:t>
            </w:r>
          </w:p>
        </w:tc>
      </w:tr>
      <w:tr>
        <w:trPr>
          <w:trHeight w:hRule="atLeast"/>
        </w:trPr>
        <w:tc>
          <w:tcPr>
            <w:tcW w:type="dxa" w:w="186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可售</w:t>
            </w:r>
          </w:p>
        </w:tc>
        <w:tc>
          <w:tcPr>
            <w:tcW w:type="dxa" w:w="360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库存、报价、零售状态与配送可用</w:t>
            </w:r>
          </w:p>
        </w:tc>
        <w:tc>
          <w:tcPr>
            <w:tcW w:type="dxa" w:w="389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Offer不可售、价格异常、库存受限</w:t>
            </w:r>
          </w:p>
        </w:tc>
      </w:tr>
    </w:tbl>
    <w:p>
      <w:pPr>
        <w:spacing w:after="20"/>
      </w:pPr>
    </w:p>
    <w:p>
      <w:pPr>
        <w:pStyle w:val="Heading2"/>
      </w:pPr>
      <w:r>
        <w:rPr>
          <w:rFonts w:ascii="Noto Sans CJK SC" w:hAnsi="Noto Sans CJK SC" w:eastAsia="Noto Sans CJK SC"/>
          <w:b/>
          <w:color w:val="2E5E82"/>
          <w:sz w:val="26"/>
        </w:rPr>
        <w:t>4.3 修改品牌与关键属性</w:t>
      </w:r>
    </w:p>
    <w:p>
      <w:r>
        <w:rPr>
          <w:rFonts w:ascii="Noto Sans CJK SC" w:hAnsi="Noto Sans CJK SC" w:eastAsia="Noto Sans CJK SC"/>
          <w:b w:val="0"/>
          <w:color w:val="17212B"/>
          <w:sz w:val="21"/>
        </w:rPr>
        <w:t>品牌、GTIN、产品类型等是高风险字段。修改前准备商标证书、包装六面图、产品实拍、官网或目录证据、错误形成原因和期望值。不要通过新建重复ASIN规避锁定；先在账号内Catalog/Item Support路径提交证据，必要时由品牌注册或VM协同。</w:t>
      </w:r>
    </w:p>
    <w:p>
      <w:r>
        <w:rPr>
          <w:rFonts w:ascii="Noto Sans CJK SC" w:hAnsi="Noto Sans CJK SC" w:eastAsia="Noto Sans CJK SC"/>
          <w:b w:val="0"/>
          <w:color w:val="17212B"/>
          <w:sz w:val="21"/>
        </w:rPr>
        <w:t>【账号差异】Items、Catalog、Item Setup、Edit Products等入口可能随站点和新版界面变化。书中不把某个菜单名写成永久规则，操作人员应以当前Help页面和任务入口为准。</w:t>
      </w:r>
    </w:p>
    <w:p>
      <w:pPr>
        <w:pStyle w:val="Heading1"/>
      </w:pPr>
      <w:r>
        <w:rPr>
          <w:rFonts w:ascii="Noto Sans CJK SC" w:hAnsi="Noto Sans CJK SC" w:eastAsia="Noto Sans CJK SC"/>
          <w:b/>
          <w:color w:val="0B1F33"/>
          <w:sz w:val="36"/>
        </w:rPr>
        <w:t>第5章 合规、危险品与产品包装</w:t>
      </w:r>
    </w:p>
    <w:p>
      <w:r>
        <w:rPr>
          <w:rFonts w:ascii="Noto Sans CJK SC" w:hAnsi="Noto Sans CJK SC" w:eastAsia="Noto Sans CJK SC"/>
          <w:b w:val="0"/>
          <w:color w:val="17212B"/>
          <w:sz w:val="21"/>
        </w:rPr>
        <w:t>合规的本质是让“产品—型号—报告—ASIN—站点”形成可追溯链条。证书本身不是通行证：实验室、标准、型号覆盖、申请人/制造商、照片、额定参数和有效期任一不一致，都可能导致审核失败。</w:t>
      </w:r>
    </w:p>
    <w:p>
      <w:pPr>
        <w:pStyle w:val="Heading2"/>
      </w:pPr>
      <w:r>
        <w:rPr>
          <w:rFonts w:ascii="Noto Sans CJK SC" w:hAnsi="Noto Sans CJK SC" w:eastAsia="Noto Sans CJK SC"/>
          <w:b/>
          <w:color w:val="2E5E82"/>
          <w:sz w:val="26"/>
        </w:rPr>
        <w:t>5.1 合规矩阵</w:t>
      </w:r>
    </w:p>
    <w:p>
      <w:r>
        <w:rPr>
          <w:rFonts w:ascii="Noto Sans CJK SC" w:hAnsi="Noto Sans CJK SC" w:eastAsia="Noto Sans CJK SC"/>
          <w:b w:val="0"/>
          <w:color w:val="17212B"/>
          <w:sz w:val="21"/>
        </w:rPr>
        <w:t>按产品类型与站点建立矩阵，至少记录：法规/标准、需要文件、责任人、报告机构、型号范围、有效期、后台提交日期、审核状态、对应ASIN、原文件位置。儿童用品、医疗器械、无线/电子产品、电池、化学品和食品接触材料应单独管理。</w:t>
      </w:r>
    </w:p>
    <w:p>
      <w:r>
        <w:rPr>
          <w:rFonts w:ascii="Noto Sans CJK SC" w:hAnsi="Noto Sans CJK SC" w:eastAsia="Noto Sans CJK SC"/>
          <w:b w:val="0"/>
          <w:color w:val="17212B"/>
          <w:sz w:val="21"/>
        </w:rPr>
        <w:t>危险品审核常见材料包括16部分SDS或危险品豁免信息、电池类型、额定能量、成分与运输分类。SDS必须对应真实产品和制造商；不要用相似产品报告替代。</w:t>
      </w:r>
    </w:p>
    <w:p>
      <w:pPr>
        <w:pStyle w:val="Heading2"/>
      </w:pPr>
      <w:r>
        <w:rPr>
          <w:rFonts w:ascii="Noto Sans CJK SC" w:hAnsi="Noto Sans CJK SC" w:eastAsia="Noto Sans CJK SC"/>
          <w:b/>
          <w:color w:val="2E5E82"/>
          <w:sz w:val="26"/>
        </w:rPr>
        <w:t>5.2 SIOC与SIPP名称变化</w:t>
      </w:r>
    </w:p>
    <w:p>
      <w:r>
        <w:rPr>
          <w:rFonts w:ascii="Noto Sans CJK SC" w:hAnsi="Noto Sans CJK SC" w:eastAsia="Noto Sans CJK SC"/>
          <w:b w:val="0"/>
          <w:color w:val="17212B"/>
          <w:sz w:val="21"/>
        </w:rPr>
        <w:t>【官方机制】亚马逊公开资料已将Ships in Own Container（SIOC）逐步更新为Ships in Product Packaging（SIPP）。旧项目名仍会出现在历史材料、供应商沟通或部分界面中。本书后续统一写作“SIPP（原SIOC）”。</w:t>
      </w:r>
    </w:p>
    <w:p>
      <w:r>
        <w:rPr>
          <w:rFonts w:ascii="Noto Sans CJK SC" w:hAnsi="Noto Sans CJK SC" w:eastAsia="Noto Sans CJK SC"/>
          <w:b w:val="0"/>
          <w:color w:val="17212B"/>
          <w:sz w:val="21"/>
        </w:rPr>
        <w:t>包装认证的价值不仅是减少额外包装，还包括降低运输损伤、减少客户拆包摩擦和改善单位物流成本。测试要求依产品尺寸、重量、脆弱性和项目而异，不能把“虚拟认证”或某一ISTA测试路径视为所有产品通用规则。</w:t>
      </w:r>
    </w:p>
    <w:p>
      <w:pPr>
        <w:pStyle w:val="Heading2"/>
      </w:pPr>
      <w:r>
        <w:rPr>
          <w:rFonts w:ascii="Noto Sans CJK SC" w:hAnsi="Noto Sans CJK SC" w:eastAsia="Noto Sans CJK SC"/>
          <w:b/>
          <w:color w:val="2E5E82"/>
          <w:sz w:val="26"/>
        </w:rPr>
        <w:t>5.3 合规任务SOP</w:t>
      </w:r>
    </w:p>
    <w:p>
      <w:pPr>
        <w:numPr>
          <w:ilvl w:val="0"/>
          <w:numId w:val="14"/>
        </w:numPr>
        <w:spacing w:after="80" w:line="300" w:lineRule="auto"/>
      </w:pPr>
      <w:r>
        <w:rPr>
          <w:rFonts w:ascii="Noto Sans CJK SC" w:hAnsi="Noto Sans CJK SC" w:eastAsia="Noto Sans CJK SC"/>
          <w:b w:val="0"/>
          <w:color w:val="17212B"/>
          <w:sz w:val="21"/>
        </w:rPr>
        <w:t>截图并记录任务原文、ASIN、站点、截止时间和要求文件。</w:t>
      </w:r>
    </w:p>
    <w:p>
      <w:pPr>
        <w:numPr>
          <w:ilvl w:val="0"/>
          <w:numId w:val="14"/>
        </w:numPr>
        <w:spacing w:after="80" w:line="300" w:lineRule="auto"/>
      </w:pPr>
      <w:r>
        <w:rPr>
          <w:rFonts w:ascii="Noto Sans CJK SC" w:hAnsi="Noto Sans CJK SC" w:eastAsia="Noto Sans CJK SC"/>
          <w:b w:val="0"/>
          <w:color w:val="17212B"/>
          <w:sz w:val="21"/>
        </w:rPr>
        <w:t>由合规负责人判断适用法规与型号覆盖，运营人员不得自行猜测。</w:t>
      </w:r>
    </w:p>
    <w:p>
      <w:pPr>
        <w:numPr>
          <w:ilvl w:val="0"/>
          <w:numId w:val="14"/>
        </w:numPr>
        <w:spacing w:after="80" w:line="300" w:lineRule="auto"/>
      </w:pPr>
      <w:r>
        <w:rPr>
          <w:rFonts w:ascii="Noto Sans CJK SC" w:hAnsi="Noto Sans CJK SC" w:eastAsia="Noto Sans CJK SC"/>
          <w:b w:val="0"/>
          <w:color w:val="17212B"/>
          <w:sz w:val="21"/>
        </w:rPr>
        <w:t>做文件一致性检查：品牌、型号、制造商、地址、额定值、照片、标准与语言。</w:t>
      </w:r>
    </w:p>
    <w:p>
      <w:pPr>
        <w:numPr>
          <w:ilvl w:val="0"/>
          <w:numId w:val="14"/>
        </w:numPr>
        <w:spacing w:after="80" w:line="300" w:lineRule="auto"/>
      </w:pPr>
      <w:r>
        <w:rPr>
          <w:rFonts w:ascii="Noto Sans CJK SC" w:hAnsi="Noto Sans CJK SC" w:eastAsia="Noto Sans CJK SC"/>
          <w:b w:val="0"/>
          <w:color w:val="17212B"/>
          <w:sz w:val="21"/>
        </w:rPr>
        <w:t>上传后记录提交ID/Case ID和文件哈希或版本号。</w:t>
      </w:r>
    </w:p>
    <w:p>
      <w:pPr>
        <w:numPr>
          <w:ilvl w:val="0"/>
          <w:numId w:val="14"/>
        </w:numPr>
        <w:spacing w:after="80" w:line="300" w:lineRule="auto"/>
      </w:pPr>
      <w:r>
        <w:rPr>
          <w:rFonts w:ascii="Noto Sans CJK SC" w:hAnsi="Noto Sans CJK SC" w:eastAsia="Noto Sans CJK SC"/>
          <w:b w:val="0"/>
          <w:color w:val="17212B"/>
          <w:sz w:val="21"/>
        </w:rPr>
        <w:t>若被拒绝，按拒绝原因逐项修正，不重复提交完全相同的文件。</w:t>
      </w:r>
    </w:p>
    <w:p>
      <w:pPr>
        <w:numPr>
          <w:ilvl w:val="0"/>
          <w:numId w:val="14"/>
        </w:numPr>
        <w:spacing w:after="80" w:line="300" w:lineRule="auto"/>
      </w:pPr>
      <w:r>
        <w:rPr>
          <w:rFonts w:ascii="Noto Sans CJK SC" w:hAnsi="Noto Sans CJK SC" w:eastAsia="Noto Sans CJK SC"/>
          <w:b w:val="0"/>
          <w:color w:val="17212B"/>
          <w:sz w:val="21"/>
        </w:rPr>
        <w:t>审核通过后，把结果回写ASIN主数据并设置证书到期提醒。</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FFF3DE"/>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红线： </w:t>
            </w:r>
            <w:r>
              <w:rPr>
                <w:rFonts w:ascii="Noto Sans CJK SC" w:hAnsi="Noto Sans CJK SC" w:eastAsia="Noto Sans CJK SC"/>
                <w:b w:val="0"/>
                <w:color w:val="17212B"/>
                <w:sz w:val="19"/>
              </w:rPr>
              <w:t>不伪造、不拼接、不借用证书；不为抢时效而上传不匹配文件；不把“审核通过”误解为永久有效。</w:t>
            </w:r>
          </w:p>
        </w:tc>
      </w:tr>
    </w:tbl>
    <w:p>
      <w:pPr>
        <w:spacing w:after="20"/>
      </w:pPr>
    </w:p>
    <w:p>
      <w:pPr>
        <w:pStyle w:val="Heading1"/>
        <w:pageBreakBefore/>
        <w:spacing w:before="0" w:after="360"/>
      </w:pPr>
      <w:r>
        <w:rPr>
          <w:rFonts w:ascii="Noto Sans CJK SC" w:hAnsi="Noto Sans CJK SC" w:eastAsia="Noto Sans CJK SC"/>
          <w:b/>
          <w:color w:val="E98400"/>
          <w:sz w:val="44"/>
        </w:rPr>
        <w:t>第三篇 PO、物流与履约</w:t>
      </w:r>
      <w:r>
        <w:br w:type="page"/>
      </w:r>
    </w:p>
    <w:p>
      <w:pPr>
        <w:pStyle w:val="Heading1"/>
      </w:pPr>
      <w:r>
        <w:rPr>
          <w:rFonts w:ascii="Noto Sans CJK SC" w:hAnsi="Noto Sans CJK SC" w:eastAsia="Noto Sans CJK SC"/>
          <w:b/>
          <w:color w:val="0B1F33"/>
          <w:sz w:val="36"/>
        </w:rPr>
        <w:t>第6章 PO全生命周期</w:t>
      </w:r>
    </w:p>
    <w:p>
      <w:r>
        <w:rPr>
          <w:rFonts w:ascii="Noto Sans CJK SC" w:hAnsi="Noto Sans CJK SC" w:eastAsia="Noto Sans CJK SC"/>
          <w:b w:val="0"/>
          <w:color w:val="17212B"/>
          <w:sz w:val="21"/>
        </w:rPr>
        <w:t>PO是VC经营的订单底座。团队必须把每张PO从“收到”追踪到“付款完成”，而不是在发货后就结束。一个标准生命周期包括：接收、评估、确认、备货、建货件、标签、承运、装运确认/ASN、Amazon接收、开票、付款、差异处理。</w:t>
      </w:r>
    </w:p>
    <w:p>
      <w:pPr>
        <w:keepNext/>
        <w:jc w:val="center"/>
      </w:pPr>
      <w:r>
        <w:drawing>
          <wp:inline xmlns:a="http://schemas.openxmlformats.org/drawingml/2006/main" xmlns:pic="http://schemas.openxmlformats.org/drawingml/2006/picture">
            <wp:extent cx="5943600" cy="3417570"/>
            <wp:docPr id="2" name="Picture 2" descr="图6-1 PO从收到到收款的闭环"/>
            <wp:cNvGraphicFramePr>
              <a:graphicFrameLocks noChangeAspect="1"/>
            </wp:cNvGraphicFramePr>
            <a:graphic>
              <a:graphicData uri="http://schemas.openxmlformats.org/drawingml/2006/picture">
                <pic:pic>
                  <pic:nvPicPr>
                    <pic:cNvPr id="0" name="po_lifecycle.png"/>
                    <pic:cNvPicPr/>
                  </pic:nvPicPr>
                  <pic:blipFill>
                    <a:blip r:embed="rId12"/>
                    <a:stretch>
                      <a:fillRect/>
                    </a:stretch>
                  </pic:blipFill>
                  <pic:spPr>
                    <a:xfrm>
                      <a:off x="0" y="0"/>
                      <a:ext cx="5943600" cy="3417570"/>
                    </a:xfrm>
                    <a:prstGeom prst="rect"/>
                  </pic:spPr>
                </pic:pic>
              </a:graphicData>
            </a:graphic>
          </wp:inline>
        </w:drawing>
      </w:r>
    </w:p>
    <w:p>
      <w:pPr>
        <w:pStyle w:val="FigureCaption"/>
      </w:pPr>
      <w:r>
        <w:t>图6-1 PO从收到到收款的闭环</w:t>
      </w:r>
    </w:p>
    <w:p>
      <w:pPr>
        <w:pStyle w:val="Heading2"/>
      </w:pPr>
      <w:r>
        <w:rPr>
          <w:rFonts w:ascii="Noto Sans CJK SC" w:hAnsi="Noto Sans CJK SC" w:eastAsia="Noto Sans CJK SC"/>
          <w:b/>
          <w:color w:val="2E5E82"/>
          <w:sz w:val="26"/>
        </w:rPr>
        <w:t>6.1 收到PO后的六项检查</w:t>
      </w:r>
    </w:p>
    <w:p>
      <w:pPr>
        <w:numPr>
          <w:ilvl w:val="0"/>
          <w:numId w:val="15"/>
        </w:numPr>
        <w:spacing w:after="80" w:line="300" w:lineRule="auto"/>
      </w:pPr>
      <w:r>
        <w:rPr>
          <w:rFonts w:ascii="Noto Sans CJK SC" w:hAnsi="Noto Sans CJK SC" w:eastAsia="Noto Sans CJK SC"/>
          <w:b w:val="0"/>
          <w:color w:val="17212B"/>
          <w:sz w:val="21"/>
        </w:rPr>
        <w:t>身份：vendor code、PO号、站点和收货方是否正确。</w:t>
      </w:r>
    </w:p>
    <w:p>
      <w:pPr>
        <w:numPr>
          <w:ilvl w:val="0"/>
          <w:numId w:val="15"/>
        </w:numPr>
        <w:spacing w:after="80" w:line="300" w:lineRule="auto"/>
      </w:pPr>
      <w:r>
        <w:rPr>
          <w:rFonts w:ascii="Noto Sans CJK SC" w:hAnsi="Noto Sans CJK SC" w:eastAsia="Noto Sans CJK SC"/>
          <w:b w:val="0"/>
          <w:color w:val="17212B"/>
          <w:sz w:val="21"/>
        </w:rPr>
        <w:t>商品：ASIN/SKU、case pack、单位数量、单位供货价与币种。</w:t>
      </w:r>
    </w:p>
    <w:p>
      <w:pPr>
        <w:numPr>
          <w:ilvl w:val="0"/>
          <w:numId w:val="15"/>
        </w:numPr>
        <w:spacing w:after="80" w:line="300" w:lineRule="auto"/>
      </w:pPr>
      <w:r>
        <w:rPr>
          <w:rFonts w:ascii="Noto Sans CJK SC" w:hAnsi="Noto Sans CJK SC" w:eastAsia="Noto Sans CJK SC"/>
          <w:b w:val="0"/>
          <w:color w:val="17212B"/>
          <w:sz w:val="21"/>
        </w:rPr>
        <w:t>时间：response-by date、ship window、delivery window及预约要求。</w:t>
      </w:r>
    </w:p>
    <w:p>
      <w:pPr>
        <w:numPr>
          <w:ilvl w:val="0"/>
          <w:numId w:val="15"/>
        </w:numPr>
        <w:spacing w:after="80" w:line="300" w:lineRule="auto"/>
      </w:pPr>
      <w:r>
        <w:rPr>
          <w:rFonts w:ascii="Noto Sans CJK SC" w:hAnsi="Noto Sans CJK SC" w:eastAsia="Noto Sans CJK SC"/>
          <w:b w:val="0"/>
          <w:color w:val="17212B"/>
          <w:sz w:val="21"/>
        </w:rPr>
        <w:t>地点：ship-from、ship-to、FC/中转点、承运责任。</w:t>
      </w:r>
    </w:p>
    <w:p>
      <w:pPr>
        <w:numPr>
          <w:ilvl w:val="0"/>
          <w:numId w:val="15"/>
        </w:numPr>
        <w:spacing w:after="80" w:line="300" w:lineRule="auto"/>
      </w:pPr>
      <w:r>
        <w:rPr>
          <w:rFonts w:ascii="Noto Sans CJK SC" w:hAnsi="Noto Sans CJK SC" w:eastAsia="Noto Sans CJK SC"/>
          <w:b w:val="0"/>
          <w:color w:val="17212B"/>
          <w:sz w:val="21"/>
        </w:rPr>
        <w:t>条款：freight terms、付款条件、特殊标签或单证。</w:t>
      </w:r>
    </w:p>
    <w:p>
      <w:pPr>
        <w:numPr>
          <w:ilvl w:val="0"/>
          <w:numId w:val="15"/>
        </w:numPr>
        <w:spacing w:after="80" w:line="300" w:lineRule="auto"/>
      </w:pPr>
      <w:r>
        <w:rPr>
          <w:rFonts w:ascii="Noto Sans CJK SC" w:hAnsi="Noto Sans CJK SC" w:eastAsia="Noto Sans CJK SC"/>
          <w:b w:val="0"/>
          <w:color w:val="17212B"/>
          <w:sz w:val="21"/>
        </w:rPr>
        <w:t>可执行性：可用库存、生产完工日、运输时效和异常缓冲。</w:t>
      </w:r>
    </w:p>
    <w:p>
      <w:r>
        <w:rPr>
          <w:rFonts w:ascii="Noto Sans CJK SC" w:hAnsi="Noto Sans CJK SC" w:eastAsia="Noto Sans CJK SC"/>
          <w:b w:val="0"/>
          <w:color w:val="17212B"/>
          <w:sz w:val="21"/>
        </w:rPr>
        <w:t>【实战口径】不要把“48小时确认”写成全账号固定规则。正确控制点是PO自身的response-by date与当前项目要求；内部SLA应比平台截止时间至少提前一个工作日。</w:t>
      </w:r>
    </w:p>
    <w:p>
      <w:pPr>
        <w:pStyle w:val="Heading2"/>
      </w:pPr>
      <w:r>
        <w:rPr>
          <w:rFonts w:ascii="Noto Sans CJK SC" w:hAnsi="Noto Sans CJK SC" w:eastAsia="Noto Sans CJK SC"/>
          <w:b/>
          <w:color w:val="2E5E82"/>
          <w:sz w:val="26"/>
        </w:rPr>
        <w:t>6.2 接受、变更与拒绝</w:t>
      </w:r>
    </w:p>
    <w:p>
      <w:r>
        <w:rPr>
          <w:rFonts w:ascii="Noto Sans CJK SC" w:hAnsi="Noto Sans CJK SC" w:eastAsia="Noto Sans CJK SC"/>
          <w:b w:val="0"/>
          <w:color w:val="17212B"/>
          <w:sz w:val="21"/>
        </w:rPr>
        <w:t>可完全履约时接受；数量可满足但窗口不可满足时，先评估账号是否支持变更/协商；部分可履约时按允许的acknowledgement逻辑提交可接受数量；完全不可履约时，使用真实原因并保留证据。不得为了提高接单率而先全量接受、再短发。</w:t>
      </w:r>
    </w:p>
    <w:p>
      <w:r>
        <w:rPr>
          <w:rFonts w:ascii="Noto Sans CJK SC" w:hAnsi="Noto Sans CJK SC" w:eastAsia="Noto Sans CJK SC"/>
          <w:b w:val="0"/>
          <w:color w:val="17212B"/>
          <w:sz w:val="21"/>
        </w:rPr>
        <w:t>PO变更和取消必须被系统化处理。亚马逊公开Vendor Orders API包含订单变更、取消、状态查询和acknowledgement场景，说明“原PO并非永远不变”。系统集成团队应保留每个版本的PO快照并对差异做告警。</w:t>
      </w:r>
    </w:p>
    <w:p>
      <w:pPr>
        <w:pStyle w:val="Heading2"/>
      </w:pPr>
      <w:r>
        <w:rPr>
          <w:rFonts w:ascii="Noto Sans CJK SC" w:hAnsi="Noto Sans CJK SC" w:eastAsia="Noto Sans CJK SC"/>
          <w:b/>
          <w:color w:val="2E5E82"/>
          <w:sz w:val="26"/>
        </w:rPr>
        <w:t>6.3 PO台账字段</w:t>
      </w:r>
    </w:p>
    <w:p>
      <w:r>
        <w:rPr>
          <w:rFonts w:ascii="Noto Sans CJK SC" w:hAnsi="Noto Sans CJK SC" w:eastAsia="Noto Sans CJK SC"/>
          <w:b w:val="0"/>
          <w:color w:val="17212B"/>
          <w:sz w:val="21"/>
        </w:rPr>
        <w:t>PO台账至少包括PO号、vendor code、站点、下单日、响应截止、窗口、SKU/ASIN、订购/确认/发货/接收/开票/付款数量、cost、PO金额、货件ID、承运商、追踪/POD、发票号、扣款、争议和最终关闭日期。</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章末检查： </w:t>
            </w:r>
            <w:r>
              <w:rPr>
                <w:rFonts w:ascii="Noto Sans CJK SC" w:hAnsi="Noto Sans CJK SC" w:eastAsia="Noto Sans CJK SC"/>
                <w:b w:val="0"/>
                <w:color w:val="17212B"/>
                <w:sz w:val="19"/>
              </w:rPr>
              <w:t>团队是否能在5分钟内回答任意PO的“现在在哪、差多少、谁负责、下一截止时间是什么、预计何时收款”？不能，就是PO管理尚未闭环。</w:t>
            </w:r>
          </w:p>
        </w:tc>
      </w:tr>
    </w:tbl>
    <w:p>
      <w:pPr>
        <w:spacing w:after="20"/>
      </w:pPr>
    </w:p>
    <w:p>
      <w:pPr>
        <w:pStyle w:val="Heading1"/>
      </w:pPr>
      <w:r>
        <w:rPr>
          <w:rFonts w:ascii="Noto Sans CJK SC" w:hAnsi="Noto Sans CJK SC" w:eastAsia="Noto Sans CJK SC"/>
          <w:b/>
          <w:color w:val="0B1F33"/>
          <w:sz w:val="36"/>
        </w:rPr>
        <w:t>第7章 ASN、标签、预约与收货差异</w:t>
      </w:r>
    </w:p>
    <w:p>
      <w:r>
        <w:rPr>
          <w:rFonts w:ascii="Noto Sans CJK SC" w:hAnsi="Noto Sans CJK SC" w:eastAsia="Noto Sans CJK SC"/>
          <w:b w:val="0"/>
          <w:color w:val="17212B"/>
          <w:sz w:val="21"/>
        </w:rPr>
        <w:t>ASN可以理解为供应商向Amazon提交的装运确认与货件结构数据。它连接PO、箱/托盘、SKU数量、承运商、追踪号和预计到货。No PO、短缺、错箱、未按标签要求、货件数据与实物不一致，往往不是仓库单点错误，而是主数据、打包、扫描和提交之间断链。</w:t>
      </w:r>
    </w:p>
    <w:p>
      <w:pPr>
        <w:pStyle w:val="Heading2"/>
      </w:pPr>
      <w:r>
        <w:rPr>
          <w:rFonts w:ascii="Noto Sans CJK SC" w:hAnsi="Noto Sans CJK SC" w:eastAsia="Noto Sans CJK SC"/>
          <w:b/>
          <w:color w:val="2E5E82"/>
          <w:sz w:val="26"/>
        </w:rPr>
        <w:t>7.1 发货前“四对一”</w:t>
      </w:r>
    </w:p>
    <w:p>
      <w:r>
        <w:rPr>
          <w:rFonts w:ascii="Noto Sans CJK SC" w:hAnsi="Noto Sans CJK SC" w:eastAsia="Noto Sans CJK SC"/>
          <w:b w:val="0"/>
          <w:color w:val="17212B"/>
          <w:sz w:val="21"/>
        </w:rPr>
        <w:t>每个箱/托盘必须实现四类记录与一批实物一致：PO确认数量、WMS拣货数量、装箱明细、ASN/Shipment Confirmation、实际箱内商品。建议通过扫描SKU/箱码完成校验，禁止只靠人工目测和Excel复制。</w:t>
      </w:r>
    </w:p>
    <w:p>
      <w:r>
        <w:rPr>
          <w:rFonts w:ascii="Noto Sans CJK SC" w:hAnsi="Noto Sans CJK SC" w:eastAsia="Noto Sans CJK SC"/>
          <w:b w:val="0"/>
          <w:color w:val="17212B"/>
          <w:sz w:val="21"/>
        </w:rPr>
        <w:t>【官方机制】Vendor Shipments API支持交换货件信息、生成/获取标签并提交shipment confirmation。DF工作流中，订单必须先确认，才能请求或生成部分类型的运输标签；发货后还应提交装运确认，使Amazon可跟踪货件。</w:t>
      </w:r>
    </w:p>
    <w:p>
      <w:pPr>
        <w:pStyle w:val="Heading2"/>
      </w:pPr>
      <w:r>
        <w:rPr>
          <w:rFonts w:ascii="Noto Sans CJK SC" w:hAnsi="Noto Sans CJK SC" w:eastAsia="Noto Sans CJK SC"/>
          <w:b/>
          <w:color w:val="2E5E82"/>
          <w:sz w:val="26"/>
        </w:rPr>
        <w:t>7.2 证据链</w:t>
      </w:r>
    </w:p>
    <w:p>
      <w:r>
        <w:rPr>
          <w:rFonts w:ascii="Noto Sans CJK SC" w:hAnsi="Noto Sans CJK SC" w:eastAsia="Noto Sans CJK SC"/>
          <w:b w:val="0"/>
          <w:color w:val="17212B"/>
          <w:sz w:val="21"/>
        </w:rPr>
        <w:t>每票货至少保留PO及版本、订单确认回执、拣货单、装箱单、ASN/货件提交回执、箱/托盘标签样张、称重记录、交接单、追踪记录、POD、预约记录、现场照片。争议证据按“PO—箱—承运—签收—开票”目录归档。</w:t>
      </w:r>
    </w:p>
    <w:p>
      <w:pPr>
        <w:pStyle w:val="Heading2"/>
      </w:pPr>
      <w:r>
        <w:rPr>
          <w:rFonts w:ascii="Noto Sans CJK SC" w:hAnsi="Noto Sans CJK SC" w:eastAsia="Noto Sans CJK SC"/>
          <w:b/>
          <w:color w:val="2E5E82"/>
          <w:sz w:val="26"/>
        </w:rPr>
        <w:t>7.3 收货差异处理</w:t>
      </w:r>
    </w:p>
    <w:p>
      <w:r>
        <w:rPr>
          <w:rFonts w:ascii="Noto Sans CJK SC" w:hAnsi="Noto Sans CJK SC" w:eastAsia="Noto Sans CJK SC"/>
          <w:b w:val="0"/>
          <w:color w:val="17212B"/>
          <w:sz w:val="21"/>
        </w:rPr>
        <w:t>Amazon显示短收时，先判断是未完成接收、箱级丢失、SKU错收、标签无法关联、PO取消/变更、承运损失还是实发不足。不要只拿POD证明“车到了”；POD能证明交付载体，但不必然证明每个SKU数量。更有力的证据是带重量的箱级/托盘级记录与ASN一致性。</w:t>
      </w:r>
    </w:p>
    <w:tbl>
      <w:tblPr>
        <w:tblStyle w:val="TableGrid"/>
        <w:tblW w:type="dxa" w:w="9360"/>
        <w:jc w:val="left"/>
        <w:tblLayout w:type="fixed"/>
        <w:tblLook w:firstColumn="1" w:firstRow="1" w:lastColumn="0" w:lastRow="0" w:noHBand="0" w:noVBand="1" w:val="04A0"/>
        <w:tblInd w:w="120" w:type="dxa"/>
      </w:tblPr>
      <w:tblGrid>
        <w:gridCol w:w="2413"/>
        <w:gridCol w:w="3296"/>
        <w:gridCol w:w="3651"/>
      </w:tblGrid>
      <w:tr>
        <w:trPr>
          <w:trHeight w:hRule="atLeast"/>
          <w:tblHeader w:val="true"/>
        </w:trPr>
        <w:tc>
          <w:tcPr>
            <w:tcW w:type="dxa" w:w="241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差异</w:t>
            </w:r>
          </w:p>
        </w:tc>
        <w:tc>
          <w:tcPr>
            <w:tcW w:type="dxa" w:w="329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首查数据</w:t>
            </w:r>
          </w:p>
        </w:tc>
        <w:tc>
          <w:tcPr>
            <w:tcW w:type="dxa" w:w="3651"/>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关键证据</w:t>
            </w:r>
          </w:p>
        </w:tc>
      </w:tr>
      <w:tr>
        <w:trPr>
          <w:trHeight w:hRule="atLeast"/>
        </w:trPr>
        <w:tc>
          <w:tcPr>
            <w:tcW w:type="dxa" w:w="241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No PO</w:t>
            </w:r>
          </w:p>
        </w:tc>
        <w:tc>
          <w:tcPr>
            <w:tcW w:type="dxa" w:w="329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PO状态、标签、ASN关联</w:t>
            </w:r>
          </w:p>
        </w:tc>
        <w:tc>
          <w:tcPr>
            <w:tcW w:type="dxa" w:w="365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PO版本、标签样张、ASN回执</w:t>
            </w:r>
          </w:p>
        </w:tc>
      </w:tr>
      <w:tr>
        <w:trPr>
          <w:trHeight w:hRule="atLeast"/>
        </w:trPr>
        <w:tc>
          <w:tcPr>
            <w:tcW w:type="dxa" w:w="241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Shortage</w:t>
            </w:r>
          </w:p>
        </w:tc>
        <w:tc>
          <w:tcPr>
            <w:tcW w:type="dxa" w:w="329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发货/收货数量、箱重量</w:t>
            </w:r>
          </w:p>
        </w:tc>
        <w:tc>
          <w:tcPr>
            <w:tcW w:type="dxa" w:w="365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装箱单、称重、POD、扫描记录</w:t>
            </w:r>
          </w:p>
        </w:tc>
      </w:tr>
      <w:tr>
        <w:trPr>
          <w:trHeight w:hRule="atLeast"/>
        </w:trPr>
        <w:tc>
          <w:tcPr>
            <w:tcW w:type="dxa" w:w="241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Label问题</w:t>
            </w:r>
          </w:p>
        </w:tc>
        <w:tc>
          <w:tcPr>
            <w:tcW w:type="dxa" w:w="329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条码内容、可读性、粘贴位置</w:t>
            </w:r>
          </w:p>
        </w:tc>
        <w:tc>
          <w:tcPr>
            <w:tcW w:type="dxa" w:w="365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标签模板、发货照片</w:t>
            </w:r>
          </w:p>
        </w:tc>
      </w:tr>
      <w:tr>
        <w:trPr>
          <w:trHeight w:hRule="atLeast"/>
        </w:trPr>
        <w:tc>
          <w:tcPr>
            <w:tcW w:type="dxa" w:w="241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迟交</w:t>
            </w:r>
          </w:p>
        </w:tc>
        <w:tc>
          <w:tcPr>
            <w:tcW w:type="dxa" w:w="329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窗口、预约、承运轨迹</w:t>
            </w:r>
          </w:p>
        </w:tc>
        <w:tc>
          <w:tcPr>
            <w:tcW w:type="dxa" w:w="365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预约回执、追踪、异常通知</w:t>
            </w:r>
          </w:p>
        </w:tc>
      </w:tr>
    </w:tbl>
    <w:p>
      <w:pPr>
        <w:spacing w:after="20"/>
      </w:pPr>
    </w:p>
    <w:p>
      <w:pPr>
        <w:pStyle w:val="Heading1"/>
      </w:pPr>
      <w:r>
        <w:rPr>
          <w:rFonts w:ascii="Noto Sans CJK SC" w:hAnsi="Noto Sans CJK SC" w:eastAsia="Noto Sans CJK SC"/>
          <w:b/>
          <w:color w:val="0B1F33"/>
          <w:sz w:val="36"/>
        </w:rPr>
        <w:t>第8章 Direct Fulfillment（DF）运营</w:t>
      </w:r>
    </w:p>
    <w:p>
      <w:r>
        <w:rPr>
          <w:rFonts w:ascii="Noto Sans CJK SC" w:hAnsi="Noto Sans CJK SC" w:eastAsia="Noto Sans CJK SC"/>
          <w:b w:val="0"/>
          <w:color w:val="17212B"/>
          <w:sz w:val="21"/>
        </w:rPr>
        <w:t>DF的运营中心从“批量入仓”变成“逐单履约”。系统能力必须支持订单高频拉取、快速确认、库存同步、拣配、标签、承运和状态回传。人工每日下载一次订单的方式无法支撑稳定DF。</w:t>
      </w:r>
    </w:p>
    <w:p>
      <w:pPr>
        <w:pStyle w:val="Heading2"/>
      </w:pPr>
      <w:r>
        <w:rPr>
          <w:rFonts w:ascii="Noto Sans CJK SC" w:hAnsi="Noto Sans CJK SC" w:eastAsia="Noto Sans CJK SC"/>
          <w:b/>
          <w:color w:val="2E5E82"/>
          <w:sz w:val="26"/>
        </w:rPr>
        <w:t>8.1 DF标准流程</w:t>
      </w:r>
    </w:p>
    <w:p>
      <w:r>
        <w:rPr>
          <w:rFonts w:ascii="Noto Sans CJK SC" w:hAnsi="Noto Sans CJK SC" w:eastAsia="Noto Sans CJK SC"/>
          <w:b w:val="0"/>
          <w:color w:val="17212B"/>
          <w:sz w:val="21"/>
        </w:rPr>
        <w:t>订单进入后，先确认仓库、SKU、数量、配送方式和承诺时间；再提交订单确认；完成拣货与包装后，根据项目使用Amazon提供标签或自有承运方式；交接承运商后及时提交shipment confirmation与有效追踪；最后处理取消、未送达、退货和客户数据删除。</w:t>
      </w:r>
    </w:p>
    <w:p>
      <w:r>
        <w:rPr>
          <w:rFonts w:ascii="Noto Sans CJK SC" w:hAnsi="Noto Sans CJK SC" w:eastAsia="Noto Sans CJK SC"/>
          <w:b w:val="0"/>
          <w:color w:val="17212B"/>
          <w:sz w:val="21"/>
        </w:rPr>
        <w:t>Amazon公开DF API按Inventory、Orders、Shipping、Payments和Transactions拆分。技术团队应围绕这五个域设计，而不是把DF当作普通ERP订单导入。</w:t>
      </w:r>
    </w:p>
    <w:p>
      <w:pPr>
        <w:pStyle w:val="Heading2"/>
      </w:pPr>
      <w:r>
        <w:rPr>
          <w:rFonts w:ascii="Noto Sans CJK SC" w:hAnsi="Noto Sans CJK SC" w:eastAsia="Noto Sans CJK SC"/>
          <w:b/>
          <w:color w:val="2E5E82"/>
          <w:sz w:val="26"/>
        </w:rPr>
        <w:t>8.2 DF库存与超卖</w:t>
      </w:r>
    </w:p>
    <w:p>
      <w:r>
        <w:rPr>
          <w:rFonts w:ascii="Noto Sans CJK SC" w:hAnsi="Noto Sans CJK SC" w:eastAsia="Noto Sans CJK SC"/>
          <w:b w:val="0"/>
          <w:color w:val="17212B"/>
          <w:sz w:val="21"/>
        </w:rPr>
        <w:t>DF库存应按“可销售库存”而不是物理库存同步：可销售库存=在库良品-已分配未出库-质检冻结-渠道安全库存-预计不可按时发出的数量。更新频率应匹配订单速度和平台要求。高取消往往来自多渠道共用库存、组合SKU未拆分或夜间库存不同步。</w:t>
      </w:r>
    </w:p>
    <w:p>
      <w:pPr>
        <w:pStyle w:val="Heading2"/>
      </w:pPr>
      <w:r>
        <w:rPr>
          <w:rFonts w:ascii="Noto Sans CJK SC" w:hAnsi="Noto Sans CJK SC" w:eastAsia="Noto Sans CJK SC"/>
          <w:b/>
          <w:color w:val="2E5E82"/>
          <w:sz w:val="26"/>
        </w:rPr>
        <w:t>8.3 客户数据与标签</w:t>
      </w:r>
    </w:p>
    <w:p>
      <w:r>
        <w:rPr>
          <w:rFonts w:ascii="Noto Sans CJK SC" w:hAnsi="Noto Sans CJK SC" w:eastAsia="Noto Sans CJK SC"/>
          <w:b w:val="0"/>
          <w:color w:val="17212B"/>
          <w:sz w:val="21"/>
        </w:rPr>
        <w:t>【官方机制】部分Amazon Label Only或特定运输方式下，供应商不会接收完整客户姓名、地址或电话，信息仅存在Amazon提供的运输标签；使用自有标签/承运方式时，可能因履约需要接触客户数据。团队应按最小必要原则访问，禁止用于营销、画像或另行留存。</w:t>
      </w:r>
    </w:p>
    <w:p>
      <w:pPr>
        <w:pStyle w:val="Heading1"/>
      </w:pPr>
      <w:r>
        <w:rPr>
          <w:rFonts w:ascii="Noto Sans CJK SC" w:hAnsi="Noto Sans CJK SC" w:eastAsia="Noto Sans CJK SC"/>
          <w:b/>
          <w:color w:val="0B1F33"/>
          <w:sz w:val="36"/>
        </w:rPr>
        <w:t>第9章 Bulk Buy决策模型</w:t>
      </w:r>
    </w:p>
    <w:p>
      <w:r>
        <w:rPr>
          <w:rFonts w:ascii="Noto Sans CJK SC" w:hAnsi="Noto Sans CJK SC" w:eastAsia="Noto Sans CJK SC"/>
          <w:b w:val="0"/>
          <w:color w:val="17212B"/>
          <w:sz w:val="21"/>
        </w:rPr>
        <w:t>Bulk Buy的决策不是“有大单就接”，而是比较三个场景的现金回报：按原价等待常规PO、以折扣价一次性接单、拒绝并把产能用于其他渠道。</w:t>
      </w:r>
    </w:p>
    <w:p>
      <w:pPr>
        <w:pStyle w:val="Heading2"/>
      </w:pPr>
      <w:r>
        <w:rPr>
          <w:rFonts w:ascii="Noto Sans CJK SC" w:hAnsi="Noto Sans CJK SC" w:eastAsia="Noto Sans CJK SC"/>
          <w:b/>
          <w:color w:val="2E5E82"/>
          <w:sz w:val="26"/>
        </w:rPr>
        <w:t>9.1 五层门槛</w:t>
      </w:r>
    </w:p>
    <w:p>
      <w:pPr>
        <w:numPr>
          <w:ilvl w:val="0"/>
          <w:numId w:val="16"/>
        </w:numPr>
        <w:spacing w:after="80" w:line="300" w:lineRule="auto"/>
      </w:pPr>
      <w:r>
        <w:rPr>
          <w:rFonts w:ascii="Noto Sans CJK SC" w:hAnsi="Noto Sans CJK SC" w:eastAsia="Noto Sans CJK SC"/>
          <w:b w:val="0"/>
          <w:color w:val="17212B"/>
          <w:sz w:val="21"/>
        </w:rPr>
        <w:t>真实需求：是确定PO、非约束预测，还是VM意向？</w:t>
      </w:r>
    </w:p>
    <w:p>
      <w:pPr>
        <w:numPr>
          <w:ilvl w:val="0"/>
          <w:numId w:val="16"/>
        </w:numPr>
        <w:spacing w:after="80" w:line="300" w:lineRule="auto"/>
      </w:pPr>
      <w:r>
        <w:rPr>
          <w:rFonts w:ascii="Noto Sans CJK SC" w:hAnsi="Noto Sans CJK SC" w:eastAsia="Noto Sans CJK SC"/>
          <w:b w:val="0"/>
          <w:color w:val="17212B"/>
          <w:sz w:val="21"/>
        </w:rPr>
        <w:t>单位经济：折后净回款是否覆盖变动成本、资金成本和风险准备？</w:t>
      </w:r>
    </w:p>
    <w:p>
      <w:pPr>
        <w:numPr>
          <w:ilvl w:val="0"/>
          <w:numId w:val="16"/>
        </w:numPr>
        <w:spacing w:after="80" w:line="300" w:lineRule="auto"/>
      </w:pPr>
      <w:r>
        <w:rPr>
          <w:rFonts w:ascii="Noto Sans CJK SC" w:hAnsi="Noto Sans CJK SC" w:eastAsia="Noto Sans CJK SC"/>
          <w:b w:val="0"/>
          <w:color w:val="17212B"/>
          <w:sz w:val="21"/>
        </w:rPr>
        <w:t>产能机会成本：是否挤占更高利润订单？</w:t>
      </w:r>
    </w:p>
    <w:p>
      <w:pPr>
        <w:numPr>
          <w:ilvl w:val="0"/>
          <w:numId w:val="16"/>
        </w:numPr>
        <w:spacing w:after="80" w:line="300" w:lineRule="auto"/>
      </w:pPr>
      <w:r>
        <w:rPr>
          <w:rFonts w:ascii="Noto Sans CJK SC" w:hAnsi="Noto Sans CJK SC" w:eastAsia="Noto Sans CJK SC"/>
          <w:b w:val="0"/>
          <w:color w:val="17212B"/>
          <w:sz w:val="21"/>
        </w:rPr>
        <w:t>库存退出：Amazon售不完时，退货、降价、价格保护由谁承担？</w:t>
      </w:r>
    </w:p>
    <w:p>
      <w:pPr>
        <w:numPr>
          <w:ilvl w:val="0"/>
          <w:numId w:val="16"/>
        </w:numPr>
        <w:spacing w:after="80" w:line="300" w:lineRule="auto"/>
      </w:pPr>
      <w:r>
        <w:rPr>
          <w:rFonts w:ascii="Noto Sans CJK SC" w:hAnsi="Noto Sans CJK SC" w:eastAsia="Noto Sans CJK SC"/>
          <w:b w:val="0"/>
          <w:color w:val="17212B"/>
          <w:sz w:val="21"/>
        </w:rPr>
        <w:t>资源交换：是否有可确认的Deal窗口、广告支持或长期采购承诺？</w:t>
      </w:r>
    </w:p>
    <w:p>
      <w:r>
        <w:rPr>
          <w:rFonts w:ascii="Noto Sans CJK SC" w:hAnsi="Noto Sans CJK SC" w:eastAsia="Noto Sans CJK SC"/>
          <w:b w:val="0"/>
          <w:color w:val="17212B"/>
          <w:sz w:val="21"/>
        </w:rPr>
        <w:t>Bulk Buy底价应按“净回款底价”反推，而不是在当前cost上直接打折：</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公式卡： </w:t>
            </w:r>
            <w:r>
              <w:rPr>
                <w:rFonts w:ascii="Noto Sans CJK SC" w:hAnsi="Noto Sans CJK SC" w:eastAsia="Noto Sans CJK SC"/>
                <w:b w:val="0"/>
                <w:color w:val="17212B"/>
                <w:sz w:val="19"/>
              </w:rPr>
              <w:t>可接受Bulk Buy Cost =（单位完全成本 + 目标单位利润 + 风险准备）÷（1 - 协议扣减率 - 提前付款折扣率 - 其他按Cost计提比例）。</w:t>
            </w:r>
          </w:p>
        </w:tc>
      </w:tr>
    </w:tbl>
    <w:p>
      <w:pPr>
        <w:spacing w:after="20"/>
      </w:pPr>
    </w:p>
    <w:p>
      <w:r>
        <w:rPr>
          <w:rFonts w:ascii="Noto Sans CJK SC" w:hAnsi="Noto Sans CJK SC" w:eastAsia="Noto Sans CJK SC"/>
          <w:b w:val="0"/>
          <w:color w:val="17212B"/>
          <w:sz w:val="21"/>
        </w:rPr>
        <w:t>所有支持条件必须落到邮件或合同附件：数量、cost、交货窗口、付款、促销、退出机制和取消责任。模糊的“后续会给资源”不进入财务模型。</w:t>
      </w:r>
    </w:p>
    <w:p>
      <w:pPr>
        <w:pStyle w:val="Heading1"/>
        <w:pageBreakBefore/>
        <w:spacing w:before="0" w:after="360"/>
      </w:pPr>
      <w:r>
        <w:rPr>
          <w:rFonts w:ascii="Noto Sans CJK SC" w:hAnsi="Noto Sans CJK SC" w:eastAsia="Noto Sans CJK SC"/>
          <w:b/>
          <w:color w:val="E98400"/>
          <w:sz w:val="44"/>
        </w:rPr>
        <w:t>第四篇 利润、定价与谈判</w:t>
      </w:r>
      <w:r>
        <w:br w:type="page"/>
      </w:r>
    </w:p>
    <w:p>
      <w:pPr>
        <w:pStyle w:val="Heading1"/>
      </w:pPr>
      <w:r>
        <w:rPr>
          <w:rFonts w:ascii="Noto Sans CJK SC" w:hAnsi="Noto Sans CJK SC" w:eastAsia="Noto Sans CJK SC"/>
          <w:b/>
          <w:color w:val="0B1F33"/>
          <w:sz w:val="36"/>
        </w:rPr>
        <w:t>第10章 VC单位经济模型</w:t>
      </w:r>
    </w:p>
    <w:p>
      <w:r>
        <w:rPr>
          <w:rFonts w:ascii="Noto Sans CJK SC" w:hAnsi="Noto Sans CJK SC" w:eastAsia="Noto Sans CJK SC"/>
          <w:b w:val="0"/>
          <w:color w:val="17212B"/>
          <w:sz w:val="21"/>
        </w:rPr>
        <w:t>VC利润模型至少分供应商视角和Amazon零售视角。供应商视角回答“这件货批发后我赚多少”；Amazon视角回答“Amazon销售这件货的经济性如何”。两者不能混在同一个毛利率里。</w:t>
      </w:r>
    </w:p>
    <w:p>
      <w:pPr>
        <w:keepNext/>
        <w:jc w:val="center"/>
      </w:pPr>
      <w:r>
        <w:drawing>
          <wp:inline xmlns:a="http://schemas.openxmlformats.org/drawingml/2006/main" xmlns:pic="http://schemas.openxmlformats.org/drawingml/2006/picture">
            <wp:extent cx="5943600" cy="3417570"/>
            <wp:docPr id="3" name="Picture 3" descr="图10-1 从前台零售价到供应商净利润的口径桥"/>
            <wp:cNvGraphicFramePr>
              <a:graphicFrameLocks noChangeAspect="1"/>
            </wp:cNvGraphicFramePr>
            <a:graphic>
              <a:graphicData uri="http://schemas.openxmlformats.org/drawingml/2006/picture">
                <pic:pic>
                  <pic:nvPicPr>
                    <pic:cNvPr id="0" name="finance_bridge.png"/>
                    <pic:cNvPicPr/>
                  </pic:nvPicPr>
                  <pic:blipFill>
                    <a:blip r:embed="rId13"/>
                    <a:stretch>
                      <a:fillRect/>
                    </a:stretch>
                  </pic:blipFill>
                  <pic:spPr>
                    <a:xfrm>
                      <a:off x="0" y="0"/>
                      <a:ext cx="5943600" cy="3417570"/>
                    </a:xfrm>
                    <a:prstGeom prst="rect"/>
                  </pic:spPr>
                </pic:pic>
              </a:graphicData>
            </a:graphic>
          </wp:inline>
        </w:drawing>
      </w:r>
    </w:p>
    <w:p>
      <w:pPr>
        <w:pStyle w:val="FigureCaption"/>
      </w:pPr>
      <w:r>
        <w:t>图10-1 从前台零售价到供应商净利润的口径桥</w:t>
      </w:r>
    </w:p>
    <w:p>
      <w:pPr>
        <w:pStyle w:val="Heading2"/>
      </w:pPr>
      <w:r>
        <w:rPr>
          <w:rFonts w:ascii="Noto Sans CJK SC" w:hAnsi="Noto Sans CJK SC" w:eastAsia="Noto Sans CJK SC"/>
          <w:b/>
          <w:color w:val="2E5E82"/>
          <w:sz w:val="26"/>
        </w:rPr>
        <w:t>10.1 供应商单位净回款</w:t>
      </w:r>
    </w:p>
    <w:p>
      <w:r>
        <w:rPr>
          <w:rFonts w:ascii="Noto Sans CJK SC" w:hAnsi="Noto Sans CJK SC" w:eastAsia="Noto Sans CJK SC"/>
          <w:b w:val="0"/>
          <w:color w:val="17212B"/>
          <w:sz w:val="21"/>
        </w:rPr>
        <w:t>单位发票金额通常以PO确认的cost和实际可开票数量为基础。单位净回款估算为：</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公式卡： </w:t>
            </w:r>
            <w:r>
              <w:rPr>
                <w:rFonts w:ascii="Noto Sans CJK SC" w:hAnsi="Noto Sans CJK SC" w:eastAsia="Noto Sans CJK SC"/>
                <w:b w:val="0"/>
                <w:color w:val="17212B"/>
                <w:sz w:val="19"/>
              </w:rPr>
              <w:t>单位净回款 = 单位发票金额 - 协议性扣款 - 单位促销Funding - 单位Chargeback - 价格/数量差异 - 其他贷项。</w:t>
            </w:r>
          </w:p>
        </w:tc>
      </w:tr>
    </w:tbl>
    <w:p>
      <w:pPr>
        <w:spacing w:after="20"/>
      </w:pPr>
    </w:p>
    <w:p>
      <w:r>
        <w:rPr>
          <w:rFonts w:ascii="Noto Sans CJK SC" w:hAnsi="Noto Sans CJK SC" w:eastAsia="Noto Sans CJK SC"/>
          <w:b w:val="0"/>
          <w:color w:val="17212B"/>
          <w:sz w:val="21"/>
        </w:rPr>
        <w:t>单位贡献利润（供应商CM）为：</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公式卡： </w:t>
            </w:r>
            <w:r>
              <w:rPr>
                <w:rFonts w:ascii="Noto Sans CJK SC" w:hAnsi="Noto Sans CJK SC" w:eastAsia="Noto Sans CJK SC"/>
                <w:b w:val="0"/>
                <w:color w:val="17212B"/>
                <w:sz w:val="19"/>
              </w:rPr>
              <w:t>供应商CM = 单位净回款 - 出厂/采购成本 - 头程与本地运输 - 关税与清关 - 包装/贴标 - 仓储操作 - 售后/退货准备 - 可变管理费用。</w:t>
            </w:r>
          </w:p>
        </w:tc>
      </w:tr>
    </w:tbl>
    <w:p>
      <w:pPr>
        <w:spacing w:after="20"/>
      </w:pPr>
    </w:p>
    <w:p>
      <w:r>
        <w:rPr>
          <w:rFonts w:ascii="Noto Sans CJK SC" w:hAnsi="Noto Sans CJK SC" w:eastAsia="Noto Sans CJK SC"/>
          <w:b w:val="0"/>
          <w:color w:val="17212B"/>
          <w:sz w:val="21"/>
        </w:rPr>
        <w:t>固定团队工资、系统费、样品和办公室费用可在SKU层按销量或毛利分摊，但应与单位可变贡献分开，避免把可继续销售的产品误判为亏损，也避免用“未分摊固定成本”掩盖长期亏损。</w:t>
      </w:r>
    </w:p>
    <w:p>
      <w:pPr>
        <w:pStyle w:val="Heading2"/>
      </w:pPr>
      <w:r>
        <w:rPr>
          <w:rFonts w:ascii="Noto Sans CJK SC" w:hAnsi="Noto Sans CJK SC" w:eastAsia="Noto Sans CJK SC"/>
          <w:b/>
          <w:color w:val="2E5E82"/>
          <w:sz w:val="26"/>
        </w:rPr>
        <w:t>10.2 欧洲含税价格示例</w:t>
      </w:r>
    </w:p>
    <w:p>
      <w:r>
        <w:rPr>
          <w:rFonts w:ascii="Noto Sans CJK SC" w:hAnsi="Noto Sans CJK SC" w:eastAsia="Noto Sans CJK SC"/>
          <w:b w:val="0"/>
          <w:color w:val="17212B"/>
          <w:sz w:val="21"/>
        </w:rPr>
        <w:t>上传的《VC毛利测算样表（VC欧洲）》以零售价19.99、产品落地成本1.00为例，先用VAT倍率把含税价转为不含税价，再按目标Amazon零售毛利假设计算Invoice Cost，最后扣除协议费用、MDF、运费等得出净回款与供应商利润。</w:t>
      </w:r>
    </w:p>
    <w:tbl>
      <w:tblPr>
        <w:tblStyle w:val="TableGrid"/>
        <w:tblW w:type="dxa" w:w="9360"/>
        <w:jc w:val="left"/>
        <w:tblLayout w:type="fixed"/>
        <w:tblLook w:firstColumn="1" w:firstRow="1" w:lastColumn="0" w:lastRow="0" w:noHBand="0" w:noVBand="1" w:val="04A0"/>
        <w:tblInd w:w="120" w:type="dxa"/>
      </w:tblPr>
      <w:tblGrid>
        <w:gridCol w:w="1387"/>
        <w:gridCol w:w="1387"/>
        <w:gridCol w:w="1581"/>
        <w:gridCol w:w="1387"/>
        <w:gridCol w:w="2033"/>
        <w:gridCol w:w="1585"/>
      </w:tblGrid>
      <w:tr>
        <w:trPr>
          <w:trHeight w:hRule="atLeast"/>
          <w:tblHeader w:val="true"/>
        </w:trPr>
        <w:tc>
          <w:tcPr>
            <w:tcW w:type="dxa" w:w="138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站点</w:t>
            </w:r>
          </w:p>
        </w:tc>
        <w:tc>
          <w:tcPr>
            <w:tcW w:type="dxa" w:w="138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含税售价</w:t>
            </w:r>
          </w:p>
        </w:tc>
        <w:tc>
          <w:tcPr>
            <w:tcW w:type="dxa" w:w="1581"/>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VAT倍率（样表）</w:t>
            </w:r>
          </w:p>
        </w:tc>
        <w:tc>
          <w:tcPr>
            <w:tcW w:type="dxa" w:w="138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不含税售价</w:t>
            </w:r>
          </w:p>
        </w:tc>
        <w:tc>
          <w:tcPr>
            <w:tcW w:type="dxa" w:w="203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Invoice Cost（样表）</w:t>
            </w:r>
          </w:p>
        </w:tc>
        <w:tc>
          <w:tcPr>
            <w:tcW w:type="dxa" w:w="1585"/>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净发票回款（样表）</w:t>
            </w:r>
          </w:p>
        </w:tc>
      </w:tr>
      <w:tr>
        <w:trPr>
          <w:trHeight w:hRule="atLeast"/>
        </w:trPr>
        <w:tc>
          <w:tcPr>
            <w:tcW w:type="dxa" w:w="138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DE</w:t>
            </w:r>
          </w:p>
        </w:tc>
        <w:tc>
          <w:tcPr>
            <w:tcW w:type="dxa" w:w="138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19.99</w:t>
            </w:r>
          </w:p>
        </w:tc>
        <w:tc>
          <w:tcPr>
            <w:tcW w:type="dxa" w:w="158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1.19</w:t>
            </w:r>
          </w:p>
        </w:tc>
        <w:tc>
          <w:tcPr>
            <w:tcW w:type="dxa" w:w="138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16.80</w:t>
            </w:r>
          </w:p>
        </w:tc>
        <w:tc>
          <w:tcPr>
            <w:tcW w:type="dxa" w:w="203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14.28</w:t>
            </w:r>
          </w:p>
        </w:tc>
        <w:tc>
          <w:tcPr>
            <w:tcW w:type="dxa" w:w="158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12.14</w:t>
            </w:r>
          </w:p>
        </w:tc>
      </w:tr>
      <w:tr>
        <w:trPr>
          <w:trHeight w:hRule="atLeast"/>
        </w:trPr>
        <w:tc>
          <w:tcPr>
            <w:tcW w:type="dxa" w:w="138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FR</w:t>
            </w:r>
          </w:p>
        </w:tc>
        <w:tc>
          <w:tcPr>
            <w:tcW w:type="dxa" w:w="138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19.99</w:t>
            </w:r>
          </w:p>
        </w:tc>
        <w:tc>
          <w:tcPr>
            <w:tcW w:type="dxa" w:w="158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1.20</w:t>
            </w:r>
          </w:p>
        </w:tc>
        <w:tc>
          <w:tcPr>
            <w:tcW w:type="dxa" w:w="138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16.66</w:t>
            </w:r>
          </w:p>
        </w:tc>
        <w:tc>
          <w:tcPr>
            <w:tcW w:type="dxa" w:w="203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14.16</w:t>
            </w:r>
          </w:p>
        </w:tc>
        <w:tc>
          <w:tcPr>
            <w:tcW w:type="dxa" w:w="158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12.04</w:t>
            </w:r>
          </w:p>
        </w:tc>
      </w:tr>
      <w:tr>
        <w:trPr>
          <w:trHeight w:hRule="atLeast"/>
        </w:trPr>
        <w:tc>
          <w:tcPr>
            <w:tcW w:type="dxa" w:w="138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IT</w:t>
            </w:r>
          </w:p>
        </w:tc>
        <w:tc>
          <w:tcPr>
            <w:tcW w:type="dxa" w:w="138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19.99</w:t>
            </w:r>
          </w:p>
        </w:tc>
        <w:tc>
          <w:tcPr>
            <w:tcW w:type="dxa" w:w="158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1.22</w:t>
            </w:r>
          </w:p>
        </w:tc>
        <w:tc>
          <w:tcPr>
            <w:tcW w:type="dxa" w:w="138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16.39</w:t>
            </w:r>
          </w:p>
        </w:tc>
        <w:tc>
          <w:tcPr>
            <w:tcW w:type="dxa" w:w="203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13.93</w:t>
            </w:r>
          </w:p>
        </w:tc>
        <w:tc>
          <w:tcPr>
            <w:tcW w:type="dxa" w:w="158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11.84</w:t>
            </w:r>
          </w:p>
        </w:tc>
      </w:tr>
      <w:tr>
        <w:trPr>
          <w:trHeight w:hRule="atLeast"/>
        </w:trPr>
        <w:tc>
          <w:tcPr>
            <w:tcW w:type="dxa" w:w="138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ES</w:t>
            </w:r>
          </w:p>
        </w:tc>
        <w:tc>
          <w:tcPr>
            <w:tcW w:type="dxa" w:w="138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19.99</w:t>
            </w:r>
          </w:p>
        </w:tc>
        <w:tc>
          <w:tcPr>
            <w:tcW w:type="dxa" w:w="158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1.21</w:t>
            </w:r>
          </w:p>
        </w:tc>
        <w:tc>
          <w:tcPr>
            <w:tcW w:type="dxa" w:w="138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16.52</w:t>
            </w:r>
          </w:p>
        </w:tc>
        <w:tc>
          <w:tcPr>
            <w:tcW w:type="dxa" w:w="203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14.04</w:t>
            </w:r>
          </w:p>
        </w:tc>
        <w:tc>
          <w:tcPr>
            <w:tcW w:type="dxa" w:w="158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11.94</w:t>
            </w:r>
          </w:p>
        </w:tc>
      </w:tr>
    </w:tbl>
    <w:p>
      <w:pPr>
        <w:spacing w:after="20"/>
      </w:pPr>
    </w:p>
    <w:p>
      <w:r>
        <w:rPr>
          <w:rFonts w:ascii="Noto Sans CJK SC" w:hAnsi="Noto Sans CJK SC" w:eastAsia="Noto Sans CJK SC"/>
          <w:b w:val="0"/>
          <w:color w:val="17212B"/>
          <w:sz w:val="21"/>
        </w:rPr>
        <w:t>【合同变量】样表中的15%零售利润、15%净回款扣减、5% MDF、0.50运费和Deal场景10%等，都是模型假设，不是Amazon统一费率。正式决策前必须用当前站点VAT、合同、PO、实际回款和物流报价替换。</w:t>
      </w:r>
    </w:p>
    <w:p>
      <w:pPr>
        <w:pStyle w:val="Heading1"/>
      </w:pPr>
      <w:r>
        <w:rPr>
          <w:rFonts w:ascii="Noto Sans CJK SC" w:hAnsi="Noto Sans CJK SC" w:eastAsia="Noto Sans CJK SC"/>
          <w:b/>
          <w:color w:val="0B1F33"/>
          <w:sz w:val="36"/>
        </w:rPr>
        <w:t>第11章 PPM、Net PPM与供应商CM</w:t>
      </w:r>
    </w:p>
    <w:p>
      <w:r>
        <w:rPr>
          <w:rFonts w:ascii="Noto Sans CJK SC" w:hAnsi="Noto Sans CJK SC" w:eastAsia="Noto Sans CJK SC"/>
          <w:b w:val="0"/>
          <w:color w:val="17212B"/>
          <w:sz w:val="21"/>
        </w:rPr>
        <w:t>PPM、Net PPM和CM经常被混用。建议在团队词典中给每个字段同时写清“观察者、分子、分母、是否含条款、数据来源”。如果没有这些定义，会议里相同的“利润率”可能指三件不同的事。</w:t>
      </w:r>
    </w:p>
    <w:p>
      <w:pPr>
        <w:pStyle w:val="Heading2"/>
      </w:pPr>
      <w:r>
        <w:rPr>
          <w:rFonts w:ascii="Noto Sans CJK SC" w:hAnsi="Noto Sans CJK SC" w:eastAsia="Noto Sans CJK SC"/>
          <w:b/>
          <w:color w:val="2E5E82"/>
          <w:sz w:val="26"/>
        </w:rPr>
        <w:t>11.1 实战估算口径</w:t>
      </w:r>
    </w:p>
    <w:p>
      <w:r>
        <w:rPr>
          <w:rFonts w:ascii="Noto Sans CJK SC" w:hAnsi="Noto Sans CJK SC" w:eastAsia="Noto Sans CJK SC"/>
          <w:b w:val="0"/>
          <w:color w:val="17212B"/>
          <w:sz w:val="21"/>
        </w:rPr>
        <w:t>团队长期使用的常规估算公式为：</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实战公式： </w:t>
            </w:r>
            <w:r>
              <w:rPr>
                <w:rFonts w:ascii="Noto Sans CJK SC" w:hAnsi="Noto Sans CJK SC" w:eastAsia="Noto Sans CJK SC"/>
                <w:b w:val="0"/>
                <w:color w:val="17212B"/>
                <w:sz w:val="19"/>
              </w:rPr>
              <w:t>估算Net PPM（不促销）=（实际/估算零售收入 - Cost + 协议扣点×Cost）÷ 实际/估算零售收入。</w:t>
            </w:r>
          </w:p>
        </w:tc>
      </w:tr>
    </w:tbl>
    <w:p>
      <w:pPr>
        <w:spacing w:after="20"/>
      </w:pPr>
    </w:p>
    <w:p>
      <w:r>
        <w:rPr>
          <w:rFonts w:ascii="Noto Sans CJK SC" w:hAnsi="Noto Sans CJK SC" w:eastAsia="Noto Sans CJK SC"/>
          <w:b w:val="0"/>
          <w:color w:val="17212B"/>
          <w:sz w:val="21"/>
        </w:rPr>
        <w:t>促销场景为：</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实战公式： </w:t>
            </w:r>
            <w:r>
              <w:rPr>
                <w:rFonts w:ascii="Noto Sans CJK SC" w:hAnsi="Noto Sans CJK SC" w:eastAsia="Noto Sans CJK SC"/>
                <w:b w:val="0"/>
                <w:color w:val="17212B"/>
                <w:sz w:val="19"/>
              </w:rPr>
              <w:t>估算Net PPM（促销）=（促销零售收入 - Cost + 单位Funding + 协议扣点×Cost）÷ 促销零售收入。</w:t>
            </w:r>
          </w:p>
        </w:tc>
      </w:tr>
    </w:tbl>
    <w:p>
      <w:pPr>
        <w:spacing w:after="20"/>
      </w:pPr>
    </w:p>
    <w:p>
      <w:r>
        <w:rPr>
          <w:rFonts w:ascii="Noto Sans CJK SC" w:hAnsi="Noto Sans CJK SC" w:eastAsia="Noto Sans CJK SC"/>
          <w:b w:val="0"/>
          <w:color w:val="17212B"/>
          <w:sz w:val="21"/>
        </w:rPr>
        <w:t>这两个公式适合做内部快速情景比较，但应明确标注“团队估算”，不能对外宣称为Amazon公开的唯一官方Net PPM公式。实际零售财务口径可能还受净销售、退货、价格保护、contra-COGS、缺货、税和时间窗口影响。</w:t>
      </w:r>
    </w:p>
    <w:p>
      <w:pPr>
        <w:pStyle w:val="Heading2"/>
      </w:pPr>
      <w:r>
        <w:rPr>
          <w:rFonts w:ascii="Noto Sans CJK SC" w:hAnsi="Noto Sans CJK SC" w:eastAsia="Noto Sans CJK SC"/>
          <w:b/>
          <w:color w:val="2E5E82"/>
          <w:sz w:val="26"/>
        </w:rPr>
        <w:t>11.2 双目标定价</w:t>
      </w:r>
    </w:p>
    <w:p>
      <w:r>
        <w:rPr>
          <w:rFonts w:ascii="Noto Sans CJK SC" w:hAnsi="Noto Sans CJK SC" w:eastAsia="Noto Sans CJK SC"/>
          <w:b w:val="0"/>
          <w:color w:val="17212B"/>
          <w:sz w:val="21"/>
        </w:rPr>
        <w:t>定价不是单边最大化供应商利润，而是寻找可持续区间：供应商CM高于内部底线，同时Amazon零售经济性不触发持续cost压力。可将每个ASIN划分为四象限：双方健康、供应商健康/Amazon偏低、供应商偏低/Amazon健康、双方偏低。</w:t>
      </w:r>
    </w:p>
    <w:p>
      <w:r>
        <w:rPr>
          <w:rFonts w:ascii="Noto Sans CJK SC" w:hAnsi="Noto Sans CJK SC" w:eastAsia="Noto Sans CJK SC"/>
          <w:b w:val="0"/>
          <w:color w:val="17212B"/>
          <w:sz w:val="21"/>
        </w:rPr>
        <w:t>当Amazon要求降cost时，先问清触发原因：零售价下降、竞品价格、促销后盈利、退货、协议变化还是系统异常。谈判材料应包含最近90/180/365天销量、平均零售价、净回款、协议扣减、退货、物流/原料成本变化、可接受cost区间和交换条件。</w:t>
      </w:r>
    </w:p>
    <w:p>
      <w:pPr>
        <w:pStyle w:val="Heading1"/>
      </w:pPr>
      <w:r>
        <w:rPr>
          <w:rFonts w:ascii="Noto Sans CJK SC" w:hAnsi="Noto Sans CJK SC" w:eastAsia="Noto Sans CJK SC"/>
          <w:b/>
          <w:color w:val="0B1F33"/>
          <w:sz w:val="36"/>
        </w:rPr>
        <w:t>第12章 Cost、List Price与价格压力</w:t>
      </w:r>
    </w:p>
    <w:p>
      <w:r>
        <w:rPr>
          <w:rFonts w:ascii="Noto Sans CJK SC" w:hAnsi="Noto Sans CJK SC" w:eastAsia="Noto Sans CJK SC"/>
          <w:b w:val="0"/>
          <w:color w:val="17212B"/>
          <w:sz w:val="21"/>
        </w:rPr>
        <w:t>Cost是Amazon向供应商采购的商业价格；List Price是建议或参考价格属性之一；实际零售价由Amazon决定。三者不能用同一个“售价”字段表示。</w:t>
      </w:r>
    </w:p>
    <w:p>
      <w:pPr>
        <w:pStyle w:val="Heading2"/>
      </w:pPr>
      <w:r>
        <w:rPr>
          <w:rFonts w:ascii="Noto Sans CJK SC" w:hAnsi="Noto Sans CJK SC" w:eastAsia="Noto Sans CJK SC"/>
          <w:b/>
          <w:color w:val="2E5E82"/>
          <w:sz w:val="26"/>
        </w:rPr>
        <w:t>12.1 调Cost的证据包</w:t>
      </w:r>
    </w:p>
    <w:p>
      <w:r>
        <w:rPr>
          <w:rFonts w:ascii="Noto Sans CJK SC" w:hAnsi="Noto Sans CJK SC" w:eastAsia="Noto Sans CJK SC"/>
          <w:b w:val="0"/>
          <w:color w:val="17212B"/>
          <w:sz w:val="21"/>
        </w:rPr>
        <w:t>成本上涨不能只说“原料涨了”。证据包应把旧cost、新cost、生效日、毛利影响、原料/汇率/运费变化、过去一年降本记录、竞品与替代方案放在一起。大幅调价可拆为分阶段生效、SKU分层或以条款/促销资源交换。</w:t>
      </w:r>
    </w:p>
    <w:p>
      <w:pPr>
        <w:pStyle w:val="Heading2"/>
      </w:pPr>
      <w:r>
        <w:rPr>
          <w:rFonts w:ascii="Noto Sans CJK SC" w:hAnsi="Noto Sans CJK SC" w:eastAsia="Noto Sans CJK SC"/>
          <w:b/>
          <w:color w:val="2E5E82"/>
          <w:sz w:val="26"/>
        </w:rPr>
        <w:t>12.2 价格压力应对树</w:t>
      </w:r>
    </w:p>
    <w:p>
      <w:pPr>
        <w:numPr>
          <w:ilvl w:val="0"/>
          <w:numId w:val="17"/>
        </w:numPr>
        <w:spacing w:after="80" w:line="300" w:lineRule="auto"/>
      </w:pPr>
      <w:r>
        <w:rPr>
          <w:rFonts w:ascii="Noto Sans CJK SC" w:hAnsi="Noto Sans CJK SC" w:eastAsia="Noto Sans CJK SC"/>
          <w:b w:val="0"/>
          <w:color w:val="17212B"/>
          <w:sz w:val="21"/>
        </w:rPr>
        <w:t>如果零售价短期促销导致：先核对Funding、活动期和促销结束后的恢复机制。</w:t>
      </w:r>
    </w:p>
    <w:p>
      <w:pPr>
        <w:numPr>
          <w:ilvl w:val="0"/>
          <w:numId w:val="17"/>
        </w:numPr>
        <w:spacing w:after="80" w:line="300" w:lineRule="auto"/>
      </w:pPr>
      <w:r>
        <w:rPr>
          <w:rFonts w:ascii="Noto Sans CJK SC" w:hAnsi="Noto Sans CJK SC" w:eastAsia="Noto Sans CJK SC"/>
          <w:b w:val="0"/>
          <w:color w:val="17212B"/>
          <w:sz w:val="21"/>
        </w:rPr>
        <w:t>如果竞品长期低价导致：比较规格、内容、评价、包装和供应链，不盲目同价。</w:t>
      </w:r>
    </w:p>
    <w:p>
      <w:pPr>
        <w:numPr>
          <w:ilvl w:val="0"/>
          <w:numId w:val="17"/>
        </w:numPr>
        <w:spacing w:after="80" w:line="300" w:lineRule="auto"/>
      </w:pPr>
      <w:r>
        <w:rPr>
          <w:rFonts w:ascii="Noto Sans CJK SC" w:hAnsi="Noto Sans CJK SC" w:eastAsia="Noto Sans CJK SC"/>
          <w:b w:val="0"/>
          <w:color w:val="17212B"/>
          <w:sz w:val="21"/>
        </w:rPr>
        <w:t>如果退货/损伤拖累：降cost不能解决根因，应做产品与包装整改。</w:t>
      </w:r>
    </w:p>
    <w:p>
      <w:pPr>
        <w:numPr>
          <w:ilvl w:val="0"/>
          <w:numId w:val="17"/>
        </w:numPr>
        <w:spacing w:after="80" w:line="300" w:lineRule="auto"/>
      </w:pPr>
      <w:r>
        <w:rPr>
          <w:rFonts w:ascii="Noto Sans CJK SC" w:hAnsi="Noto Sans CJK SC" w:eastAsia="Noto Sans CJK SC"/>
          <w:b w:val="0"/>
          <w:color w:val="17212B"/>
          <w:sz w:val="21"/>
        </w:rPr>
        <w:t>如果条款累积过高：谈判时以净回款而非单项费率为目标。</w:t>
      </w:r>
    </w:p>
    <w:p>
      <w:pPr>
        <w:numPr>
          <w:ilvl w:val="0"/>
          <w:numId w:val="17"/>
        </w:numPr>
        <w:spacing w:after="80" w:line="300" w:lineRule="auto"/>
      </w:pPr>
      <w:r>
        <w:rPr>
          <w:rFonts w:ascii="Noto Sans CJK SC" w:hAnsi="Noto Sans CJK SC" w:eastAsia="Noto Sans CJK SC"/>
          <w:b w:val="0"/>
          <w:color w:val="17212B"/>
          <w:sz w:val="21"/>
        </w:rPr>
        <w:t>如果系统价格异常：保留前台时间戳、报表与case记录，避免先永久降cost。</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谈判原则： </w:t>
            </w:r>
            <w:r>
              <w:rPr>
                <w:rFonts w:ascii="Noto Sans CJK SC" w:hAnsi="Noto Sans CJK SC" w:eastAsia="Noto Sans CJK SC"/>
                <w:b w:val="0"/>
                <w:color w:val="17212B"/>
                <w:sz w:val="19"/>
              </w:rPr>
              <w:t>每次让步都交换一个可验证条件；每个条件都写清时间、范围、ASIN和退出机制。</w:t>
            </w:r>
          </w:p>
        </w:tc>
      </w:tr>
    </w:tbl>
    <w:p>
      <w:pPr>
        <w:spacing w:after="20"/>
      </w:pPr>
    </w:p>
    <w:p>
      <w:pPr>
        <w:pStyle w:val="Heading1"/>
      </w:pPr>
      <w:r>
        <w:rPr>
          <w:rFonts w:ascii="Noto Sans CJK SC" w:hAnsi="Noto Sans CJK SC" w:eastAsia="Noto Sans CJK SC"/>
          <w:b/>
          <w:color w:val="0B1F33"/>
          <w:sz w:val="36"/>
        </w:rPr>
        <w:t>第13章 Trade Agreement与年度谈判</w:t>
      </w:r>
    </w:p>
    <w:p>
      <w:r>
        <w:rPr>
          <w:rFonts w:ascii="Noto Sans CJK SC" w:hAnsi="Noto Sans CJK SC" w:eastAsia="Noto Sans CJK SC"/>
          <w:b w:val="0"/>
          <w:color w:val="17212B"/>
          <w:sz w:val="21"/>
        </w:rPr>
        <w:t>年度谈判要从“单项扣点争论”升级为“合作损益表”。先算Amazon从采购价、协议条款、促销Funding、退货与价格调整中获得的整体经济性，再算供应商的净回款、质量投入、运费和资金占用。</w:t>
      </w:r>
    </w:p>
    <w:p>
      <w:pPr>
        <w:pStyle w:val="Heading2"/>
      </w:pPr>
      <w:r>
        <w:rPr>
          <w:rFonts w:ascii="Noto Sans CJK SC" w:hAnsi="Noto Sans CJK SC" w:eastAsia="Noto Sans CJK SC"/>
          <w:b/>
          <w:color w:val="2E5E82"/>
          <w:sz w:val="26"/>
        </w:rPr>
        <w:t>13.1 谈判准备</w:t>
      </w:r>
    </w:p>
    <w:p>
      <w:r>
        <w:rPr>
          <w:rFonts w:ascii="Noto Sans CJK SC" w:hAnsi="Noto Sans CJK SC" w:eastAsia="Noto Sans CJK SC"/>
          <w:b w:val="0"/>
          <w:color w:val="17212B"/>
          <w:sz w:val="21"/>
        </w:rPr>
        <w:t>建立过去12个月桥接表：PO发票总额→协议扣款→临时促销→Chargeback→短付/冲销→现金到账；再按ASIN拆分销量、退货、增长、缺货和成本变化。没有桥接表，谈判容易退化为“感觉费率太高”。</w:t>
      </w:r>
    </w:p>
    <w:p>
      <w:pPr>
        <w:pStyle w:val="Heading2"/>
      </w:pPr>
      <w:r>
        <w:rPr>
          <w:rFonts w:ascii="Noto Sans CJK SC" w:hAnsi="Noto Sans CJK SC" w:eastAsia="Noto Sans CJK SC"/>
          <w:b/>
          <w:color w:val="2E5E82"/>
          <w:sz w:val="26"/>
        </w:rPr>
        <w:t>13.2 可交易筹码</w:t>
      </w:r>
    </w:p>
    <w:p>
      <w:r>
        <w:rPr>
          <w:rFonts w:ascii="Noto Sans CJK SC" w:hAnsi="Noto Sans CJK SC" w:eastAsia="Noto Sans CJK SC"/>
          <w:b w:val="0"/>
          <w:color w:val="17212B"/>
          <w:sz w:val="21"/>
        </w:rPr>
        <w:t>供应商可提供新品、独家组合、稳定交付、SIPP包装、DF能力、营销预算、数据共享或更长预测承诺；可交换较低扣点、更合理付款条件、明确促销窗口、PO稳定性、退货责任限制或阶段性cost安排。</w:t>
      </w:r>
    </w:p>
    <w:p>
      <w:r>
        <w:rPr>
          <w:rFonts w:ascii="Noto Sans CJK SC" w:hAnsi="Noto Sans CJK SC" w:eastAsia="Noto Sans CJK SC"/>
          <w:b w:val="0"/>
          <w:color w:val="17212B"/>
          <w:sz w:val="21"/>
        </w:rPr>
        <w:t>【合同变量】任何“行业通常3%-5%”只能作为外部参考，不应写进合同底稿。最终以自身实际损失、品类基准、替代渠道和可持续利润为依据。</w:t>
      </w:r>
    </w:p>
    <w:p>
      <w:pPr>
        <w:pStyle w:val="Heading1"/>
        <w:pageBreakBefore/>
        <w:spacing w:before="0" w:after="360"/>
      </w:pPr>
      <w:r>
        <w:rPr>
          <w:rFonts w:ascii="Noto Sans CJK SC" w:hAnsi="Noto Sans CJK SC" w:eastAsia="Noto Sans CJK SC"/>
          <w:b/>
          <w:color w:val="E98400"/>
          <w:sz w:val="44"/>
        </w:rPr>
        <w:t>第五篇 财务与扣款深水区</w:t>
      </w:r>
      <w:r>
        <w:br w:type="page"/>
      </w:r>
    </w:p>
    <w:p>
      <w:pPr>
        <w:pStyle w:val="Heading1"/>
      </w:pPr>
      <w:r>
        <w:rPr>
          <w:rFonts w:ascii="Noto Sans CJK SC" w:hAnsi="Noto Sans CJK SC" w:eastAsia="Noto Sans CJK SC"/>
          <w:b/>
          <w:color w:val="0B1F33"/>
          <w:sz w:val="36"/>
        </w:rPr>
        <w:t>第14章 发票字段字典与三单匹配</w:t>
      </w:r>
    </w:p>
    <w:p>
      <w:r>
        <w:rPr>
          <w:rFonts w:ascii="Noto Sans CJK SC" w:hAnsi="Noto Sans CJK SC" w:eastAsia="Noto Sans CJK SC"/>
          <w:b w:val="0"/>
          <w:color w:val="17212B"/>
          <w:sz w:val="21"/>
        </w:rPr>
        <w:t>VC财务的第一性原理是“事实一致”。PO说明Amazon同意买什么；Shipment/Receiving说明供应商发了什么、Amazon记录收了什么；Invoice说明供应商请求支付什么。发票不是孤立的会计文件，而是PO、发运、接收、税务和合同条款的汇合点。</w:t>
      </w:r>
    </w:p>
    <w:p>
      <w:r>
        <w:rPr>
          <w:rFonts w:ascii="Noto Sans CJK SC" w:hAnsi="Noto Sans CJK SC" w:eastAsia="Noto Sans CJK SC"/>
          <w:b w:val="0"/>
          <w:color w:val="17212B"/>
          <w:sz w:val="21"/>
        </w:rPr>
        <w:t>【官方机制】Amazon公开的Vendor Retail Procurement Invoices文档把发票与Credit Note定义为供应商和Amazon交换付款相关文件的机制。公开提交要求包括：发票号唯一且不得复用；发票总额不能为零；付款条款应与买方约定一致；产品标识应匹配PO；发票总额应等于行项目、费用和折让的合计；行级税额合计应与抬头税额一致；remit-to地址必须匹配Amazon留档。已确认并发运前开票，可能被拒绝。</w:t>
      </w:r>
    </w:p>
    <w:p>
      <w:pPr>
        <w:keepNext/>
        <w:jc w:val="center"/>
      </w:pPr>
      <w:r>
        <w:drawing>
          <wp:inline xmlns:a="http://schemas.openxmlformats.org/drawingml/2006/main" xmlns:pic="http://schemas.openxmlformats.org/drawingml/2006/picture">
            <wp:extent cx="5943600" cy="3417570"/>
            <wp:docPr id="4" name="Picture 4" descr="图14-1 从PO到银行到账的五层事实链"/>
            <wp:cNvGraphicFramePr>
              <a:graphicFrameLocks noChangeAspect="1"/>
            </wp:cNvGraphicFramePr>
            <a:graphic>
              <a:graphicData uri="http://schemas.openxmlformats.org/drawingml/2006/picture">
                <pic:pic>
                  <pic:nvPicPr>
                    <pic:cNvPr id="0" name="invoice_to_cash.png"/>
                    <pic:cNvPicPr/>
                  </pic:nvPicPr>
                  <pic:blipFill>
                    <a:blip r:embed="rId14"/>
                    <a:stretch>
                      <a:fillRect/>
                    </a:stretch>
                  </pic:blipFill>
                  <pic:spPr>
                    <a:xfrm>
                      <a:off x="0" y="0"/>
                      <a:ext cx="5943600" cy="3417570"/>
                    </a:xfrm>
                    <a:prstGeom prst="rect"/>
                  </pic:spPr>
                </pic:pic>
              </a:graphicData>
            </a:graphic>
          </wp:inline>
        </w:drawing>
      </w:r>
    </w:p>
    <w:p>
      <w:pPr>
        <w:pStyle w:val="FigureCaption"/>
      </w:pPr>
      <w:r>
        <w:t>图14-1 从PO到银行到账的五层事实链</w:t>
      </w:r>
    </w:p>
    <w:p>
      <w:pPr>
        <w:pStyle w:val="Heading2"/>
      </w:pPr>
      <w:r>
        <w:rPr>
          <w:rFonts w:ascii="Noto Sans CJK SC" w:hAnsi="Noto Sans CJK SC" w:eastAsia="Noto Sans CJK SC"/>
          <w:b/>
          <w:color w:val="2E5E82"/>
          <w:sz w:val="26"/>
        </w:rPr>
        <w:t>14.1 发票抬头字段</w:t>
      </w:r>
    </w:p>
    <w:tbl>
      <w:tblPr>
        <w:tblStyle w:val="TableGrid"/>
        <w:tblW w:type="dxa" w:w="9360"/>
        <w:jc w:val="left"/>
        <w:tblLayout w:type="fixed"/>
        <w:tblLook w:firstColumn="1" w:firstRow="1" w:lastColumn="0" w:lastRow="0" w:noHBand="0" w:noVBand="1" w:val="04A0"/>
        <w:tblInd w:w="120" w:type="dxa"/>
      </w:tblPr>
      <w:tblGrid>
        <w:gridCol w:w="1382"/>
        <w:gridCol w:w="2786"/>
        <w:gridCol w:w="2786"/>
        <w:gridCol w:w="2406"/>
      </w:tblGrid>
      <w:tr>
        <w:trPr>
          <w:trHeight w:hRule="atLeast"/>
          <w:tblHeader w:val="true"/>
        </w:trPr>
        <w:tc>
          <w:tcPr>
            <w:tcW w:type="dxa" w:w="1382"/>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字段组</w:t>
            </w:r>
          </w:p>
        </w:tc>
        <w:tc>
          <w:tcPr>
            <w:tcW w:type="dxa" w:w="278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常见字段</w:t>
            </w:r>
          </w:p>
        </w:tc>
        <w:tc>
          <w:tcPr>
            <w:tcW w:type="dxa" w:w="278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控制目的</w:t>
            </w:r>
          </w:p>
        </w:tc>
        <w:tc>
          <w:tcPr>
            <w:tcW w:type="dxa" w:w="240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高风险错误</w:t>
            </w:r>
          </w:p>
        </w:tc>
      </w:tr>
      <w:tr>
        <w:trPr>
          <w:trHeight w:hRule="atLeast"/>
        </w:trPr>
        <w:tc>
          <w:tcPr>
            <w:tcW w:type="dxa" w:w="138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文档身份</w:t>
            </w:r>
          </w:p>
        </w:tc>
        <w:tc>
          <w:tcPr>
            <w:tcW w:type="dxa" w:w="278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invoiceNumber、invoiceType、invoiceDate、referenceNumber</w:t>
            </w:r>
          </w:p>
        </w:tc>
        <w:tc>
          <w:tcPr>
            <w:tcW w:type="dxa" w:w="278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唯一识别Invoice/Credit Note及形成日期</w:t>
            </w:r>
          </w:p>
        </w:tc>
        <w:tc>
          <w:tcPr>
            <w:tcW w:type="dxa" w:w="240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重复编号、未来日期、把贷项当发票</w:t>
            </w:r>
          </w:p>
        </w:tc>
      </w:tr>
      <w:tr>
        <w:trPr>
          <w:trHeight w:hRule="atLeast"/>
        </w:trPr>
        <w:tc>
          <w:tcPr>
            <w:tcW w:type="dxa" w:w="138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交易主体</w:t>
            </w:r>
          </w:p>
        </w:tc>
        <w:tc>
          <w:tcPr>
            <w:tcW w:type="dxa" w:w="278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sellingParty、billToParty、remitToParty</w:t>
            </w:r>
          </w:p>
        </w:tc>
        <w:tc>
          <w:tcPr>
            <w:tcW w:type="dxa" w:w="278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识别开票方、被开票方和收款方</w:t>
            </w:r>
          </w:p>
        </w:tc>
        <w:tc>
          <w:tcPr>
            <w:tcW w:type="dxa" w:w="240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vendor code与法人错配、地址不完整</w:t>
            </w:r>
          </w:p>
        </w:tc>
      </w:tr>
      <w:tr>
        <w:trPr>
          <w:trHeight w:hRule="atLeast"/>
        </w:trPr>
        <w:tc>
          <w:tcPr>
            <w:tcW w:type="dxa" w:w="138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履约主体</w:t>
            </w:r>
          </w:p>
        </w:tc>
        <w:tc>
          <w:tcPr>
            <w:tcW w:type="dxa" w:w="278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shipFromParty、shipToParty</w:t>
            </w:r>
          </w:p>
        </w:tc>
        <w:tc>
          <w:tcPr>
            <w:tcW w:type="dxa" w:w="278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连接发货仓与Amazon收货主体</w:t>
            </w:r>
          </w:p>
        </w:tc>
        <w:tc>
          <w:tcPr>
            <w:tcW w:type="dxa" w:w="240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仓库代码或bill-to/ship-to混用</w:t>
            </w:r>
          </w:p>
        </w:tc>
      </w:tr>
      <w:tr>
        <w:trPr>
          <w:trHeight w:hRule="atLeast"/>
        </w:trPr>
        <w:tc>
          <w:tcPr>
            <w:tcW w:type="dxa" w:w="138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商业条件</w:t>
            </w:r>
          </w:p>
        </w:tc>
        <w:tc>
          <w:tcPr>
            <w:tcW w:type="dxa" w:w="278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paymentTerms、paymentTermsCode、freightTerms</w:t>
            </w:r>
          </w:p>
        </w:tc>
        <w:tc>
          <w:tcPr>
            <w:tcW w:type="dxa" w:w="278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确定到期日、提前付款折扣和运费责任</w:t>
            </w:r>
          </w:p>
        </w:tc>
        <w:tc>
          <w:tcPr>
            <w:tcW w:type="dxa" w:w="240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条款与合同或PO不一致</w:t>
            </w:r>
          </w:p>
        </w:tc>
      </w:tr>
      <w:tr>
        <w:trPr>
          <w:trHeight w:hRule="atLeast"/>
        </w:trPr>
        <w:tc>
          <w:tcPr>
            <w:tcW w:type="dxa" w:w="138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金额控制</w:t>
            </w:r>
          </w:p>
        </w:tc>
        <w:tc>
          <w:tcPr>
            <w:tcW w:type="dxa" w:w="278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invoiceTotal、taxDetails、chargeDetails、allowanceDetails</w:t>
            </w:r>
          </w:p>
        </w:tc>
        <w:tc>
          <w:tcPr>
            <w:tcW w:type="dxa" w:w="278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证明总额如何组成</w:t>
            </w:r>
          </w:p>
        </w:tc>
        <w:tc>
          <w:tcPr>
            <w:tcW w:type="dxa" w:w="240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费用/折让未列示、币种不一致</w:t>
            </w:r>
          </w:p>
        </w:tc>
      </w:tr>
      <w:tr>
        <w:trPr>
          <w:trHeight w:hRule="atLeast"/>
        </w:trPr>
        <w:tc>
          <w:tcPr>
            <w:tcW w:type="dxa" w:w="138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税务信息</w:t>
            </w:r>
          </w:p>
        </w:tc>
        <w:tc>
          <w:tcPr>
            <w:tcW w:type="dxa" w:w="278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taxRegistrationDetails、税种、税率、应税额、税额</w:t>
            </w:r>
          </w:p>
        </w:tc>
        <w:tc>
          <w:tcPr>
            <w:tcW w:type="dxa" w:w="278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满足站点税务与AP校验</w:t>
            </w:r>
          </w:p>
        </w:tc>
        <w:tc>
          <w:tcPr>
            <w:tcW w:type="dxa" w:w="240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VAT/GST号错误、行头税额不一致</w:t>
            </w:r>
          </w:p>
        </w:tc>
      </w:tr>
    </w:tbl>
    <w:p>
      <w:pPr>
        <w:spacing w:after="20"/>
      </w:pPr>
    </w:p>
    <w:p>
      <w:r>
        <w:rPr>
          <w:rFonts w:ascii="Noto Sans CJK SC" w:hAnsi="Noto Sans CJK SC" w:eastAsia="Noto Sans CJK SC"/>
          <w:b w:val="0"/>
          <w:color w:val="17212B"/>
          <w:sz w:val="21"/>
        </w:rPr>
        <w:t>发票号应由ERP统一生成并锁定，禁止团队在提交失败后随意复用旧号。公开文档区分两种纠错：如果API数据错误但VC中原票数据正确，可能要求沿用同一Invoice ID更新；如果原始发票本身就是错的，原票会被取消并需使用新的Invoice ID。实际处理必须先读拒票信息，不能把“重新提交”理解成无条件新建。</w:t>
      </w:r>
    </w:p>
    <w:p>
      <w:pPr>
        <w:pStyle w:val="Heading2"/>
      </w:pPr>
      <w:r>
        <w:rPr>
          <w:rFonts w:ascii="Noto Sans CJK SC" w:hAnsi="Noto Sans CJK SC" w:eastAsia="Noto Sans CJK SC"/>
          <w:b/>
          <w:color w:val="2E5E82"/>
          <w:sz w:val="26"/>
        </w:rPr>
        <w:t>14.2 发票行项目字段</w:t>
      </w:r>
    </w:p>
    <w:tbl>
      <w:tblPr>
        <w:tblStyle w:val="TableGrid"/>
        <w:tblW w:type="dxa" w:w="9360"/>
        <w:jc w:val="left"/>
        <w:tblLayout w:type="fixed"/>
        <w:tblLook w:firstColumn="1" w:firstRow="1" w:lastColumn="0" w:lastRow="0" w:noHBand="0" w:noVBand="1" w:val="04A0"/>
        <w:tblInd w:w="120" w:type="dxa"/>
      </w:tblPr>
      <w:tblGrid>
        <w:gridCol w:w="2736"/>
        <w:gridCol w:w="2056"/>
        <w:gridCol w:w="2056"/>
        <w:gridCol w:w="2512"/>
      </w:tblGrid>
      <w:tr>
        <w:trPr>
          <w:trHeight w:hRule="atLeast"/>
          <w:tblHeader w:val="true"/>
        </w:trPr>
        <w:tc>
          <w:tcPr>
            <w:tcW w:type="dxa" w:w="273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字段</w:t>
            </w:r>
          </w:p>
        </w:tc>
        <w:tc>
          <w:tcPr>
            <w:tcW w:type="dxa" w:w="205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业务含义</w:t>
            </w:r>
          </w:p>
        </w:tc>
        <w:tc>
          <w:tcPr>
            <w:tcW w:type="dxa" w:w="205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匹配对象</w:t>
            </w:r>
          </w:p>
        </w:tc>
        <w:tc>
          <w:tcPr>
            <w:tcW w:type="dxa" w:w="2512"/>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校验规则</w:t>
            </w:r>
          </w:p>
        </w:tc>
      </w:tr>
      <w:tr>
        <w:trPr>
          <w:trHeight w:hRule="atLeast"/>
        </w:trPr>
        <w:tc>
          <w:tcPr>
            <w:tcW w:type="dxa" w:w="27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itemSequenceNumber</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发票行号</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PO行号/内部订单行</w:t>
            </w:r>
          </w:p>
        </w:tc>
        <w:tc>
          <w:tcPr>
            <w:tcW w:type="dxa" w:w="251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一票内唯一，不能丢行</w:t>
            </w:r>
          </w:p>
        </w:tc>
      </w:tr>
      <w:tr>
        <w:trPr>
          <w:trHeight w:hRule="atLeast"/>
        </w:trPr>
        <w:tc>
          <w:tcPr>
            <w:tcW w:type="dxa" w:w="27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amazonProductIdentifier</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ASIN等Amazon标识</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PO商品标识</w:t>
            </w:r>
          </w:p>
        </w:tc>
        <w:tc>
          <w:tcPr>
            <w:tcW w:type="dxa" w:w="251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与订单商品一致</w:t>
            </w:r>
          </w:p>
        </w:tc>
      </w:tr>
      <w:tr>
        <w:trPr>
          <w:trHeight w:hRule="atLeast"/>
        </w:trPr>
        <w:tc>
          <w:tcPr>
            <w:tcW w:type="dxa" w:w="27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vendorProductIdentifier</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供应商SKU/型号</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PO中的vendor SKU</w:t>
            </w:r>
          </w:p>
        </w:tc>
        <w:tc>
          <w:tcPr>
            <w:tcW w:type="dxa" w:w="251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不用别名替换原始值</w:t>
            </w:r>
          </w:p>
        </w:tc>
      </w:tr>
      <w:tr>
        <w:trPr>
          <w:trHeight w:hRule="atLeast"/>
        </w:trPr>
        <w:tc>
          <w:tcPr>
            <w:tcW w:type="dxa" w:w="27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purchaseOrderNumber</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Amazon PO号</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PO抬头及行项目</w:t>
            </w:r>
          </w:p>
        </w:tc>
        <w:tc>
          <w:tcPr>
            <w:tcW w:type="dxa" w:w="251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格式和归属vendor code一致</w:t>
            </w:r>
          </w:p>
        </w:tc>
      </w:tr>
      <w:tr>
        <w:trPr>
          <w:trHeight w:hRule="atLeast"/>
        </w:trPr>
        <w:tc>
          <w:tcPr>
            <w:tcW w:type="dxa" w:w="27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invoicedQuantity</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开票数量与UOM</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已发运/可开票数量</w:t>
            </w:r>
          </w:p>
        </w:tc>
        <w:tc>
          <w:tcPr>
            <w:tcW w:type="dxa" w:w="251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大于零；EA/Case/Pack不可混淆</w:t>
            </w:r>
          </w:p>
        </w:tc>
      </w:tr>
      <w:tr>
        <w:trPr>
          <w:trHeight w:hRule="atLeast"/>
        </w:trPr>
        <w:tc>
          <w:tcPr>
            <w:tcW w:type="dxa" w:w="27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netCost</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未含税单位采购价</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最新有效PO版本</w:t>
            </w:r>
          </w:p>
        </w:tc>
        <w:tc>
          <w:tcPr>
            <w:tcW w:type="dxa" w:w="251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金额大于零；币种一致</w:t>
            </w:r>
          </w:p>
        </w:tc>
      </w:tr>
      <w:tr>
        <w:trPr>
          <w:trHeight w:hRule="atLeast"/>
        </w:trPr>
        <w:tc>
          <w:tcPr>
            <w:tcW w:type="dxa" w:w="27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netCostUnitOfMeasure</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按重量计价单位</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PO计价方式</w:t>
            </w:r>
          </w:p>
        </w:tc>
        <w:tc>
          <w:tcPr>
            <w:tcW w:type="dxa" w:w="251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仅在适用场景使用</w:t>
            </w:r>
          </w:p>
        </w:tc>
      </w:tr>
      <w:tr>
        <w:trPr>
          <w:trHeight w:hRule="atLeast"/>
        </w:trPr>
        <w:tc>
          <w:tcPr>
            <w:tcW w:type="dxa" w:w="27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taxDetails</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行级税种、税率、应税额、税额</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站点税务与抬头税额</w:t>
            </w:r>
          </w:p>
        </w:tc>
        <w:tc>
          <w:tcPr>
            <w:tcW w:type="dxa" w:w="251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行级合计与抬头一致</w:t>
            </w:r>
          </w:p>
        </w:tc>
      </w:tr>
      <w:tr>
        <w:trPr>
          <w:trHeight w:hRule="atLeast"/>
        </w:trPr>
        <w:tc>
          <w:tcPr>
            <w:tcW w:type="dxa" w:w="27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chargeDetails</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行级附加费用</w:t>
            </w:r>
          </w:p>
        </w:tc>
        <w:tc>
          <w:tcPr>
            <w:tcW w:type="dxa" w:w="205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合同/运费/包装约定</w:t>
            </w:r>
          </w:p>
        </w:tc>
        <w:tc>
          <w:tcPr>
            <w:tcW w:type="dxa" w:w="251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类型、金额和税务处理有依据</w:t>
            </w:r>
          </w:p>
        </w:tc>
      </w:tr>
      <w:tr>
        <w:trPr>
          <w:trHeight w:hRule="atLeast"/>
        </w:trPr>
        <w:tc>
          <w:tcPr>
            <w:tcW w:type="dxa" w:w="27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allowanceDetails</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行级折让</w:t>
            </w:r>
          </w:p>
        </w:tc>
        <w:tc>
          <w:tcPr>
            <w:tcW w:type="dxa" w:w="205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合同、促销或价格调整</w:t>
            </w:r>
          </w:p>
        </w:tc>
        <w:tc>
          <w:tcPr>
            <w:tcW w:type="dxa" w:w="251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不与抬头重复计提</w:t>
            </w:r>
          </w:p>
        </w:tc>
      </w:tr>
    </w:tbl>
    <w:p>
      <w:pPr>
        <w:spacing w:after="20"/>
      </w:pPr>
    </w:p>
    <w:p>
      <w:r>
        <w:rPr>
          <w:rFonts w:ascii="Noto Sans CJK SC" w:hAnsi="Noto Sans CJK SC" w:eastAsia="Noto Sans CJK SC"/>
          <w:b w:val="0"/>
          <w:color w:val="17212B"/>
          <w:sz w:val="21"/>
        </w:rPr>
        <w:t>【站点差异】公开API说明显示，Europe支持Invoice与CreditNote，而North America在该接口的公开要求中通常以Invoice为主；不同站点对VAT/GST、Credit Note引用、地址和税种要求不同。不能用欧洲贷项流程直接推断美国账号，也不能把DF发票字段完全等同于零售采购发票字段。</w:t>
      </w:r>
    </w:p>
    <w:p>
      <w:pPr>
        <w:pStyle w:val="Heading2"/>
      </w:pPr>
      <w:r>
        <w:rPr>
          <w:rFonts w:ascii="Noto Sans CJK SC" w:hAnsi="Noto Sans CJK SC" w:eastAsia="Noto Sans CJK SC"/>
          <w:b/>
          <w:color w:val="2E5E82"/>
          <w:sz w:val="26"/>
        </w:rPr>
        <w:t>14.3 Invoice、Credit Note、Debit与Adjustment</w:t>
      </w:r>
    </w:p>
    <w:p>
      <w:r>
        <w:rPr>
          <w:rFonts w:ascii="Noto Sans CJK SC" w:hAnsi="Noto Sans CJK SC" w:eastAsia="Noto Sans CJK SC"/>
          <w:b w:val="0"/>
          <w:color w:val="17212B"/>
          <w:sz w:val="21"/>
        </w:rPr>
        <w:t>财务台账至少区分四种经济含义：Invoice增加Amazon对供应商的应付；Credit Note通常减少Amazon应付，可用于退货、价格更正或折让；Amazon侧Debit/Adjustment可能直接减少下一次汇款；Credit/Reversal可能恢复此前扣减。界面名称和正负号会因站点、报表和视图不同而变化，判断时看“对供应商现金的方向”，不要只看单词Credit或Debit。</w:t>
      </w:r>
    </w:p>
    <w:p>
      <w:r>
        <w:rPr>
          <w:rFonts w:ascii="Noto Sans CJK SC" w:hAnsi="Noto Sans CJK SC" w:eastAsia="Noto Sans CJK SC"/>
          <w:b w:val="0"/>
          <w:color w:val="17212B"/>
          <w:sz w:val="21"/>
        </w:rPr>
        <w:t>推荐统一现金符号：增加供应商应收记正数；减少供应商应收或未来现金记负数；纯信息行记零。所有源文件原始金额和原始正负号必须保留，再生成一列“标准化金额”，禁止直接覆盖源数据。</w:t>
      </w:r>
    </w:p>
    <w:p>
      <w:pPr>
        <w:pStyle w:val="Heading2"/>
      </w:pPr>
      <w:r>
        <w:rPr>
          <w:rFonts w:ascii="Noto Sans CJK SC" w:hAnsi="Noto Sans CJK SC" w:eastAsia="Noto Sans CJK SC"/>
          <w:b/>
          <w:color w:val="2E5E82"/>
          <w:sz w:val="26"/>
        </w:rPr>
        <w:t>14.4 七道开票门禁</w:t>
      </w:r>
    </w:p>
    <w:p>
      <w:pPr>
        <w:numPr>
          <w:ilvl w:val="0"/>
          <w:numId w:val="18"/>
        </w:numPr>
        <w:spacing w:after="80" w:line="300" w:lineRule="auto"/>
      </w:pPr>
      <w:r>
        <w:rPr>
          <w:rFonts w:ascii="Noto Sans CJK SC" w:hAnsi="Noto Sans CJK SC" w:eastAsia="Noto Sans CJK SC"/>
          <w:b w:val="0"/>
          <w:color w:val="17212B"/>
          <w:sz w:val="21"/>
        </w:rPr>
        <w:t>PO门禁：PO存在、版本有效、vendor code、站点、币种和Cost已锁定。</w:t>
      </w:r>
    </w:p>
    <w:p>
      <w:pPr>
        <w:numPr>
          <w:ilvl w:val="0"/>
          <w:numId w:val="18"/>
        </w:numPr>
        <w:spacing w:after="80" w:line="300" w:lineRule="auto"/>
      </w:pPr>
      <w:r>
        <w:rPr>
          <w:rFonts w:ascii="Noto Sans CJK SC" w:hAnsi="Noto Sans CJK SC" w:eastAsia="Noto Sans CJK SC"/>
          <w:b w:val="0"/>
          <w:color w:val="17212B"/>
          <w:sz w:val="21"/>
        </w:rPr>
        <w:t>履约门禁：订单已按项目要求确认并发运；DF不得在确认和发运前开票。</w:t>
      </w:r>
    </w:p>
    <w:p>
      <w:pPr>
        <w:numPr>
          <w:ilvl w:val="0"/>
          <w:numId w:val="18"/>
        </w:numPr>
        <w:spacing w:after="80" w:line="300" w:lineRule="auto"/>
      </w:pPr>
      <w:r>
        <w:rPr>
          <w:rFonts w:ascii="Noto Sans CJK SC" w:hAnsi="Noto Sans CJK SC" w:eastAsia="Noto Sans CJK SC"/>
          <w:b w:val="0"/>
          <w:color w:val="17212B"/>
          <w:sz w:val="21"/>
        </w:rPr>
        <w:t>数量门禁：开票数量与UOM不超过可开票数量，部分发货和拆票有清晰映射。</w:t>
      </w:r>
    </w:p>
    <w:p>
      <w:pPr>
        <w:numPr>
          <w:ilvl w:val="0"/>
          <w:numId w:val="18"/>
        </w:numPr>
        <w:spacing w:after="80" w:line="300" w:lineRule="auto"/>
      </w:pPr>
      <w:r>
        <w:rPr>
          <w:rFonts w:ascii="Noto Sans CJK SC" w:hAnsi="Noto Sans CJK SC" w:eastAsia="Noto Sans CJK SC"/>
          <w:b w:val="0"/>
          <w:color w:val="17212B"/>
          <w:sz w:val="21"/>
        </w:rPr>
        <w:t>主体门禁：selling/bill-to/remit-to/ship-from/ship-to与主数据一致。</w:t>
      </w:r>
    </w:p>
    <w:p>
      <w:pPr>
        <w:numPr>
          <w:ilvl w:val="0"/>
          <w:numId w:val="18"/>
        </w:numPr>
        <w:spacing w:after="80" w:line="300" w:lineRule="auto"/>
      </w:pPr>
      <w:r>
        <w:rPr>
          <w:rFonts w:ascii="Noto Sans CJK SC" w:hAnsi="Noto Sans CJK SC" w:eastAsia="Noto Sans CJK SC"/>
          <w:b w:val="0"/>
          <w:color w:val="17212B"/>
          <w:sz w:val="21"/>
        </w:rPr>
        <w:t>税务门禁：税号、税率、应税额、税额和地址满足当前站点要求。</w:t>
      </w:r>
    </w:p>
    <w:p>
      <w:pPr>
        <w:numPr>
          <w:ilvl w:val="0"/>
          <w:numId w:val="18"/>
        </w:numPr>
        <w:spacing w:after="80" w:line="300" w:lineRule="auto"/>
      </w:pPr>
      <w:r>
        <w:rPr>
          <w:rFonts w:ascii="Noto Sans CJK SC" w:hAnsi="Noto Sans CJK SC" w:eastAsia="Noto Sans CJK SC"/>
          <w:b w:val="0"/>
          <w:color w:val="17212B"/>
          <w:sz w:val="21"/>
        </w:rPr>
        <w:t>算术门禁：行项目、费用、折让和税额逐层勾稽到invoiceTotal。</w:t>
      </w:r>
    </w:p>
    <w:p>
      <w:pPr>
        <w:numPr>
          <w:ilvl w:val="0"/>
          <w:numId w:val="18"/>
        </w:numPr>
        <w:spacing w:after="80" w:line="300" w:lineRule="auto"/>
      </w:pPr>
      <w:r>
        <w:rPr>
          <w:rFonts w:ascii="Noto Sans CJK SC" w:hAnsi="Noto Sans CJK SC" w:eastAsia="Noto Sans CJK SC"/>
          <w:b w:val="0"/>
          <w:color w:val="17212B"/>
          <w:sz w:val="21"/>
        </w:rPr>
        <w:t>唯一性门禁：发票号、文件版本、提交时间和回执ID不重复。</w:t>
      </w:r>
    </w:p>
    <w:p>
      <w:pPr>
        <w:pStyle w:val="Heading2"/>
      </w:pPr>
      <w:r>
        <w:rPr>
          <w:rFonts w:ascii="Noto Sans CJK SC" w:hAnsi="Noto Sans CJK SC" w:eastAsia="Noto Sans CJK SC"/>
          <w:b/>
          <w:color w:val="2E5E82"/>
          <w:sz w:val="26"/>
        </w:rPr>
        <w:t>14.5 状态不能只看“提交成功”</w:t>
      </w:r>
    </w:p>
    <w:p>
      <w:r>
        <w:rPr>
          <w:rFonts w:ascii="Noto Sans CJK SC" w:hAnsi="Noto Sans CJK SC" w:eastAsia="Noto Sans CJK SC"/>
          <w:b w:val="0"/>
          <w:color w:val="17212B"/>
          <w:sz w:val="21"/>
        </w:rPr>
        <w:t>发票状态至少拆为五层：本地生成成功、传输成功、语义校验成功、Amazon AP业务处理通过、进入付款/结算。Amazon公开DF文档明确提示，Transaction Status API只反映提交内容的语义校验，不等于最终发票处理状态；最终仍应在Vendor Central付款页面核验。系统因此要保存两类状态：API transaction status和VC/AP invoice status。</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拒票处理： </w:t>
            </w:r>
            <w:r>
              <w:rPr>
                <w:rFonts w:ascii="Noto Sans CJK SC" w:hAnsi="Noto Sans CJK SC" w:eastAsia="Noto Sans CJK SC"/>
                <w:b w:val="0"/>
                <w:color w:val="17212B"/>
                <w:sz w:val="19"/>
              </w:rPr>
              <w:t>先锁定原票和错误快照，再判断是主数据、PO、发运、税务、算术还是重复提交；修正后按当前站点规则更新或重开。不要先删记录，也不要用新编号绕过未查清的根因。</w:t>
            </w:r>
          </w:p>
        </w:tc>
      </w:tr>
    </w:tbl>
    <w:p>
      <w:pPr>
        <w:spacing w:after="20"/>
      </w:pPr>
    </w:p>
    <w:p>
      <w:pPr>
        <w:pStyle w:val="Heading1"/>
      </w:pPr>
      <w:r>
        <w:rPr>
          <w:rFonts w:ascii="Noto Sans CJK SC" w:hAnsi="Noto Sans CJK SC" w:eastAsia="Noto Sans CJK SC"/>
          <w:b/>
          <w:color w:val="0B1F33"/>
          <w:sz w:val="36"/>
        </w:rPr>
        <w:t>第15章 Remittance逐行对账</w:t>
      </w:r>
    </w:p>
    <w:p>
      <w:r>
        <w:rPr>
          <w:rFonts w:ascii="Noto Sans CJK SC" w:hAnsi="Noto Sans CJK SC" w:eastAsia="Noto Sans CJK SC"/>
          <w:b w:val="0"/>
          <w:color w:val="17212B"/>
          <w:sz w:val="21"/>
        </w:rPr>
        <w:t>Remittance Advice解决的问题不是“Amazon打了多少钱”，而是“这笔钱由哪些发票、扣款、贷项、退货、冲销和折扣组成”。银行流水只能证明净额到账，不能解释净额形成过程；PO和发票只能证明应收，不能证明Amazon最终如何应用。</w:t>
      </w:r>
    </w:p>
    <w:p>
      <w:pPr>
        <w:pStyle w:val="Heading2"/>
      </w:pPr>
      <w:r>
        <w:rPr>
          <w:rFonts w:ascii="Noto Sans CJK SC" w:hAnsi="Noto Sans CJK SC" w:eastAsia="Noto Sans CJK SC"/>
          <w:b/>
          <w:color w:val="2E5E82"/>
          <w:sz w:val="26"/>
        </w:rPr>
        <w:t>15.1 Remittance主字段</w:t>
      </w:r>
    </w:p>
    <w:tbl>
      <w:tblPr>
        <w:tblStyle w:val="TableGrid"/>
        <w:tblW w:type="dxa" w:w="9360"/>
        <w:jc w:val="left"/>
        <w:tblLayout w:type="fixed"/>
        <w:tblLook w:firstColumn="1" w:firstRow="1" w:lastColumn="0" w:lastRow="0" w:noHBand="0" w:noVBand="1" w:val="04A0"/>
        <w:tblInd w:w="120" w:type="dxa"/>
      </w:tblPr>
      <w:tblGrid>
        <w:gridCol w:w="1763"/>
        <w:gridCol w:w="4561"/>
        <w:gridCol w:w="3036"/>
      </w:tblGrid>
      <w:tr>
        <w:trPr>
          <w:trHeight w:hRule="atLeast"/>
          <w:tblHeader w:val="true"/>
        </w:trPr>
        <w:tc>
          <w:tcPr>
            <w:tcW w:type="dxa" w:w="176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字段组</w:t>
            </w:r>
          </w:p>
        </w:tc>
        <w:tc>
          <w:tcPr>
            <w:tcW w:type="dxa" w:w="4561"/>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建议标准字段</w:t>
            </w:r>
          </w:p>
        </w:tc>
        <w:tc>
          <w:tcPr>
            <w:tcW w:type="dxa" w:w="303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用途</w:t>
            </w:r>
          </w:p>
        </w:tc>
      </w:tr>
      <w:tr>
        <w:trPr>
          <w:trHeight w:hRule="atLeast"/>
        </w:trPr>
        <w:tc>
          <w:tcPr>
            <w:tcW w:type="dxa" w:w="176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汇款身份</w:t>
            </w:r>
          </w:p>
        </w:tc>
        <w:tc>
          <w:tcPr>
            <w:tcW w:type="dxa" w:w="456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remittanceId、paymentReference、paymentDate、valueDate</w:t>
            </w:r>
          </w:p>
        </w:tc>
        <w:tc>
          <w:tcPr>
            <w:tcW w:type="dxa" w:w="30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唯一识别一次付款及入账时间</w:t>
            </w:r>
          </w:p>
        </w:tc>
      </w:tr>
      <w:tr>
        <w:trPr>
          <w:trHeight w:hRule="atLeast"/>
        </w:trPr>
        <w:tc>
          <w:tcPr>
            <w:tcW w:type="dxa" w:w="176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收付款主体</w:t>
            </w:r>
          </w:p>
        </w:tc>
        <w:tc>
          <w:tcPr>
            <w:tcW w:type="dxa" w:w="456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payee/vendor code、Amazon entity、bank account尾号</w:t>
            </w:r>
          </w:p>
        </w:tc>
        <w:tc>
          <w:tcPr>
            <w:tcW w:type="dxa" w:w="30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防止跨实体、跨code错配</w:t>
            </w:r>
          </w:p>
        </w:tc>
      </w:tr>
      <w:tr>
        <w:trPr>
          <w:trHeight w:hRule="atLeast"/>
        </w:trPr>
        <w:tc>
          <w:tcPr>
            <w:tcW w:type="dxa" w:w="176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金额</w:t>
            </w:r>
          </w:p>
        </w:tc>
        <w:tc>
          <w:tcPr>
            <w:tcW w:type="dxa" w:w="456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grossApplied、deductions、netPayment、currency</w:t>
            </w:r>
          </w:p>
        </w:tc>
        <w:tc>
          <w:tcPr>
            <w:tcW w:type="dxa" w:w="30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从毛额桥接到净现金</w:t>
            </w:r>
          </w:p>
        </w:tc>
      </w:tr>
      <w:tr>
        <w:trPr>
          <w:trHeight w:hRule="atLeast"/>
        </w:trPr>
        <w:tc>
          <w:tcPr>
            <w:tcW w:type="dxa" w:w="176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来源单据</w:t>
            </w:r>
          </w:p>
        </w:tc>
        <w:tc>
          <w:tcPr>
            <w:tcW w:type="dxa" w:w="456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invoiceNumber、credit/debit memo、PO、case/dispute ID</w:t>
            </w:r>
          </w:p>
        </w:tc>
        <w:tc>
          <w:tcPr>
            <w:tcW w:type="dxa" w:w="30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追溯到原始业务事实</w:t>
            </w:r>
          </w:p>
        </w:tc>
      </w:tr>
      <w:tr>
        <w:trPr>
          <w:trHeight w:hRule="atLeast"/>
        </w:trPr>
        <w:tc>
          <w:tcPr>
            <w:tcW w:type="dxa" w:w="176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交易分类</w:t>
            </w:r>
          </w:p>
        </w:tc>
        <w:tc>
          <w:tcPr>
            <w:tcW w:type="dxa" w:w="456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transactionType、reasonCode、description</w:t>
            </w:r>
          </w:p>
        </w:tc>
        <w:tc>
          <w:tcPr>
            <w:tcW w:type="dxa" w:w="30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识别货款、折扣、退货、扣款与冲销</w:t>
            </w:r>
          </w:p>
        </w:tc>
      </w:tr>
      <w:tr>
        <w:trPr>
          <w:trHeight w:hRule="atLeast"/>
        </w:trPr>
        <w:tc>
          <w:tcPr>
            <w:tcW w:type="dxa" w:w="176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应用关系</w:t>
            </w:r>
          </w:p>
        </w:tc>
        <w:tc>
          <w:tcPr>
            <w:tcW w:type="dxa" w:w="456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appliedAmount、unappliedAmount、originalReference</w:t>
            </w:r>
          </w:p>
        </w:tc>
        <w:tc>
          <w:tcPr>
            <w:tcW w:type="dxa" w:w="303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处理一对多、多对一和跨期应用</w:t>
            </w:r>
          </w:p>
        </w:tc>
      </w:tr>
      <w:tr>
        <w:trPr>
          <w:trHeight w:hRule="atLeast"/>
        </w:trPr>
        <w:tc>
          <w:tcPr>
            <w:tcW w:type="dxa" w:w="176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到期信息</w:t>
            </w:r>
          </w:p>
        </w:tc>
        <w:tc>
          <w:tcPr>
            <w:tcW w:type="dxa" w:w="456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invoiceDate、dueDate、paymentTerms、daysPastDue</w:t>
            </w:r>
          </w:p>
        </w:tc>
        <w:tc>
          <w:tcPr>
            <w:tcW w:type="dxa" w:w="303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形成账龄和逾期追踪</w:t>
            </w:r>
          </w:p>
        </w:tc>
      </w:tr>
    </w:tbl>
    <w:p>
      <w:pPr>
        <w:spacing w:after="20"/>
      </w:pPr>
    </w:p>
    <w:p>
      <w:r>
        <w:rPr>
          <w:rFonts w:ascii="Noto Sans CJK SC" w:hAnsi="Noto Sans CJK SC" w:eastAsia="Noto Sans CJK SC"/>
          <w:b w:val="0"/>
          <w:color w:val="17212B"/>
          <w:sz w:val="21"/>
        </w:rPr>
        <w:t>字段名以账号导出为准。首次接入新账号时，先做“字段映射表”：原始列名、中文定义、标准字段、正负号规则、数据类型、唯一键、是否必填、示例值、数据负责人。没有映射表就直接合并多个站点，极易把同名不同义或异名同义的列混在一起。</w:t>
      </w:r>
    </w:p>
    <w:p>
      <w:pPr>
        <w:pStyle w:val="Heading2"/>
      </w:pPr>
      <w:r>
        <w:rPr>
          <w:rFonts w:ascii="Noto Sans CJK SC" w:hAnsi="Noto Sans CJK SC" w:eastAsia="Noto Sans CJK SC"/>
          <w:b/>
          <w:color w:val="2E5E82"/>
          <w:sz w:val="26"/>
        </w:rPr>
        <w:t>15.2 交易行分类</w:t>
      </w:r>
    </w:p>
    <w:tbl>
      <w:tblPr>
        <w:tblStyle w:val="TableGrid"/>
        <w:tblW w:type="dxa" w:w="9360"/>
        <w:jc w:val="left"/>
        <w:tblLayout w:type="fixed"/>
        <w:tblLook w:firstColumn="1" w:firstRow="1" w:lastColumn="0" w:lastRow="0" w:noHBand="0" w:noVBand="1" w:val="04A0"/>
        <w:tblInd w:w="120" w:type="dxa"/>
      </w:tblPr>
      <w:tblGrid>
        <w:gridCol w:w="2988"/>
        <w:gridCol w:w="1864"/>
        <w:gridCol w:w="2123"/>
        <w:gridCol w:w="2385"/>
      </w:tblGrid>
      <w:tr>
        <w:trPr>
          <w:trHeight w:hRule="atLeast"/>
          <w:tblHeader w:val="true"/>
        </w:trPr>
        <w:tc>
          <w:tcPr>
            <w:tcW w:type="dxa" w:w="2988"/>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标准类型</w:t>
            </w:r>
          </w:p>
        </w:tc>
        <w:tc>
          <w:tcPr>
            <w:tcW w:type="dxa" w:w="1864"/>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典型经济含义</w:t>
            </w:r>
          </w:p>
        </w:tc>
        <w:tc>
          <w:tcPr>
            <w:tcW w:type="dxa" w:w="212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是否可直接归PO</w:t>
            </w:r>
          </w:p>
        </w:tc>
        <w:tc>
          <w:tcPr>
            <w:tcW w:type="dxa" w:w="2385"/>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首要证据</w:t>
            </w:r>
          </w:p>
        </w:tc>
      </w:tr>
      <w:tr>
        <w:trPr>
          <w:trHeight w:hRule="atLeast"/>
        </w:trPr>
        <w:tc>
          <w:tcPr>
            <w:tcW w:type="dxa" w:w="298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Invoice Payment</w:t>
            </w:r>
          </w:p>
        </w:tc>
        <w:tc>
          <w:tcPr>
            <w:tcW w:type="dxa" w:w="18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支付全部或部分发票</w:t>
            </w:r>
          </w:p>
        </w:tc>
        <w:tc>
          <w:tcPr>
            <w:tcW w:type="dxa" w:w="212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通常可以</w:t>
            </w:r>
          </w:p>
        </w:tc>
        <w:tc>
          <w:tcPr>
            <w:tcW w:type="dxa" w:w="238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Invoice、PO、接收记录</w:t>
            </w:r>
          </w:p>
        </w:tc>
      </w:tr>
      <w:tr>
        <w:trPr>
          <w:trHeight w:hRule="atLeast"/>
        </w:trPr>
        <w:tc>
          <w:tcPr>
            <w:tcW w:type="dxa" w:w="298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Prompt Payment Discount</w:t>
            </w:r>
          </w:p>
        </w:tc>
        <w:tc>
          <w:tcPr>
            <w:tcW w:type="dxa" w:w="18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提前付款折扣</w:t>
            </w:r>
          </w:p>
        </w:tc>
        <w:tc>
          <w:tcPr>
            <w:tcW w:type="dxa" w:w="212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通常可以</w:t>
            </w:r>
          </w:p>
        </w:tc>
        <w:tc>
          <w:tcPr>
            <w:tcW w:type="dxa" w:w="238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付款条款、付款日</w:t>
            </w:r>
          </w:p>
        </w:tc>
      </w:tr>
      <w:tr>
        <w:trPr>
          <w:trHeight w:hRule="atLeast"/>
        </w:trPr>
        <w:tc>
          <w:tcPr>
            <w:tcW w:type="dxa" w:w="298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Co-op/Accrual</w:t>
            </w:r>
          </w:p>
        </w:tc>
        <w:tc>
          <w:tcPr>
            <w:tcW w:type="dxa" w:w="18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合同协议性扣减</w:t>
            </w:r>
          </w:p>
        </w:tc>
        <w:tc>
          <w:tcPr>
            <w:tcW w:type="dxa" w:w="212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可能按期间/ASIN</w:t>
            </w:r>
          </w:p>
        </w:tc>
        <w:tc>
          <w:tcPr>
            <w:tcW w:type="dxa" w:w="238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Agreement、计算基数</w:t>
            </w:r>
          </w:p>
        </w:tc>
      </w:tr>
      <w:tr>
        <w:trPr>
          <w:trHeight w:hRule="atLeast"/>
        </w:trPr>
        <w:tc>
          <w:tcPr>
            <w:tcW w:type="dxa" w:w="298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Chargeback</w:t>
            </w:r>
          </w:p>
        </w:tc>
        <w:tc>
          <w:tcPr>
            <w:tcW w:type="dxa" w:w="18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履约/合规/运营扣款</w:t>
            </w:r>
          </w:p>
        </w:tc>
        <w:tc>
          <w:tcPr>
            <w:tcW w:type="dxa" w:w="212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通常可到PO/货件</w:t>
            </w:r>
          </w:p>
        </w:tc>
        <w:tc>
          <w:tcPr>
            <w:tcW w:type="dxa" w:w="238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原因码、事件、证据包</w:t>
            </w:r>
          </w:p>
        </w:tc>
      </w:tr>
      <w:tr>
        <w:trPr>
          <w:trHeight w:hRule="atLeast"/>
        </w:trPr>
        <w:tc>
          <w:tcPr>
            <w:tcW w:type="dxa" w:w="298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Shortage</w:t>
            </w:r>
          </w:p>
        </w:tc>
        <w:tc>
          <w:tcPr>
            <w:tcW w:type="dxa" w:w="18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收货数量差异短付</w:t>
            </w:r>
          </w:p>
        </w:tc>
        <w:tc>
          <w:tcPr>
            <w:tcW w:type="dxa" w:w="212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通常可到PO/货件/行</w:t>
            </w:r>
          </w:p>
        </w:tc>
        <w:tc>
          <w:tcPr>
            <w:tcW w:type="dxa" w:w="238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箱级数量、ASN、POD</w:t>
            </w:r>
          </w:p>
        </w:tc>
      </w:tr>
      <w:tr>
        <w:trPr>
          <w:trHeight w:hRule="atLeast"/>
        </w:trPr>
        <w:tc>
          <w:tcPr>
            <w:tcW w:type="dxa" w:w="298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Return/Cost Reversal</w:t>
            </w:r>
          </w:p>
        </w:tc>
        <w:tc>
          <w:tcPr>
            <w:tcW w:type="dxa" w:w="18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退货商品货款冲回</w:t>
            </w:r>
          </w:p>
        </w:tc>
        <w:tc>
          <w:tcPr>
            <w:tcW w:type="dxa" w:w="212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应到ASIN/数量/原PO</w:t>
            </w:r>
          </w:p>
        </w:tc>
        <w:tc>
          <w:tcPr>
            <w:tcW w:type="dxa" w:w="238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退货授权、退回数量、Cost</w:t>
            </w:r>
          </w:p>
        </w:tc>
      </w:tr>
      <w:tr>
        <w:trPr>
          <w:trHeight w:hRule="atLeast"/>
        </w:trPr>
        <w:tc>
          <w:tcPr>
            <w:tcW w:type="dxa" w:w="298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Price/Cost Adjustment</w:t>
            </w:r>
          </w:p>
        </w:tc>
        <w:tc>
          <w:tcPr>
            <w:tcW w:type="dxa" w:w="18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采购价或价格保护调整</w:t>
            </w:r>
          </w:p>
        </w:tc>
        <w:tc>
          <w:tcPr>
            <w:tcW w:type="dxa" w:w="212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应到ASIN/期间</w:t>
            </w:r>
          </w:p>
        </w:tc>
        <w:tc>
          <w:tcPr>
            <w:tcW w:type="dxa" w:w="238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PO版本、Cost协议、活动条款</w:t>
            </w:r>
          </w:p>
        </w:tc>
      </w:tr>
      <w:tr>
        <w:trPr>
          <w:trHeight w:hRule="atLeast"/>
        </w:trPr>
        <w:tc>
          <w:tcPr>
            <w:tcW w:type="dxa" w:w="298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Credit/Reversal</w:t>
            </w:r>
          </w:p>
        </w:tc>
        <w:tc>
          <w:tcPr>
            <w:tcW w:type="dxa" w:w="18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撤销此前扣款或补付</w:t>
            </w:r>
          </w:p>
        </w:tc>
        <w:tc>
          <w:tcPr>
            <w:tcW w:type="dxa" w:w="212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应引用原扣款</w:t>
            </w:r>
          </w:p>
        </w:tc>
        <w:tc>
          <w:tcPr>
            <w:tcW w:type="dxa" w:w="238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原始reference、争议结果</w:t>
            </w:r>
          </w:p>
        </w:tc>
      </w:tr>
      <w:tr>
        <w:trPr>
          <w:trHeight w:hRule="atLeast"/>
        </w:trPr>
        <w:tc>
          <w:tcPr>
            <w:tcW w:type="dxa" w:w="298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Tax/Freight/Other</w:t>
            </w:r>
          </w:p>
        </w:tc>
        <w:tc>
          <w:tcPr>
            <w:tcW w:type="dxa" w:w="18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税、运费或其他调整</w:t>
            </w:r>
          </w:p>
        </w:tc>
        <w:tc>
          <w:tcPr>
            <w:tcW w:type="dxa" w:w="212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视合同而定</w:t>
            </w:r>
          </w:p>
        </w:tc>
        <w:tc>
          <w:tcPr>
            <w:tcW w:type="dxa" w:w="238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税务/运费条款和明细</w:t>
            </w:r>
          </w:p>
        </w:tc>
      </w:tr>
    </w:tbl>
    <w:p>
      <w:pPr>
        <w:spacing w:after="20"/>
      </w:pPr>
    </w:p>
    <w:p>
      <w:r>
        <w:rPr>
          <w:rFonts w:ascii="Noto Sans CJK SC" w:hAnsi="Noto Sans CJK SC" w:eastAsia="Noto Sans CJK SC"/>
          <w:b w:val="0"/>
          <w:color w:val="17212B"/>
          <w:sz w:val="21"/>
        </w:rPr>
        <w:t>协议性扣款、Chargeback、Shortage和Return不是一回事。协议性扣款来自双方商业条款；Chargeback通常对应运营不合规或流程事件；Shortage是接收数量争议；Return/Cost Reversal是商品退回后对原货款的逆向结算。把它们全部叫“佣金”会造成责任归属和争议策略错误。</w:t>
      </w:r>
    </w:p>
    <w:p>
      <w:pPr>
        <w:pStyle w:val="Heading2"/>
      </w:pPr>
      <w:r>
        <w:rPr>
          <w:rFonts w:ascii="Noto Sans CJK SC" w:hAnsi="Noto Sans CJK SC" w:eastAsia="Noto Sans CJK SC"/>
          <w:b/>
          <w:color w:val="2E5E82"/>
          <w:sz w:val="26"/>
        </w:rPr>
        <w:t>15.3 四层匹配算法</w:t>
      </w:r>
    </w:p>
    <w:p>
      <w:r>
        <w:rPr>
          <w:rFonts w:ascii="Noto Sans CJK SC" w:hAnsi="Noto Sans CJK SC" w:eastAsia="Noto Sans CJK SC"/>
          <w:b w:val="0"/>
          <w:color w:val="17212B"/>
          <w:sz w:val="21"/>
        </w:rPr>
        <w:t>第一层精确匹配：vendor code + currency + invoice number + amount。第二层业务匹配：PO + ASIN/SKU + quantity + Cost + reference。第三层时间匹配：付款条件推算的到期窗口、退货或争议发生时间。第四层容差匹配：税额四舍五入、小额汇兑、合并付款和部分支付。</w:t>
      </w:r>
    </w:p>
    <w:p>
      <w:r>
        <w:rPr>
          <w:rFonts w:ascii="Noto Sans CJK SC" w:hAnsi="Noto Sans CJK SC" w:eastAsia="Noto Sans CJK SC"/>
          <w:b w:val="0"/>
          <w:color w:val="17212B"/>
          <w:sz w:val="21"/>
        </w:rPr>
        <w:t>同一发票可能被多次部分支付，同一Remittance也可能覆盖多张发票。数据模型因此必须是“多对多应用表”，不能在发票表上只放一个payment ID。推荐唯一键为vendor code + remittance ID + line reference + source row number，并保留源文件哈希。</w:t>
      </w:r>
    </w:p>
    <w:p>
      <w:pPr>
        <w:pStyle w:val="Heading2"/>
      </w:pPr>
      <w:r>
        <w:rPr>
          <w:rFonts w:ascii="Noto Sans CJK SC" w:hAnsi="Noto Sans CJK SC" w:eastAsia="Noto Sans CJK SC"/>
          <w:b/>
          <w:color w:val="2E5E82"/>
          <w:sz w:val="26"/>
        </w:rPr>
        <w:t>15.4 对账方程与差额瀑布</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核心方程： </w:t>
            </w:r>
            <w:r>
              <w:rPr>
                <w:rFonts w:ascii="Noto Sans CJK SC" w:hAnsi="Noto Sans CJK SC" w:eastAsia="Noto Sans CJK SC"/>
                <w:b w:val="0"/>
                <w:color w:val="17212B"/>
                <w:sz w:val="19"/>
              </w:rPr>
              <w:t>期初未结应收 + 本期有效发票 - 本期Credit Note/退货Cost冲回 - 协议扣款 - Chargeback/Shortage - Prompt Payment Discount + 扣款撤销/补付 - 银行到账 = 期末未结应收。</w:t>
            </w:r>
          </w:p>
        </w:tc>
      </w:tr>
    </w:tbl>
    <w:p>
      <w:pPr>
        <w:spacing w:after="20"/>
      </w:pPr>
    </w:p>
    <w:p>
      <w:r>
        <w:rPr>
          <w:rFonts w:ascii="Noto Sans CJK SC" w:hAnsi="Noto Sans CJK SC" w:eastAsia="Noto Sans CJK SC"/>
          <w:b w:val="0"/>
          <w:color w:val="17212B"/>
          <w:sz w:val="21"/>
        </w:rPr>
        <w:t>示例：本期发票100,000；协议扣款8,000；提前付款折扣2,000；Shortage 3,000；BTR退货Cost冲回12,000；上月Shortage争议追回2,500。理论净汇款=100,000-8,000-2,000-3,000-12,000+2,500=77,500。若银行只到账76,800，剩余700必须作为未解释差额进入异常队列，不能分摊到各ASIN掩盖。</w:t>
      </w:r>
    </w:p>
    <w:p>
      <w:pPr>
        <w:pStyle w:val="Heading2"/>
      </w:pPr>
      <w:r>
        <w:rPr>
          <w:rFonts w:ascii="Noto Sans CJK SC" w:hAnsi="Noto Sans CJK SC" w:eastAsia="Noto Sans CJK SC"/>
          <w:b/>
          <w:color w:val="2E5E82"/>
          <w:sz w:val="26"/>
        </w:rPr>
        <w:t>15.5 日常、周度与月结动作</w:t>
      </w:r>
    </w:p>
    <w:p>
      <w:pPr>
        <w:numPr>
          <w:ilvl w:val="0"/>
          <w:numId w:val="19"/>
        </w:numPr>
        <w:spacing w:after="80" w:line="300" w:lineRule="auto"/>
      </w:pPr>
      <w:r>
        <w:rPr>
          <w:rFonts w:ascii="Noto Sans CJK SC" w:hAnsi="Noto Sans CJK SC" w:eastAsia="Noto Sans CJK SC"/>
          <w:b w:val="0"/>
          <w:color w:val="17212B"/>
          <w:sz w:val="21"/>
        </w:rPr>
        <w:t>每日：下载新Remittance和银行流水，建立净额匹配，识别负汇款或大额异常。</w:t>
      </w:r>
    </w:p>
    <w:p>
      <w:pPr>
        <w:numPr>
          <w:ilvl w:val="0"/>
          <w:numId w:val="19"/>
        </w:numPr>
        <w:spacing w:after="80" w:line="300" w:lineRule="auto"/>
      </w:pPr>
      <w:r>
        <w:rPr>
          <w:rFonts w:ascii="Noto Sans CJK SC" w:hAnsi="Noto Sans CJK SC" w:eastAsia="Noto Sans CJK SC"/>
          <w:b w:val="0"/>
          <w:color w:val="17212B"/>
          <w:sz w:val="21"/>
        </w:rPr>
        <w:t>每周：逐行分类新增扣款，补齐PO/ASIN/原因码/Owner/争议截止日。</w:t>
      </w:r>
    </w:p>
    <w:p>
      <w:pPr>
        <w:numPr>
          <w:ilvl w:val="0"/>
          <w:numId w:val="19"/>
        </w:numPr>
        <w:spacing w:after="80" w:line="300" w:lineRule="auto"/>
      </w:pPr>
      <w:r>
        <w:rPr>
          <w:rFonts w:ascii="Noto Sans CJK SC" w:hAnsi="Noto Sans CJK SC" w:eastAsia="Noto Sans CJK SC"/>
          <w:b w:val="0"/>
          <w:color w:val="17212B"/>
          <w:sz w:val="21"/>
        </w:rPr>
        <w:t>月末：冻结源数据版本，完成发票、Remittance、银行、总账四方勾稽。</w:t>
      </w:r>
    </w:p>
    <w:p>
      <w:pPr>
        <w:numPr>
          <w:ilvl w:val="0"/>
          <w:numId w:val="19"/>
        </w:numPr>
        <w:spacing w:after="80" w:line="300" w:lineRule="auto"/>
      </w:pPr>
      <w:r>
        <w:rPr>
          <w:rFonts w:ascii="Noto Sans CJK SC" w:hAnsi="Noto Sans CJK SC" w:eastAsia="Noto Sans CJK SC"/>
          <w:b w:val="0"/>
          <w:color w:val="17212B"/>
          <w:sz w:val="21"/>
        </w:rPr>
        <w:t>次月：验证已获批争议是否真正形成Credit/Reversal并落到现金，而不是停在“case won”。</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关账标准： </w:t>
            </w:r>
            <w:r>
              <w:rPr>
                <w:rFonts w:ascii="Noto Sans CJK SC" w:hAnsi="Noto Sans CJK SC" w:eastAsia="Noto Sans CJK SC"/>
                <w:b w:val="0"/>
                <w:color w:val="17212B"/>
                <w:sz w:val="19"/>
              </w:rPr>
              <w:t>未解释差额为零；无法在当月解释的项目必须进入悬挂表，并拥有金额、账龄、Owner、证据缺口、下一动作和预期关闭日。</w:t>
            </w:r>
          </w:p>
        </w:tc>
      </w:tr>
    </w:tbl>
    <w:p>
      <w:pPr>
        <w:spacing w:after="20"/>
      </w:pPr>
    </w:p>
    <w:p>
      <w:pPr>
        <w:pStyle w:val="Heading1"/>
      </w:pPr>
      <w:r>
        <w:rPr>
          <w:rFonts w:ascii="Noto Sans CJK SC" w:hAnsi="Noto Sans CJK SC" w:eastAsia="Noto Sans CJK SC"/>
          <w:b/>
          <w:color w:val="0B1F33"/>
          <w:sz w:val="36"/>
        </w:rPr>
        <w:t>第16章 Chargeback原因码字典与根因控制</w:t>
      </w:r>
    </w:p>
    <w:p>
      <w:r>
        <w:rPr>
          <w:rFonts w:ascii="Noto Sans CJK SC" w:hAnsi="Noto Sans CJK SC" w:eastAsia="Noto Sans CJK SC"/>
          <w:b w:val="0"/>
          <w:color w:val="17212B"/>
          <w:sz w:val="21"/>
        </w:rPr>
        <w:t>VC账号中显示的具体代码、标签、金额算法和争议期限会因国家、项目、vendor code、合同及后台版本而变化。因此公司字典应同时保存两列：Amazon原始reason code/description和内部标准原因族。内部原因族用于跨账号分析，原始代码用于还原证据和提交争议。</w:t>
      </w:r>
    </w:p>
    <w:p>
      <w:pPr>
        <w:pStyle w:val="Heading2"/>
      </w:pPr>
      <w:r>
        <w:rPr>
          <w:rFonts w:ascii="Noto Sans CJK SC" w:hAnsi="Noto Sans CJK SC" w:eastAsia="Noto Sans CJK SC"/>
          <w:b/>
          <w:color w:val="2E5E82"/>
          <w:sz w:val="26"/>
        </w:rPr>
        <w:t>16.1 八大原因族</w:t>
      </w:r>
    </w:p>
    <w:tbl>
      <w:tblPr>
        <w:tblStyle w:val="TableGrid"/>
        <w:tblW w:type="dxa" w:w="9360"/>
        <w:jc w:val="left"/>
        <w:tblLayout w:type="fixed"/>
        <w:tblLook w:firstColumn="1" w:firstRow="1" w:lastColumn="0" w:lastRow="0" w:noHBand="0" w:noVBand="1" w:val="04A0"/>
        <w:tblInd w:w="120" w:type="dxa"/>
      </w:tblPr>
      <w:tblGrid>
        <w:gridCol w:w="1322"/>
        <w:gridCol w:w="2507"/>
        <w:gridCol w:w="2076"/>
        <w:gridCol w:w="2076"/>
        <w:gridCol w:w="1379"/>
      </w:tblGrid>
      <w:tr>
        <w:trPr>
          <w:trHeight w:hRule="atLeast"/>
          <w:tblHeader w:val="true"/>
        </w:trPr>
        <w:tc>
          <w:tcPr>
            <w:tcW w:type="dxa" w:w="1322"/>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内部原因族</w:t>
            </w:r>
          </w:p>
        </w:tc>
        <w:tc>
          <w:tcPr>
            <w:tcW w:type="dxa" w:w="250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常见原始标签关键词</w:t>
            </w:r>
          </w:p>
        </w:tc>
        <w:tc>
          <w:tcPr>
            <w:tcW w:type="dxa" w:w="207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首查对象</w:t>
            </w:r>
          </w:p>
        </w:tc>
        <w:tc>
          <w:tcPr>
            <w:tcW w:type="dxa" w:w="207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强证据</w:t>
            </w:r>
          </w:p>
        </w:tc>
        <w:tc>
          <w:tcPr>
            <w:tcW w:type="dxa" w:w="1379"/>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预防Owner</w:t>
            </w:r>
          </w:p>
        </w:tc>
      </w:tr>
      <w:tr>
        <w:trPr>
          <w:trHeight w:hRule="atLeast"/>
        </w:trPr>
        <w:tc>
          <w:tcPr>
            <w:tcW w:type="dxa" w:w="132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PO/确认</w:t>
            </w:r>
          </w:p>
        </w:tc>
        <w:tc>
          <w:tcPr>
            <w:tcW w:type="dxa" w:w="250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No PO、Unconfirmed、Overage、PO Accuracy</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PO版本、确认回执、订购/确认/发货数量</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PO快照、ack回执、变更记录</w:t>
            </w:r>
          </w:p>
        </w:tc>
        <w:tc>
          <w:tcPr>
            <w:tcW w:type="dxa" w:w="137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订单/系统</w:t>
            </w:r>
          </w:p>
        </w:tc>
      </w:tr>
      <w:tr>
        <w:trPr>
          <w:trHeight w:hRule="atLeast"/>
        </w:trPr>
        <w:tc>
          <w:tcPr>
            <w:tcW w:type="dxa" w:w="132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ASN/货件</w:t>
            </w:r>
          </w:p>
        </w:tc>
        <w:tc>
          <w:tcPr>
            <w:tcW w:type="dxa" w:w="250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ASN Accuracy、Missing/Late ASN、Shipment Confirmation</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ASN时间、箱结构、数量、追踪号</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API/EDI回执、ASN原文、货件快照</w:t>
            </w:r>
          </w:p>
        </w:tc>
        <w:tc>
          <w:tcPr>
            <w:tcW w:type="dxa" w:w="137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系统/物流</w:t>
            </w:r>
          </w:p>
        </w:tc>
      </w:tr>
      <w:tr>
        <w:trPr>
          <w:trHeight w:hRule="atLeast"/>
        </w:trPr>
        <w:tc>
          <w:tcPr>
            <w:tcW w:type="dxa" w:w="132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箱规/标签</w:t>
            </w:r>
          </w:p>
        </w:tc>
        <w:tc>
          <w:tcPr>
            <w:tcW w:type="dxa" w:w="250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Carton Content、Barcode、Label、Prep、Pallet</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箱码、标签内容、装箱规则、实物</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扫描记录、标签样张、打包照片</w:t>
            </w:r>
          </w:p>
        </w:tc>
        <w:tc>
          <w:tcPr>
            <w:tcW w:type="dxa" w:w="137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仓库/主数据</w:t>
            </w:r>
          </w:p>
        </w:tc>
      </w:tr>
      <w:tr>
        <w:trPr>
          <w:trHeight w:hRule="atLeast"/>
        </w:trPr>
        <w:tc>
          <w:tcPr>
            <w:tcW w:type="dxa" w:w="132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预约/运输</w:t>
            </w:r>
          </w:p>
        </w:tc>
        <w:tc>
          <w:tcPr>
            <w:tcW w:type="dxa" w:w="250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Appointment、No Show、Late Delivery、Routing</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窗口、预约、承运轨迹、责任条款</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预约回执、承运时间线、异常通知</w:t>
            </w:r>
          </w:p>
        </w:tc>
        <w:tc>
          <w:tcPr>
            <w:tcW w:type="dxa" w:w="137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物流</w:t>
            </w:r>
          </w:p>
        </w:tc>
      </w:tr>
      <w:tr>
        <w:trPr>
          <w:trHeight w:hRule="atLeast"/>
        </w:trPr>
        <w:tc>
          <w:tcPr>
            <w:tcW w:type="dxa" w:w="132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收货/短缺</w:t>
            </w:r>
          </w:p>
        </w:tc>
        <w:tc>
          <w:tcPr>
            <w:tcW w:type="dxa" w:w="250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Shortage、Quantity Variance、Misreceive</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发货、签收、箱重、Amazon接收</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箱级清单、称重、POD、扫描日志</w:t>
            </w:r>
          </w:p>
        </w:tc>
        <w:tc>
          <w:tcPr>
            <w:tcW w:type="dxa" w:w="137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仓库/物流</w:t>
            </w:r>
          </w:p>
        </w:tc>
      </w:tr>
      <w:tr>
        <w:trPr>
          <w:trHeight w:hRule="atLeast"/>
        </w:trPr>
        <w:tc>
          <w:tcPr>
            <w:tcW w:type="dxa" w:w="132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发票/AP</w:t>
            </w:r>
          </w:p>
        </w:tc>
        <w:tc>
          <w:tcPr>
            <w:tcW w:type="dxa" w:w="250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Duplicate、Invalid PO、Cost/Unit/Tax、Early Invoice</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发票状态、PO、UOM、税、提交时间</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发票原文、拒票原因、三单匹配</w:t>
            </w:r>
          </w:p>
        </w:tc>
        <w:tc>
          <w:tcPr>
            <w:tcW w:type="dxa" w:w="137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财务/主数据</w:t>
            </w:r>
          </w:p>
        </w:tc>
      </w:tr>
      <w:tr>
        <w:trPr>
          <w:trHeight w:hRule="atLeast"/>
        </w:trPr>
        <w:tc>
          <w:tcPr>
            <w:tcW w:type="dxa" w:w="132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退货/质量</w:t>
            </w:r>
          </w:p>
        </w:tc>
        <w:tc>
          <w:tcPr>
            <w:tcW w:type="dxa" w:w="250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Return、Defective、Damage、Unsellable</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退货授权、商品状态、质量条款</w:t>
            </w:r>
          </w:p>
        </w:tc>
        <w:tc>
          <w:tcPr>
            <w:tcW w:type="dxa" w:w="207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序列号/批次、照片、检验报告</w:t>
            </w:r>
          </w:p>
        </w:tc>
        <w:tc>
          <w:tcPr>
            <w:tcW w:type="dxa" w:w="137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质量/售后</w:t>
            </w:r>
          </w:p>
        </w:tc>
      </w:tr>
      <w:tr>
        <w:trPr>
          <w:trHeight w:hRule="atLeast"/>
        </w:trPr>
        <w:tc>
          <w:tcPr>
            <w:tcW w:type="dxa" w:w="132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商业调整</w:t>
            </w:r>
          </w:p>
        </w:tc>
        <w:tc>
          <w:tcPr>
            <w:tcW w:type="dxa" w:w="250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Co-op、Allowance、Funding、Price/Cost Protection</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合同、活动、Cost生效日、计算基数</w:t>
            </w:r>
          </w:p>
        </w:tc>
        <w:tc>
          <w:tcPr>
            <w:tcW w:type="dxa" w:w="207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已签协议、PO版本、活动接受页</w:t>
            </w:r>
          </w:p>
        </w:tc>
        <w:tc>
          <w:tcPr>
            <w:tcW w:type="dxa" w:w="137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商务/财务</w:t>
            </w:r>
          </w:p>
        </w:tc>
      </w:tr>
    </w:tbl>
    <w:p>
      <w:pPr>
        <w:spacing w:after="20"/>
      </w:pPr>
    </w:p>
    <w:p>
      <w:r>
        <w:rPr>
          <w:rFonts w:ascii="Noto Sans CJK SC" w:hAnsi="Noto Sans CJK SC" w:eastAsia="Noto Sans CJK SC"/>
          <w:b w:val="0"/>
          <w:color w:val="17212B"/>
          <w:sz w:val="21"/>
        </w:rPr>
        <w:t>以上是管理字典，不是Amazon全球统一的“官方代码表”。每月新增未知代码时，不允许凭描述猜测会计科目；先保留原文、下载详情、核对合同或账号Help，再由财务和业务共同归类。</w:t>
      </w:r>
    </w:p>
    <w:p>
      <w:pPr>
        <w:pStyle w:val="Heading2"/>
      </w:pPr>
      <w:r>
        <w:rPr>
          <w:rFonts w:ascii="Noto Sans CJK SC" w:hAnsi="Noto Sans CJK SC" w:eastAsia="Noto Sans CJK SC"/>
          <w:b/>
          <w:color w:val="2E5E82"/>
          <w:sz w:val="26"/>
        </w:rPr>
        <w:t>16.2 Chargeback、Shortage、Return与合同扣点分开</w:t>
      </w:r>
    </w:p>
    <w:p>
      <w:r>
        <w:rPr>
          <w:rFonts w:ascii="Noto Sans CJK SC" w:hAnsi="Noto Sans CJK SC" w:eastAsia="Noto Sans CJK SC"/>
          <w:b w:val="0"/>
          <w:color w:val="17212B"/>
          <w:sz w:val="21"/>
        </w:rPr>
        <w:t>一笔负数的可争议性取决于来源。流程不合规但事实确实发生的Chargeback，争议胜率通常低，应先整改；Amazon接收记录与供应商箱级证据冲突的Shortage，可能具备事实争议空间；Return Cost Reversal若合同允许且数量无误，通常是逆向货款结算，不应包装成“无理由罚款”；协议扣点若计算基数或费率与合同不符，则属于合同/金额争议。</w:t>
      </w:r>
    </w:p>
    <w:p>
      <w:pPr>
        <w:pStyle w:val="Heading2"/>
      </w:pPr>
      <w:r>
        <w:rPr>
          <w:rFonts w:ascii="Noto Sans CJK SC" w:hAnsi="Noto Sans CJK SC" w:eastAsia="Noto Sans CJK SC"/>
          <w:b/>
          <w:color w:val="2E5E82"/>
          <w:sz w:val="26"/>
        </w:rPr>
        <w:t>16.3 原因码主数据字段</w:t>
      </w:r>
    </w:p>
    <w:p>
      <w:r>
        <w:rPr>
          <w:rFonts w:ascii="Noto Sans CJK SC" w:hAnsi="Noto Sans CJK SC" w:eastAsia="Noto Sans CJK SC"/>
          <w:b w:val="0"/>
          <w:color w:val="17212B"/>
          <w:sz w:val="21"/>
        </w:rPr>
        <w:t>原因码主表至少包含：站点、vendor code、原始代码、原始描述、内部原因族、触发事件、计费公式、最小/封顶金额、争议入口、争议期限、必需证据、默认Owner、是否自动争议、是否进入供应商CM、首次/最后出现日期和当前规则版本。</w:t>
      </w:r>
    </w:p>
    <w:p>
      <w:r>
        <w:rPr>
          <w:rFonts w:ascii="Noto Sans CJK SC" w:hAnsi="Noto Sans CJK SC" w:eastAsia="Noto Sans CJK SC"/>
          <w:b w:val="0"/>
          <w:color w:val="17212B"/>
          <w:sz w:val="21"/>
        </w:rPr>
        <w:t>建立变更日志：同一代码描述变化、金额算法变化、入口迁移或争议期限变化时，旧规则不覆盖，按生效日期保留版本。历史数据使用历史规则，避免用今天的定义重算两年前的扣款。</w:t>
      </w:r>
    </w:p>
    <w:p>
      <w:pPr>
        <w:pStyle w:val="Heading2"/>
      </w:pPr>
      <w:r>
        <w:rPr>
          <w:rFonts w:ascii="Noto Sans CJK SC" w:hAnsi="Noto Sans CJK SC" w:eastAsia="Noto Sans CJK SC"/>
          <w:b/>
          <w:color w:val="2E5E82"/>
          <w:sz w:val="26"/>
        </w:rPr>
        <w:t>16.4 扣款损失树</w:t>
      </w:r>
    </w:p>
    <w:p>
      <w:r>
        <w:rPr>
          <w:rFonts w:ascii="Noto Sans CJK SC" w:hAnsi="Noto Sans CJK SC" w:eastAsia="Noto Sans CJK SC"/>
          <w:b w:val="0"/>
          <w:color w:val="17212B"/>
          <w:sz w:val="21"/>
        </w:rPr>
        <w:t>扣款率低不等于经营健康。需同时看新增扣款额、争议提交率、争议胜诉率、现金追回率、平均追回天数、复发率和预防成本。最危险的情况是“case显示赢了但Remittance没有Credit/Reversal”，因为报表胜诉不等于现金收回。</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核心KPI： </w:t>
            </w:r>
            <w:r>
              <w:rPr>
                <w:rFonts w:ascii="Noto Sans CJK SC" w:hAnsi="Noto Sans CJK SC" w:eastAsia="Noto Sans CJK SC"/>
                <w:b w:val="0"/>
                <w:color w:val="17212B"/>
                <w:sz w:val="19"/>
              </w:rPr>
              <w:t>Cash Recovery Rate = 已在Remittance/银行确认的追回金额 ÷ 已获批争议金额。仅收到通过邮件但未落账，不计入现金追回。</w:t>
            </w:r>
          </w:p>
        </w:tc>
      </w:tr>
    </w:tbl>
    <w:p>
      <w:pPr>
        <w:spacing w:after="20"/>
      </w:pPr>
    </w:p>
    <w:p>
      <w:pPr>
        <w:pStyle w:val="Heading1"/>
      </w:pPr>
      <w:r>
        <w:rPr>
          <w:rFonts w:ascii="Noto Sans CJK SC" w:hAnsi="Noto Sans CJK SC" w:eastAsia="Noto Sans CJK SC"/>
          <w:b/>
          <w:color w:val="0B1F33"/>
          <w:sz w:val="36"/>
        </w:rPr>
        <w:t>第17章 争议证据包与胜率库</w:t>
      </w:r>
    </w:p>
    <w:p>
      <w:r>
        <w:rPr>
          <w:rFonts w:ascii="Noto Sans CJK SC" w:hAnsi="Noto Sans CJK SC" w:eastAsia="Noto Sans CJK SC"/>
          <w:b w:val="0"/>
          <w:color w:val="17212B"/>
          <w:sz w:val="21"/>
        </w:rPr>
        <w:t>争议不是写一封情绪邮件，而是提交一个可复核的事实产品。标准包要让陌生审核人员在数分钟内回答：扣了什么、发生了什么、证据在哪里、金额怎么算、请求什么。</w:t>
      </w:r>
    </w:p>
    <w:p>
      <w:pPr>
        <w:keepNext/>
        <w:jc w:val="center"/>
      </w:pPr>
      <w:r>
        <w:drawing>
          <wp:inline xmlns:a="http://schemas.openxmlformats.org/drawingml/2006/main" xmlns:pic="http://schemas.openxmlformats.org/drawingml/2006/picture">
            <wp:extent cx="5943600" cy="3417570"/>
            <wp:docPr id="5" name="Picture 5" descr="图17-1 争议证据包四步法"/>
            <wp:cNvGraphicFramePr>
              <a:graphicFrameLocks noChangeAspect="1"/>
            </wp:cNvGraphicFramePr>
            <a:graphic>
              <a:graphicData uri="http://schemas.openxmlformats.org/drawingml/2006/picture">
                <pic:pic>
                  <pic:nvPicPr>
                    <pic:cNvPr id="0" name="dispute_evidence.png"/>
                    <pic:cNvPicPr/>
                  </pic:nvPicPr>
                  <pic:blipFill>
                    <a:blip r:embed="rId15"/>
                    <a:stretch>
                      <a:fillRect/>
                    </a:stretch>
                  </pic:blipFill>
                  <pic:spPr>
                    <a:xfrm>
                      <a:off x="0" y="0"/>
                      <a:ext cx="5943600" cy="3417570"/>
                    </a:xfrm>
                    <a:prstGeom prst="rect"/>
                  </pic:spPr>
                </pic:pic>
              </a:graphicData>
            </a:graphic>
          </wp:inline>
        </w:drawing>
      </w:r>
    </w:p>
    <w:p>
      <w:pPr>
        <w:pStyle w:val="FigureCaption"/>
      </w:pPr>
      <w:r>
        <w:t>图17-1 争议证据包四步法</w:t>
      </w:r>
    </w:p>
    <w:p>
      <w:pPr>
        <w:pStyle w:val="Heading2"/>
      </w:pPr>
      <w:r>
        <w:rPr>
          <w:rFonts w:ascii="Noto Sans CJK SC" w:hAnsi="Noto Sans CJK SC" w:eastAsia="Noto Sans CJK SC"/>
          <w:b/>
          <w:color w:val="2E5E82"/>
          <w:sz w:val="26"/>
        </w:rPr>
        <w:t>17.1 一页结论模板</w:t>
      </w:r>
    </w:p>
    <w:p>
      <w:r>
        <w:rPr>
          <w:rFonts w:ascii="Noto Sans CJK SC" w:hAnsi="Noto Sans CJK SC" w:eastAsia="Noto Sans CJK SC"/>
          <w:b w:val="0"/>
          <w:color w:val="17212B"/>
          <w:sz w:val="21"/>
        </w:rPr>
        <w:t>第一页固定写八项：原始reason code、争议reference、vendor code/站点、PO/Invoice/Shipment、争议金额和币种、争议期限、三句话事实结论、明确请求。请求必须可执行，例如“请撤销reference X并在下一次Remittance中恢复金额Y”，不能只写“请帮忙看看”。</w:t>
      </w:r>
    </w:p>
    <w:p>
      <w:pPr>
        <w:pStyle w:val="Heading2"/>
      </w:pPr>
      <w:r>
        <w:rPr>
          <w:rFonts w:ascii="Noto Sans CJK SC" w:hAnsi="Noto Sans CJK SC" w:eastAsia="Noto Sans CJK SC"/>
          <w:b/>
          <w:color w:val="2E5E82"/>
          <w:sz w:val="26"/>
        </w:rPr>
        <w:t>17.2 标准附件索引</w:t>
      </w:r>
    </w:p>
    <w:p>
      <w:pPr>
        <w:numPr>
          <w:ilvl w:val="0"/>
          <w:numId w:val="20"/>
        </w:numPr>
        <w:spacing w:after="80" w:line="300" w:lineRule="auto"/>
      </w:pPr>
      <w:r>
        <w:rPr>
          <w:rFonts w:ascii="Noto Sans CJK SC" w:hAnsi="Noto Sans CJK SC" w:eastAsia="Noto Sans CJK SC"/>
          <w:b w:val="0"/>
          <w:color w:val="17212B"/>
          <w:sz w:val="21"/>
        </w:rPr>
        <w:t>A01 原始扣款通知/Remittance行。</w:t>
      </w:r>
    </w:p>
    <w:p>
      <w:pPr>
        <w:numPr>
          <w:ilvl w:val="0"/>
          <w:numId w:val="20"/>
        </w:numPr>
        <w:spacing w:after="80" w:line="300" w:lineRule="auto"/>
      </w:pPr>
      <w:r>
        <w:rPr>
          <w:rFonts w:ascii="Noto Sans CJK SC" w:hAnsi="Noto Sans CJK SC" w:eastAsia="Noto Sans CJK SC"/>
          <w:b w:val="0"/>
          <w:color w:val="17212B"/>
          <w:sz w:val="21"/>
        </w:rPr>
        <w:t>A02 当前有效PO及所有变更版本。</w:t>
      </w:r>
    </w:p>
    <w:p>
      <w:pPr>
        <w:numPr>
          <w:ilvl w:val="0"/>
          <w:numId w:val="20"/>
        </w:numPr>
        <w:spacing w:after="80" w:line="300" w:lineRule="auto"/>
      </w:pPr>
      <w:r>
        <w:rPr>
          <w:rFonts w:ascii="Noto Sans CJK SC" w:hAnsi="Noto Sans CJK SC" w:eastAsia="Noto Sans CJK SC"/>
          <w:b w:val="0"/>
          <w:color w:val="17212B"/>
          <w:sz w:val="21"/>
        </w:rPr>
        <w:t>A03 订单确认/acknowledgement回执。</w:t>
      </w:r>
    </w:p>
    <w:p>
      <w:pPr>
        <w:numPr>
          <w:ilvl w:val="0"/>
          <w:numId w:val="20"/>
        </w:numPr>
        <w:spacing w:after="80" w:line="300" w:lineRule="auto"/>
      </w:pPr>
      <w:r>
        <w:rPr>
          <w:rFonts w:ascii="Noto Sans CJK SC" w:hAnsi="Noto Sans CJK SC" w:eastAsia="Noto Sans CJK SC"/>
          <w:b w:val="0"/>
          <w:color w:val="17212B"/>
          <w:sz w:val="21"/>
        </w:rPr>
        <w:t>A04 拣货单与箱级装箱清单。</w:t>
      </w:r>
    </w:p>
    <w:p>
      <w:pPr>
        <w:numPr>
          <w:ilvl w:val="0"/>
          <w:numId w:val="20"/>
        </w:numPr>
        <w:spacing w:after="80" w:line="300" w:lineRule="auto"/>
      </w:pPr>
      <w:r>
        <w:rPr>
          <w:rFonts w:ascii="Noto Sans CJK SC" w:hAnsi="Noto Sans CJK SC" w:eastAsia="Noto Sans CJK SC"/>
          <w:b w:val="0"/>
          <w:color w:val="17212B"/>
          <w:sz w:val="21"/>
        </w:rPr>
        <w:t>A05 ASN/Shipment Confirmation原文与成功回执。</w:t>
      </w:r>
    </w:p>
    <w:p>
      <w:pPr>
        <w:numPr>
          <w:ilvl w:val="0"/>
          <w:numId w:val="20"/>
        </w:numPr>
        <w:spacing w:after="80" w:line="300" w:lineRule="auto"/>
      </w:pPr>
      <w:r>
        <w:rPr>
          <w:rFonts w:ascii="Noto Sans CJK SC" w:hAnsi="Noto Sans CJK SC" w:eastAsia="Noto Sans CJK SC"/>
          <w:b w:val="0"/>
          <w:color w:val="17212B"/>
          <w:sz w:val="21"/>
        </w:rPr>
        <w:t>A06 箱码、标签、托盘标签样张及现场照片。</w:t>
      </w:r>
    </w:p>
    <w:p>
      <w:pPr>
        <w:numPr>
          <w:ilvl w:val="0"/>
          <w:numId w:val="20"/>
        </w:numPr>
        <w:spacing w:after="80" w:line="300" w:lineRule="auto"/>
      </w:pPr>
      <w:r>
        <w:rPr>
          <w:rFonts w:ascii="Noto Sans CJK SC" w:hAnsi="Noto Sans CJK SC" w:eastAsia="Noto Sans CJK SC"/>
          <w:b w:val="0"/>
          <w:color w:val="17212B"/>
          <w:sz w:val="21"/>
        </w:rPr>
        <w:t>A07 箱/托盘称重和扫描日志。</w:t>
      </w:r>
    </w:p>
    <w:p>
      <w:pPr>
        <w:numPr>
          <w:ilvl w:val="0"/>
          <w:numId w:val="20"/>
        </w:numPr>
        <w:spacing w:after="80" w:line="300" w:lineRule="auto"/>
      </w:pPr>
      <w:r>
        <w:rPr>
          <w:rFonts w:ascii="Noto Sans CJK SC" w:hAnsi="Noto Sans CJK SC" w:eastAsia="Noto Sans CJK SC"/>
          <w:b w:val="0"/>
          <w:color w:val="17212B"/>
          <w:sz w:val="21"/>
        </w:rPr>
        <w:t>A08 预约、提货、承运轨迹和异常通知。</w:t>
      </w:r>
    </w:p>
    <w:p>
      <w:pPr>
        <w:numPr>
          <w:ilvl w:val="0"/>
          <w:numId w:val="20"/>
        </w:numPr>
        <w:spacing w:after="80" w:line="300" w:lineRule="auto"/>
      </w:pPr>
      <w:r>
        <w:rPr>
          <w:rFonts w:ascii="Noto Sans CJK SC" w:hAnsi="Noto Sans CJK SC" w:eastAsia="Noto Sans CJK SC"/>
          <w:b w:val="0"/>
          <w:color w:val="17212B"/>
          <w:sz w:val="21"/>
        </w:rPr>
        <w:t>A09 POD或Amazon签收记录。</w:t>
      </w:r>
    </w:p>
    <w:p>
      <w:pPr>
        <w:numPr>
          <w:ilvl w:val="0"/>
          <w:numId w:val="20"/>
        </w:numPr>
        <w:spacing w:after="80" w:line="300" w:lineRule="auto"/>
      </w:pPr>
      <w:r>
        <w:rPr>
          <w:rFonts w:ascii="Noto Sans CJK SC" w:hAnsi="Noto Sans CJK SC" w:eastAsia="Noto Sans CJK SC"/>
          <w:b w:val="0"/>
          <w:color w:val="17212B"/>
          <w:sz w:val="21"/>
        </w:rPr>
        <w:t>A10 发票、Credit Note与Remittance桥接。</w:t>
      </w:r>
    </w:p>
    <w:p>
      <w:pPr>
        <w:numPr>
          <w:ilvl w:val="0"/>
          <w:numId w:val="20"/>
        </w:numPr>
        <w:spacing w:after="80" w:line="300" w:lineRule="auto"/>
      </w:pPr>
      <w:r>
        <w:rPr>
          <w:rFonts w:ascii="Noto Sans CJK SC" w:hAnsi="Noto Sans CJK SC" w:eastAsia="Noto Sans CJK SC"/>
          <w:b w:val="0"/>
          <w:color w:val="17212B"/>
          <w:sz w:val="21"/>
        </w:rPr>
        <w:t>A11 合同、活动接受页或具体规则截取。</w:t>
      </w:r>
    </w:p>
    <w:p>
      <w:pPr>
        <w:numPr>
          <w:ilvl w:val="0"/>
          <w:numId w:val="20"/>
        </w:numPr>
        <w:spacing w:after="80" w:line="300" w:lineRule="auto"/>
      </w:pPr>
      <w:r>
        <w:rPr>
          <w:rFonts w:ascii="Noto Sans CJK SC" w:hAnsi="Noto Sans CJK SC" w:eastAsia="Noto Sans CJK SC"/>
          <w:b w:val="0"/>
          <w:color w:val="17212B"/>
          <w:sz w:val="21"/>
        </w:rPr>
        <w:t>A12 金额重算表与请求金额勾稽。</w:t>
      </w:r>
    </w:p>
    <w:p>
      <w:r>
        <w:rPr>
          <w:rFonts w:ascii="Noto Sans CJK SC" w:hAnsi="Noto Sans CJK SC" w:eastAsia="Noto Sans CJK SC"/>
          <w:b w:val="0"/>
          <w:color w:val="17212B"/>
          <w:sz w:val="21"/>
        </w:rPr>
        <w:t>证据按“原始系统记录—可核验外部记录—内部操作记录—截图—口头说明”的顺序评价。POD只能证明某个运输载体被交付，通常不能单独证明每个SKU和每个箱的数量；Shortage争议应把POD与ASN、箱级清单、扫描和重量组合使用。</w:t>
      </w:r>
    </w:p>
    <w:p>
      <w:pPr>
        <w:pStyle w:val="Heading2"/>
      </w:pPr>
      <w:r>
        <w:rPr>
          <w:rFonts w:ascii="Noto Sans CJK SC" w:hAnsi="Noto Sans CJK SC" w:eastAsia="Noto Sans CJK SC"/>
          <w:b/>
          <w:color w:val="2E5E82"/>
          <w:sz w:val="26"/>
        </w:rPr>
        <w:t>17.3 争议资格评分</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排序分： </w:t>
            </w:r>
            <w:r>
              <w:rPr>
                <w:rFonts w:ascii="Noto Sans CJK SC" w:hAnsi="Noto Sans CJK SC" w:eastAsia="Noto Sans CJK SC"/>
                <w:b w:val="0"/>
                <w:color w:val="17212B"/>
                <w:sz w:val="19"/>
              </w:rPr>
              <w:t>预计追回值 = 争议金额 × 证据完整度 × 历史同类胜率 × 剩余时限系数 - 处理工时成本。</w:t>
            </w:r>
          </w:p>
        </w:tc>
      </w:tr>
    </w:tbl>
    <w:p>
      <w:pPr>
        <w:spacing w:after="20"/>
      </w:pPr>
    </w:p>
    <w:p>
      <w:r>
        <w:rPr>
          <w:rFonts w:ascii="Noto Sans CJK SC" w:hAnsi="Noto Sans CJK SC" w:eastAsia="Noto Sans CJK SC"/>
          <w:b w:val="0"/>
          <w:color w:val="17212B"/>
          <w:sz w:val="21"/>
        </w:rPr>
        <w:t>证据完整度按0至1评分；没有PO版本或ASN回执的案件不能给高分。历史胜率按站点+vendor code+原始原因码计算，不用全公司平均。剩余时限越短，优先级越高，但已经超过明确争议窗口的案件需单独评估，不挤占高胜率案件资源。</w:t>
      </w:r>
    </w:p>
    <w:p>
      <w:pPr>
        <w:pStyle w:val="Heading2"/>
      </w:pPr>
      <w:r>
        <w:rPr>
          <w:rFonts w:ascii="Noto Sans CJK SC" w:hAnsi="Noto Sans CJK SC" w:eastAsia="Noto Sans CJK SC"/>
          <w:b/>
          <w:color w:val="2E5E82"/>
          <w:sz w:val="26"/>
        </w:rPr>
        <w:t>17.4 胜率库字段</w:t>
      </w:r>
    </w:p>
    <w:p>
      <w:r>
        <w:rPr>
          <w:rFonts w:ascii="Noto Sans CJK SC" w:hAnsi="Noto Sans CJK SC" w:eastAsia="Noto Sans CJK SC"/>
          <w:b w:val="0"/>
          <w:color w:val="17212B"/>
          <w:sz w:val="21"/>
        </w:rPr>
        <w:t>每个案件记录：提交日、原因码、金额、证据清单、证据缺口、模板版本、处理人、case ID、平台决定、决定日、获批金额、Credit/Reversal日期、银行体现日期、根因、整改动作和复发状态。胜率至少分三层：Decision Win Rate、Credit Posted Rate、Cash Recovery Rate。</w:t>
      </w:r>
    </w:p>
    <w:p>
      <w:pPr>
        <w:pStyle w:val="Heading2"/>
      </w:pPr>
      <w:r>
        <w:rPr>
          <w:rFonts w:ascii="Noto Sans CJK SC" w:hAnsi="Noto Sans CJK SC" w:eastAsia="Noto Sans CJK SC"/>
          <w:b/>
          <w:color w:val="2E5E82"/>
          <w:sz w:val="26"/>
        </w:rPr>
        <w:t>17.5 英文争议骨架</w:t>
      </w:r>
    </w:p>
    <w:p>
      <w:r>
        <w:rPr>
          <w:rFonts w:ascii="Noto Sans CJK SC" w:hAnsi="Noto Sans CJK SC" w:eastAsia="Noto Sans CJK SC"/>
          <w:b w:val="0"/>
          <w:color w:val="17212B"/>
          <w:sz w:val="21"/>
        </w:rPr>
        <w:t>主题：Dispute – [Original reason code] – PO [PO] – Reference [Reference] – [Amount/Currency]</w:t>
      </w:r>
    </w:p>
    <w:p>
      <w:r>
        <w:rPr>
          <w:rFonts w:ascii="Noto Sans CJK SC" w:hAnsi="Noto Sans CJK SC" w:eastAsia="Noto Sans CJK SC"/>
          <w:b w:val="0"/>
          <w:color w:val="17212B"/>
          <w:sz w:val="21"/>
        </w:rPr>
        <w:t>正文：We request a review and reversal of the above deduction. The attached evidence shows that [one-sentence fact]. PO version [x], shipment confirmation [x], carton-level records [x], and delivery evidence [x] reconcile to [quantity/amount]. The disputed amount is calculated in Attachment A12. Please reverse reference [x] for [amount] and confirm the credit posting reference. Attached: A01–A12.</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写作规则： </w:t>
            </w:r>
            <w:r>
              <w:rPr>
                <w:rFonts w:ascii="Noto Sans CJK SC" w:hAnsi="Noto Sans CJK SC" w:eastAsia="Noto Sans CJK SC"/>
                <w:b w:val="0"/>
                <w:color w:val="17212B"/>
                <w:sz w:val="19"/>
              </w:rPr>
              <w:t>不承认未经核实的责任；不夹带无关投诉；不提交无编号截图；不伪造或补造证据；不在未核对币种、税和数量前写请求金额。</w:t>
            </w:r>
          </w:p>
        </w:tc>
      </w:tr>
    </w:tbl>
    <w:p>
      <w:pPr>
        <w:spacing w:after="20"/>
      </w:pPr>
    </w:p>
    <w:p>
      <w:pPr>
        <w:pStyle w:val="Heading1"/>
      </w:pPr>
      <w:r>
        <w:rPr>
          <w:rFonts w:ascii="Noto Sans CJK SC" w:hAnsi="Noto Sans CJK SC" w:eastAsia="Noto Sans CJK SC"/>
          <w:b/>
          <w:color w:val="0B1F33"/>
          <w:sz w:val="36"/>
        </w:rPr>
        <w:t>第18章 13周现金流、BTR退货与Cost冲回</w:t>
      </w:r>
    </w:p>
    <w:p>
      <w:r>
        <w:rPr>
          <w:rFonts w:ascii="Noto Sans CJK SC" w:hAnsi="Noto Sans CJK SC" w:eastAsia="Noto Sans CJK SC"/>
          <w:b w:val="0"/>
          <w:color w:val="17212B"/>
          <w:sz w:val="21"/>
        </w:rPr>
        <w:t>VC现金流不是“发票金额除以付款天数”。PO批次、接收差异、提前付款折扣、协议扣点、退货、BTR、Chargeback、争议追回和银行到账时间会形成多层偏差。管理上应同时维护发票到期预测和风险调整后的现金预测。</w:t>
      </w:r>
    </w:p>
    <w:p>
      <w:pPr>
        <w:pStyle w:val="Heading2"/>
      </w:pPr>
      <w:r>
        <w:rPr>
          <w:rFonts w:ascii="Noto Sans CJK SC" w:hAnsi="Noto Sans CJK SC" w:eastAsia="Noto Sans CJK SC"/>
          <w:b/>
          <w:color w:val="2E5E82"/>
          <w:sz w:val="26"/>
        </w:rPr>
        <w:t>18.1 13周滚动现金流</w:t>
      </w:r>
    </w:p>
    <w:p>
      <w:r>
        <w:rPr>
          <w:rFonts w:ascii="Noto Sans CJK SC" w:hAnsi="Noto Sans CJK SC" w:eastAsia="Noto Sans CJK SC"/>
          <w:b w:val="0"/>
          <w:color w:val="17212B"/>
          <w:sz w:val="21"/>
        </w:rPr>
        <w:t>每周预测字段包括：期初现金、预计发运、预计可开票额、已开票未到期、到期应收、预计协议扣款、预计促销Funding、预计Chargeback/Shortage、预计退货/Cost冲回、预计争议追回、实际净到账、采购/生产/物流支出和期末现金。</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风险调整收款： </w:t>
            </w:r>
            <w:r>
              <w:rPr>
                <w:rFonts w:ascii="Noto Sans CJK SC" w:hAnsi="Noto Sans CJK SC" w:eastAsia="Noto Sans CJK SC"/>
                <w:b w:val="0"/>
                <w:color w:val="17212B"/>
                <w:sz w:val="19"/>
              </w:rPr>
              <w:t>预计净收款 = 预计到期发票 × 历史按期支付率 - 协议扣款预测 - 退货/Cost冲回预测 - 新增扣款准备 + 已获批且预计落账的追回。</w:t>
            </w:r>
          </w:p>
        </w:tc>
      </w:tr>
    </w:tbl>
    <w:p>
      <w:pPr>
        <w:spacing w:after="20"/>
      </w:pPr>
    </w:p>
    <w:p>
      <w:r>
        <w:rPr>
          <w:rFonts w:ascii="Noto Sans CJK SC" w:hAnsi="Noto Sans CJK SC" w:eastAsia="Noto Sans CJK SC"/>
          <w:b w:val="0"/>
          <w:color w:val="17212B"/>
          <w:sz w:val="21"/>
        </w:rPr>
        <w:t>不要把“已提交争议”当作未来现金；只有证据完整且历史落账率可估计时，才按概率计入。大额Bulk Buy或BTR订单应单独建情景，不与常规PO平均。</w:t>
      </w:r>
    </w:p>
    <w:p>
      <w:pPr>
        <w:pStyle w:val="Heading2"/>
      </w:pPr>
      <w:r>
        <w:rPr>
          <w:rFonts w:ascii="Noto Sans CJK SC" w:hAnsi="Noto Sans CJK SC" w:eastAsia="Noto Sans CJK SC"/>
          <w:b/>
          <w:color w:val="2E5E82"/>
          <w:sz w:val="26"/>
        </w:rPr>
        <w:t>18.2 账龄与准备金</w:t>
      </w:r>
    </w:p>
    <w:p>
      <w:r>
        <w:rPr>
          <w:rFonts w:ascii="Noto Sans CJK SC" w:hAnsi="Noto Sans CJK SC" w:eastAsia="Noto Sans CJK SC"/>
          <w:b w:val="0"/>
          <w:color w:val="17212B"/>
          <w:sz w:val="21"/>
        </w:rPr>
        <w:t>账龄按发票到期日而非开票日划分：未到期、1–30、31–60、61–90、90天以上。准备金分为协议性确定项、历史经验项和事件特定项。建议公式：风险准备=确定扣减+未决扣款金额×预计损失率+预计退货数量×单位净冲回+逾期应收×账龄损失率。</w:t>
      </w:r>
    </w:p>
    <w:p>
      <w:r>
        <w:rPr>
          <w:rFonts w:ascii="Noto Sans CJK SC" w:hAnsi="Noto Sans CJK SC" w:eastAsia="Noto Sans CJK SC"/>
          <w:b w:val="0"/>
          <w:color w:val="17212B"/>
          <w:sz w:val="21"/>
        </w:rPr>
        <w:t>三个压力场景：基准场景使用正常支付和历史扣款率；压力场景把最大客户付款延迟两周、BTR退货提前、争议追回延后；极端场景再加入PO下降、主要ASIN冻结或大额价格保护。现金警戒线应按“最低经营现金+未来六周刚性支出”设定。</w:t>
      </w:r>
    </w:p>
    <w:p>
      <w:pPr>
        <w:pStyle w:val="Heading2"/>
      </w:pPr>
      <w:r>
        <w:rPr>
          <w:rFonts w:ascii="Noto Sans CJK SC" w:hAnsi="Noto Sans CJK SC" w:eastAsia="Noto Sans CJK SC"/>
          <w:b/>
          <w:color w:val="2E5E82"/>
          <w:sz w:val="26"/>
        </w:rPr>
        <w:t>18.3 BTR未在约定期内售完：会不会倒扣之前Cost？</w:t>
      </w:r>
    </w:p>
    <w:p>
      <w:r>
        <w:rPr>
          <w:rFonts w:ascii="Noto Sans CJK SC" w:hAnsi="Noto Sans CJK SC" w:eastAsia="Noto Sans CJK SC"/>
          <w:b w:val="0"/>
          <w:color w:val="17212B"/>
          <w:sz w:val="21"/>
        </w:rPr>
        <w:t>结论是“可能，而且常以退货商品货款冲回或Debit/Adjustment的方式在后续Remittance中抵减，但不能只凭BTR名称下定论”。在一方采购关系中，历史付款对应Amazon当时接收并结算的货物；如果BTR接受条款、Return Rights或后续退货授权允许将未售库存退回，退回单位的原商品Cost可能被逆向结算。若当前没有足够正向应付，账号还可能形成负余额或在后续PO回款中抵扣。</w:t>
      </w:r>
    </w:p>
    <w:p>
      <w:pPr>
        <w:keepNext/>
        <w:jc w:val="center"/>
      </w:pPr>
      <w:r>
        <w:drawing>
          <wp:inline xmlns:a="http://schemas.openxmlformats.org/drawingml/2006/main" xmlns:pic="http://schemas.openxmlformats.org/drawingml/2006/picture">
            <wp:extent cx="5943600" cy="3417570"/>
            <wp:docPr id="6" name="Picture 6" descr="图18-1 BTR滞销退货与后续Remittance冲回"/>
            <wp:cNvGraphicFramePr>
              <a:graphicFrameLocks noChangeAspect="1"/>
            </wp:cNvGraphicFramePr>
            <a:graphic>
              <a:graphicData uri="http://schemas.openxmlformats.org/drawingml/2006/picture">
                <pic:pic>
                  <pic:nvPicPr>
                    <pic:cNvPr id="0" name="btr_return_waterfall.png"/>
                    <pic:cNvPicPr/>
                  </pic:nvPicPr>
                  <pic:blipFill>
                    <a:blip r:embed="rId16"/>
                    <a:stretch>
                      <a:fillRect/>
                    </a:stretch>
                  </pic:blipFill>
                  <pic:spPr>
                    <a:xfrm>
                      <a:off x="0" y="0"/>
                      <a:ext cx="5943600" cy="3417570"/>
                    </a:xfrm>
                    <a:prstGeom prst="rect"/>
                  </pic:spPr>
                </pic:pic>
              </a:graphicData>
            </a:graphic>
          </wp:inline>
        </w:drawing>
      </w:r>
    </w:p>
    <w:p>
      <w:pPr>
        <w:pStyle w:val="FigureCaption"/>
      </w:pPr>
      <w:r>
        <w:t>图18-1 BTR滞销退货与后续Remittance冲回</w:t>
      </w:r>
    </w:p>
    <w:p>
      <w:r>
        <w:rPr>
          <w:rFonts w:ascii="Noto Sans CJK SC" w:hAnsi="Noto Sans CJK SC" w:eastAsia="Noto Sans CJK SC"/>
          <w:b w:val="0"/>
          <w:color w:val="17212B"/>
          <w:sz w:val="21"/>
        </w:rPr>
        <w:t>必须把五类金额拆开：退回商品的Cost冲回；返程物流/处理费；BTR或商业条款约定的罚款/Markdown/Allowance；此前按商品或期间计提的协议费用是否冲销；税和Credit Note。罚款不等于货款，货款冲回也不等于罚款。只有原始Remittance逐行出现相反方向的Credit/Reversal，才能认定某项费用已经退回。</w:t>
      </w:r>
    </w:p>
    <w:p>
      <w:r>
        <w:rPr>
          <w:rFonts w:ascii="Noto Sans CJK SC" w:hAnsi="Noto Sans CJK SC" w:eastAsia="Noto Sans CJK SC"/>
          <w:b w:val="0"/>
          <w:color w:val="17212B"/>
          <w:sz w:val="21"/>
        </w:rPr>
        <w:t>用户案例中“ASIN冻结、滞销一年、现陆续退回”的优先判断是：先按每次实际退回数量和原PO Cost建立预计Cost冲回；再核对退货运费与处罚是否单列；最后检查历史协议扣点是否有对应冲销。不要使用SC语境中的“佣金退回”作为会计科目，VC更准确的词是协议扣款、Allowance、Funding、费用冲销或Cost Adjustment。</w:t>
      </w:r>
    </w:p>
    <w:p>
      <w:pPr>
        <w:pStyle w:val="Heading2"/>
      </w:pPr>
      <w:r>
        <w:rPr>
          <w:rFonts w:ascii="Noto Sans CJK SC" w:hAnsi="Noto Sans CJK SC" w:eastAsia="Noto Sans CJK SC"/>
          <w:b/>
          <w:color w:val="2E5E82"/>
          <w:sz w:val="26"/>
        </w:rPr>
        <w:t>18.4 BTR对账六张表</w:t>
      </w:r>
    </w:p>
    <w:tbl>
      <w:tblPr>
        <w:tblStyle w:val="TableGrid"/>
        <w:tblW w:type="dxa" w:w="9360"/>
        <w:jc w:val="left"/>
        <w:tblLayout w:type="fixed"/>
        <w:tblLook w:firstColumn="1" w:firstRow="1" w:lastColumn="0" w:lastRow="0" w:noHBand="0" w:noVBand="1" w:val="04A0"/>
        <w:tblInd w:w="120" w:type="dxa"/>
      </w:tblPr>
      <w:tblGrid>
        <w:gridCol w:w="2531"/>
        <w:gridCol w:w="4297"/>
        <w:gridCol w:w="2532"/>
      </w:tblGrid>
      <w:tr>
        <w:trPr>
          <w:trHeight w:hRule="atLeast"/>
          <w:tblHeader w:val="true"/>
        </w:trPr>
        <w:tc>
          <w:tcPr>
            <w:tcW w:type="dxa" w:w="2531"/>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表</w:t>
            </w:r>
          </w:p>
        </w:tc>
        <w:tc>
          <w:tcPr>
            <w:tcW w:type="dxa" w:w="429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必须字段</w:t>
            </w:r>
          </w:p>
        </w:tc>
        <w:tc>
          <w:tcPr>
            <w:tcW w:type="dxa" w:w="2532"/>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关键问题</w:t>
            </w:r>
          </w:p>
        </w:tc>
      </w:tr>
      <w:tr>
        <w:trPr>
          <w:trHeight w:hRule="atLeast"/>
        </w:trPr>
        <w:tc>
          <w:tcPr>
            <w:tcW w:type="dxa" w:w="253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BTR接受表</w:t>
            </w:r>
          </w:p>
        </w:tc>
        <w:tc>
          <w:tcPr>
            <w:tcW w:type="dxa" w:w="429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ASIN、数量、Cost、活动期、退出/退货条款、接受时间</w:t>
            </w:r>
          </w:p>
        </w:tc>
        <w:tc>
          <w:tcPr>
            <w:tcW w:type="dxa" w:w="253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当初接受了什么风险？</w:t>
            </w:r>
          </w:p>
        </w:tc>
      </w:tr>
      <w:tr>
        <w:trPr>
          <w:trHeight w:hRule="atLeast"/>
        </w:trPr>
        <w:tc>
          <w:tcPr>
            <w:tcW w:type="dxa" w:w="253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原PO与付款表</w:t>
            </w:r>
          </w:p>
        </w:tc>
        <w:tc>
          <w:tcPr>
            <w:tcW w:type="dxa" w:w="429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PO、接收数量、发票、历史回款</w:t>
            </w:r>
          </w:p>
        </w:tc>
        <w:tc>
          <w:tcPr>
            <w:tcW w:type="dxa" w:w="253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Amazon实际付过多少？</w:t>
            </w:r>
          </w:p>
        </w:tc>
      </w:tr>
      <w:tr>
        <w:trPr>
          <w:trHeight w:hRule="atLeast"/>
        </w:trPr>
        <w:tc>
          <w:tcPr>
            <w:tcW w:type="dxa" w:w="253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Sell-through表</w:t>
            </w:r>
          </w:p>
        </w:tc>
        <w:tc>
          <w:tcPr>
            <w:tcW w:type="dxa" w:w="429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周销量、在库、冻结日、促销</w:t>
            </w:r>
          </w:p>
        </w:tc>
        <w:tc>
          <w:tcPr>
            <w:tcW w:type="dxa" w:w="253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未售原因和剩余量是什么？</w:t>
            </w:r>
          </w:p>
        </w:tc>
      </w:tr>
      <w:tr>
        <w:trPr>
          <w:trHeight w:hRule="atLeast"/>
        </w:trPr>
        <w:tc>
          <w:tcPr>
            <w:tcW w:type="dxa" w:w="253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退货授权表</w:t>
            </w:r>
          </w:p>
        </w:tc>
        <w:tc>
          <w:tcPr>
            <w:tcW w:type="dxa" w:w="429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authorization、预计数量、状态、承运责任</w:t>
            </w:r>
          </w:p>
        </w:tc>
        <w:tc>
          <w:tcPr>
            <w:tcW w:type="dxa" w:w="253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什么货可以退、谁付运费？</w:t>
            </w:r>
          </w:p>
        </w:tc>
      </w:tr>
      <w:tr>
        <w:trPr>
          <w:trHeight w:hRule="atLeast"/>
        </w:trPr>
        <w:tc>
          <w:tcPr>
            <w:tcW w:type="dxa" w:w="253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实退收货表</w:t>
            </w:r>
          </w:p>
        </w:tc>
        <w:tc>
          <w:tcPr>
            <w:tcW w:type="dxa" w:w="429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批次、SKU、数量、状态、签收</w:t>
            </w:r>
          </w:p>
        </w:tc>
        <w:tc>
          <w:tcPr>
            <w:tcW w:type="dxa" w:w="253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实际收到多少、是否可再售？</w:t>
            </w:r>
          </w:p>
        </w:tc>
      </w:tr>
      <w:tr>
        <w:trPr>
          <w:trHeight w:hRule="atLeast"/>
        </w:trPr>
        <w:tc>
          <w:tcPr>
            <w:tcW w:type="dxa" w:w="253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Remittance冲回表</w:t>
            </w:r>
          </w:p>
        </w:tc>
        <w:tc>
          <w:tcPr>
            <w:tcW w:type="dxa" w:w="429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原始reason、reference、Cost、费用、税、净影响</w:t>
            </w:r>
          </w:p>
        </w:tc>
        <w:tc>
          <w:tcPr>
            <w:tcW w:type="dxa" w:w="253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最终从账户扣了什么？</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数量平衡： </w:t>
            </w:r>
            <w:r>
              <w:rPr>
                <w:rFonts w:ascii="Noto Sans CJK SC" w:hAnsi="Noto Sans CJK SC" w:eastAsia="Noto Sans CJK SC"/>
                <w:b w:val="0"/>
                <w:color w:val="17212B"/>
                <w:sz w:val="19"/>
              </w:rPr>
              <w:t>原BTR/PO接收数量 - Amazon零售售出 - 已退回 - Amazon剩余/处置 - 已确认损耗 = 未解释数量。数量不平，金额争议无法做实。</w:t>
            </w:r>
          </w:p>
        </w:tc>
      </w:tr>
    </w:tbl>
    <w:p>
      <w:pPr>
        <w:spacing w:after="20"/>
      </w:pPr>
    </w:p>
    <w:p>
      <w:pPr>
        <w:pStyle w:val="Heading2"/>
      </w:pPr>
      <w:r>
        <w:rPr>
          <w:rFonts w:ascii="Noto Sans CJK SC" w:hAnsi="Noto Sans CJK SC" w:eastAsia="Noto Sans CJK SC"/>
          <w:b/>
          <w:color w:val="2E5E82"/>
          <w:sz w:val="26"/>
        </w:rPr>
        <w:t>18.5 Cost或前台低价异常排查</w:t>
      </w:r>
    </w:p>
    <w:p>
      <w:r>
        <w:rPr>
          <w:rFonts w:ascii="Noto Sans CJK SC" w:hAnsi="Noto Sans CJK SC" w:eastAsia="Noto Sans CJK SC"/>
          <w:b w:val="0"/>
          <w:color w:val="17212B"/>
          <w:sz w:val="21"/>
        </w:rPr>
        <w:t>Amazon前台零售价下降不等于PO采购Cost自动下降。判断PO低价先比较：原始和最新PO版本、已接受Cost proposal、促销或Deal Funding、BTR活动价、不同vendor code/供应商报价、币种和UOM。只有PO、合同、活动接受记录或明确调整文件能证明该采购Cost的商业依据。</w:t>
      </w:r>
    </w:p>
    <w:p>
      <w:r>
        <w:rPr>
          <w:rFonts w:ascii="Noto Sans CJK SC" w:hAnsi="Noto Sans CJK SC" w:eastAsia="Noto Sans CJK SC"/>
          <w:b w:val="0"/>
          <w:color w:val="17212B"/>
          <w:sz w:val="21"/>
        </w:rPr>
        <w:t>如果附件中的“PPWR”是指欧盟Packaging and Packaging Waste Regulation，它属于包装合规，不是BTR财务原因码；如果账号Remittance确实出现“PPWR”缩写，应保留原始截图、reference和站点，并向AP/VM请求书面定义，不能自行扩写。</w:t>
      </w:r>
    </w:p>
    <w:p>
      <w:pPr>
        <w:pStyle w:val="Heading2"/>
      </w:pPr>
      <w:r>
        <w:rPr>
          <w:rFonts w:ascii="Noto Sans CJK SC" w:hAnsi="Noto Sans CJK SC" w:eastAsia="Noto Sans CJK SC"/>
          <w:b/>
          <w:color w:val="2E5E82"/>
          <w:sz w:val="26"/>
        </w:rPr>
        <w:t>18.6 BTR/Cost冲回英文核对模板</w:t>
      </w:r>
    </w:p>
    <w:p>
      <w:r>
        <w:rPr>
          <w:rFonts w:ascii="Noto Sans CJK SC" w:hAnsi="Noto Sans CJK SC" w:eastAsia="Noto Sans CJK SC"/>
          <w:b w:val="0"/>
          <w:color w:val="17212B"/>
          <w:sz w:val="21"/>
        </w:rPr>
        <w:t>主题：Request for itemized reconciliation – BTR returns – ASIN [ASIN] – Vendor Code [Code]</w:t>
      </w:r>
    </w:p>
    <w:p>
      <w:r>
        <w:rPr>
          <w:rFonts w:ascii="Noto Sans CJK SC" w:hAnsi="Noto Sans CJK SC" w:eastAsia="Noto Sans CJK SC"/>
          <w:b w:val="0"/>
          <w:color w:val="17212B"/>
          <w:sz w:val="21"/>
        </w:rPr>
        <w:t>正文：We are reconciling the returned inventory for ASIN [ASIN] under the relevant BTR/return arrangement. Please provide or confirm: (1) returned quantity by shipment, (2) original PO and unit cost used for each merchandise cost reversal, (3) return freight or handling charges, (4) penalties/allowances that remain non-refundable, (5) any reversed accruals or credits, and (6) the Remittance references where each amount was posted. Our current reconciliation is attached and separates merchandise cost, logistics, contractual charges, tax, and credits. Please also confirm the remaining Amazon inventory and whether any further debit is expected.</w:t>
      </w:r>
    </w:p>
    <w:p>
      <w:pPr>
        <w:pStyle w:val="Heading1"/>
      </w:pPr>
      <w:r>
        <w:rPr>
          <w:rFonts w:ascii="Noto Sans CJK SC" w:hAnsi="Noto Sans CJK SC" w:eastAsia="Noto Sans CJK SC"/>
          <w:b/>
          <w:color w:val="0B1F33"/>
          <w:sz w:val="36"/>
        </w:rPr>
        <w:t>第19章 PO维度与零售维度双重核算</w:t>
      </w:r>
    </w:p>
    <w:p>
      <w:r>
        <w:rPr>
          <w:rFonts w:ascii="Noto Sans CJK SC" w:hAnsi="Noto Sans CJK SC" w:eastAsia="Noto Sans CJK SC"/>
          <w:b w:val="0"/>
          <w:color w:val="17212B"/>
          <w:sz w:val="21"/>
        </w:rPr>
        <w:t>PO维度回答供应商是否赚钱、是否收回现金；零售维度回答ASIN在Amazon端的销售、库存和价格表现。两者时间口径不同：一张PO可能跨月接收与付款，Amazon在库又可能几个月后才零售出去。</w:t>
      </w:r>
    </w:p>
    <w:p>
      <w:pPr>
        <w:keepNext/>
        <w:jc w:val="center"/>
      </w:pPr>
      <w:r>
        <w:drawing>
          <wp:inline xmlns:a="http://schemas.openxmlformats.org/drawingml/2006/main" xmlns:pic="http://schemas.openxmlformats.org/drawingml/2006/picture">
            <wp:extent cx="5943600" cy="3417570"/>
            <wp:docPr id="7" name="Picture 7" descr="图19-1 PO现金链与零售经营链的双重核算"/>
            <wp:cNvGraphicFramePr>
              <a:graphicFrameLocks noChangeAspect="1"/>
            </wp:cNvGraphicFramePr>
            <a:graphic>
              <a:graphicData uri="http://schemas.openxmlformats.org/drawingml/2006/picture">
                <pic:pic>
                  <pic:nvPicPr>
                    <pic:cNvPr id="0" name="dual_reconciliation.png"/>
                    <pic:cNvPicPr/>
                  </pic:nvPicPr>
                  <pic:blipFill>
                    <a:blip r:embed="rId17"/>
                    <a:stretch>
                      <a:fillRect/>
                    </a:stretch>
                  </pic:blipFill>
                  <pic:spPr>
                    <a:xfrm>
                      <a:off x="0" y="0"/>
                      <a:ext cx="5943600" cy="3417570"/>
                    </a:xfrm>
                    <a:prstGeom prst="rect"/>
                  </pic:spPr>
                </pic:pic>
              </a:graphicData>
            </a:graphic>
          </wp:inline>
        </w:drawing>
      </w:r>
    </w:p>
    <w:p>
      <w:pPr>
        <w:pStyle w:val="FigureCaption"/>
      </w:pPr>
      <w:r>
        <w:t>图19-1 PO现金链与零售经营链的双重核算</w:t>
      </w:r>
    </w:p>
    <w:p>
      <w:pPr>
        <w:pStyle w:val="Heading2"/>
      </w:pPr>
      <w:r>
        <w:rPr>
          <w:rFonts w:ascii="Noto Sans CJK SC" w:hAnsi="Noto Sans CJK SC" w:eastAsia="Noto Sans CJK SC"/>
          <w:b/>
          <w:color w:val="2E5E82"/>
          <w:sz w:val="26"/>
        </w:rPr>
        <w:t>19.1 三层报表</w:t>
      </w:r>
    </w:p>
    <w:p>
      <w:r>
        <w:rPr>
          <w:rFonts w:ascii="Noto Sans CJK SC" w:hAnsi="Noto Sans CJK SC" w:eastAsia="Noto Sans CJK SC"/>
          <w:b w:val="0"/>
          <w:color w:val="17212B"/>
          <w:sz w:val="21"/>
        </w:rPr>
        <w:t>第一层是现金表：发票、扣款、回款、账龄。第二层是PO贡献表：每张PO净回款、完全成本、争议与利润。第三层是ASIN零售表：sell-in、sell-through、Amazon在库、平均零售价、退货、广告与估算零售经济性。</w:t>
      </w:r>
    </w:p>
    <w:p>
      <w:r>
        <w:rPr>
          <w:rFonts w:ascii="Noto Sans CJK SC" w:hAnsi="Noto Sans CJK SC" w:eastAsia="Noto Sans CJK SC"/>
          <w:b w:val="0"/>
          <w:color w:val="17212B"/>
          <w:sz w:val="21"/>
        </w:rPr>
        <w:t>三个层级通过ASIN、vendor code、站点和月份关联，但不要强行在单月完全相等。使用滚动13周和12个月视图，可以减弱PO批次与零售节奏的错配。</w:t>
      </w:r>
    </w:p>
    <w:p>
      <w:pPr>
        <w:pStyle w:val="Heading1"/>
        <w:pageBreakBefore/>
        <w:spacing w:before="0" w:after="360"/>
      </w:pPr>
      <w:r>
        <w:rPr>
          <w:rFonts w:ascii="Noto Sans CJK SC" w:hAnsi="Noto Sans CJK SC" w:eastAsia="Noto Sans CJK SC"/>
          <w:b/>
          <w:color w:val="E98400"/>
          <w:sz w:val="44"/>
        </w:rPr>
        <w:t>第六篇 库存、可售与增长</w:t>
      </w:r>
      <w:r>
        <w:br w:type="page"/>
      </w:r>
    </w:p>
    <w:p>
      <w:pPr>
        <w:pStyle w:val="Heading1"/>
      </w:pPr>
      <w:r>
        <w:rPr>
          <w:rFonts w:ascii="Noto Sans CJK SC" w:hAnsi="Noto Sans CJK SC" w:eastAsia="Noto Sans CJK SC"/>
          <w:b/>
          <w:color w:val="0B1F33"/>
          <w:sz w:val="36"/>
        </w:rPr>
        <w:t>第20章 预测、库存与PO节奏</w:t>
      </w:r>
    </w:p>
    <w:p>
      <w:r>
        <w:rPr>
          <w:rFonts w:ascii="Noto Sans CJK SC" w:hAnsi="Noto Sans CJK SC" w:eastAsia="Noto Sans CJK SC"/>
          <w:b w:val="0"/>
          <w:color w:val="17212B"/>
          <w:sz w:val="21"/>
        </w:rPr>
        <w:t>Amazon下PO不等于供应商可以被动等待。供应商应建立自己的需求预测，解释旺季、促销、缺货和价格变化，向VM提供可执行的供货计划。</w:t>
      </w:r>
    </w:p>
    <w:p>
      <w:pPr>
        <w:pStyle w:val="Heading2"/>
      </w:pPr>
      <w:r>
        <w:rPr>
          <w:rFonts w:ascii="Noto Sans CJK SC" w:hAnsi="Noto Sans CJK SC" w:eastAsia="Noto Sans CJK SC"/>
          <w:b/>
          <w:color w:val="2E5E82"/>
          <w:sz w:val="26"/>
        </w:rPr>
        <w:t>20.1 预测分层</w:t>
      </w:r>
    </w:p>
    <w:p>
      <w:r>
        <w:rPr>
          <w:rFonts w:ascii="Noto Sans CJK SC" w:hAnsi="Noto Sans CJK SC" w:eastAsia="Noto Sans CJK SC"/>
          <w:b w:val="0"/>
          <w:color w:val="17212B"/>
          <w:sz w:val="21"/>
        </w:rPr>
        <w:t>基准需求取稳定周销量；事件增量来自Deal、广告、季节和新品；风险折减来自价格、评价、合规、库存限制和竞品。预测输出不是一个点，而是保守/基准/乐观三个区间，并明确产能、原料与运输约束。</w:t>
      </w:r>
    </w:p>
    <w:p>
      <w:pPr>
        <w:pStyle w:val="Heading2"/>
      </w:pPr>
      <w:r>
        <w:rPr>
          <w:rFonts w:ascii="Noto Sans CJK SC" w:hAnsi="Noto Sans CJK SC" w:eastAsia="Noto Sans CJK SC"/>
          <w:b/>
          <w:color w:val="2E5E82"/>
          <w:sz w:val="26"/>
        </w:rPr>
        <w:t>20.2 库存三角</w:t>
      </w:r>
    </w:p>
    <w:p>
      <w:r>
        <w:rPr>
          <w:rFonts w:ascii="Noto Sans CJK SC" w:hAnsi="Noto Sans CJK SC" w:eastAsia="Noto Sans CJK SC"/>
          <w:b w:val="0"/>
          <w:color w:val="17212B"/>
          <w:sz w:val="21"/>
        </w:rPr>
        <w:t>同时看供应商可供库存、在途/待接收和Amazon可售库存。只看自有仓会误以为“库存充足”，只看Amazon库存会误以为“马上下PO”。对于长交期产品，设置原料锁定点、生产启动点和加急运输边界。</w:t>
      </w:r>
    </w:p>
    <w:p>
      <w:pPr>
        <w:pStyle w:val="Heading2"/>
      </w:pPr>
      <w:r>
        <w:rPr>
          <w:rFonts w:ascii="Noto Sans CJK SC" w:hAnsi="Noto Sans CJK SC" w:eastAsia="Noto Sans CJK SC"/>
          <w:b/>
          <w:color w:val="2E5E82"/>
          <w:sz w:val="26"/>
        </w:rPr>
        <w:t>20.3 缺货与过量</w:t>
      </w:r>
    </w:p>
    <w:p>
      <w:r>
        <w:rPr>
          <w:rFonts w:ascii="Noto Sans CJK SC" w:hAnsi="Noto Sans CJK SC" w:eastAsia="Noto Sans CJK SC"/>
          <w:b w:val="0"/>
          <w:color w:val="17212B"/>
          <w:sz w:val="21"/>
        </w:rPr>
        <w:t>缺货前提供恢复日期、可发数量、替代ASIN和加急成本；过量时先定位原因：预测偏高、零售价、内容、广告、退货、季节还是采购过量。促销清库存前必须重新计算Funding、广告和价格保护后的供应商CM。</w:t>
      </w:r>
    </w:p>
    <w:p>
      <w:pPr>
        <w:pStyle w:val="Heading1"/>
      </w:pPr>
      <w:r>
        <w:rPr>
          <w:rFonts w:ascii="Noto Sans CJK SC" w:hAnsi="Noto Sans CJK SC" w:eastAsia="Noto Sans CJK SC"/>
          <w:b/>
          <w:color w:val="0B1F33"/>
          <w:sz w:val="36"/>
        </w:rPr>
        <w:t>第21章 可售状态、Featured Offer与购物车</w:t>
      </w:r>
    </w:p>
    <w:p>
      <w:r>
        <w:rPr>
          <w:rFonts w:ascii="Noto Sans CJK SC" w:hAnsi="Noto Sans CJK SC" w:eastAsia="Noto Sans CJK SC"/>
          <w:b w:val="0"/>
          <w:color w:val="17212B"/>
          <w:sz w:val="21"/>
        </w:rPr>
        <w:t>VC产品“有页面”不等于“可购买”。可售链路包括目录有效、合规通过、零售Offer存在、库存可售、配送区域可达、价格未被抑制和前台Offer资格。</w:t>
      </w:r>
    </w:p>
    <w:p>
      <w:r>
        <w:rPr>
          <w:rFonts w:ascii="Noto Sans CJK SC" w:hAnsi="Noto Sans CJK SC" w:eastAsia="Noto Sans CJK SC"/>
          <w:b w:val="0"/>
          <w:color w:val="17212B"/>
          <w:sz w:val="21"/>
        </w:rPr>
        <w:t>【官方机制】Amazon Ads明确要求Sponsored Products等广告所推广的商品满足相应资格，部分广告与Featured Offer状态相关。广告无展示时，应先排查可售与资格，不要只提高竞价。</w:t>
      </w:r>
    </w:p>
    <w:p>
      <w:r>
        <w:rPr>
          <w:rFonts w:ascii="Noto Sans CJK SC" w:hAnsi="Noto Sans CJK SC" w:eastAsia="Noto Sans CJK SC"/>
          <w:b w:val="0"/>
          <w:color w:val="17212B"/>
          <w:sz w:val="21"/>
        </w:rPr>
        <w:t>VC团队常把“Amazon没购物车”归因于一个阈值，实际可能是库存、价格、合规、目录冲突、配送、零售策略或多个Offer竞争。建立逐层排查表并保留前台邮编、时间、设备和站点证据。</w:t>
      </w:r>
    </w:p>
    <w:p>
      <w:pPr>
        <w:pStyle w:val="Heading2"/>
      </w:pPr>
      <w:r>
        <w:rPr>
          <w:rFonts w:ascii="Noto Sans CJK SC" w:hAnsi="Noto Sans CJK SC" w:eastAsia="Noto Sans CJK SC"/>
          <w:b/>
          <w:color w:val="2E5E82"/>
          <w:sz w:val="26"/>
        </w:rPr>
        <w:t>21.1 可售排查顺序</w:t>
      </w:r>
    </w:p>
    <w:p>
      <w:pPr>
        <w:numPr>
          <w:ilvl w:val="0"/>
          <w:numId w:val="21"/>
        </w:numPr>
        <w:spacing w:after="80" w:line="300" w:lineRule="auto"/>
      </w:pPr>
      <w:r>
        <w:rPr>
          <w:rFonts w:ascii="Noto Sans CJK SC" w:hAnsi="Noto Sans CJK SC" w:eastAsia="Noto Sans CJK SC"/>
          <w:b w:val="0"/>
          <w:color w:val="17212B"/>
          <w:sz w:val="21"/>
        </w:rPr>
        <w:t>ASIN详情页是否存在且站点正确。</w:t>
      </w:r>
    </w:p>
    <w:p>
      <w:pPr>
        <w:numPr>
          <w:ilvl w:val="0"/>
          <w:numId w:val="21"/>
        </w:numPr>
        <w:spacing w:after="80" w:line="300" w:lineRule="auto"/>
      </w:pPr>
      <w:r>
        <w:rPr>
          <w:rFonts w:ascii="Noto Sans CJK SC" w:hAnsi="Noto Sans CJK SC" w:eastAsia="Noto Sans CJK SC"/>
          <w:b w:val="0"/>
          <w:color w:val="17212B"/>
          <w:sz w:val="21"/>
        </w:rPr>
        <w:t>是否有Amazon Retail Offer，库存与配送日期是否显示。</w:t>
      </w:r>
    </w:p>
    <w:p>
      <w:pPr>
        <w:numPr>
          <w:ilvl w:val="0"/>
          <w:numId w:val="21"/>
        </w:numPr>
        <w:spacing w:after="80" w:line="300" w:lineRule="auto"/>
      </w:pPr>
      <w:r>
        <w:rPr>
          <w:rFonts w:ascii="Noto Sans CJK SC" w:hAnsi="Noto Sans CJK SC" w:eastAsia="Noto Sans CJK SC"/>
          <w:b w:val="0"/>
          <w:color w:val="17212B"/>
          <w:sz w:val="21"/>
        </w:rPr>
        <w:t>合规/危险品/安全任务是否阻断。</w:t>
      </w:r>
    </w:p>
    <w:p>
      <w:pPr>
        <w:numPr>
          <w:ilvl w:val="0"/>
          <w:numId w:val="21"/>
        </w:numPr>
        <w:spacing w:after="80" w:line="300" w:lineRule="auto"/>
      </w:pPr>
      <w:r>
        <w:rPr>
          <w:rFonts w:ascii="Noto Sans CJK SC" w:hAnsi="Noto Sans CJK SC" w:eastAsia="Noto Sans CJK SC"/>
          <w:b w:val="0"/>
          <w:color w:val="17212B"/>
          <w:sz w:val="21"/>
        </w:rPr>
        <w:t>零售价格是否异常或外部价格触发抑制。</w:t>
      </w:r>
    </w:p>
    <w:p>
      <w:pPr>
        <w:numPr>
          <w:ilvl w:val="0"/>
          <w:numId w:val="21"/>
        </w:numPr>
        <w:spacing w:after="80" w:line="300" w:lineRule="auto"/>
      </w:pPr>
      <w:r>
        <w:rPr>
          <w:rFonts w:ascii="Noto Sans CJK SC" w:hAnsi="Noto Sans CJK SC" w:eastAsia="Noto Sans CJK SC"/>
          <w:b w:val="0"/>
          <w:color w:val="17212B"/>
          <w:sz w:val="21"/>
        </w:rPr>
        <w:t>关键属性、变体和品牌是否冲突。</w:t>
      </w:r>
    </w:p>
    <w:p>
      <w:pPr>
        <w:numPr>
          <w:ilvl w:val="0"/>
          <w:numId w:val="21"/>
        </w:numPr>
        <w:spacing w:after="80" w:line="300" w:lineRule="auto"/>
      </w:pPr>
      <w:r>
        <w:rPr>
          <w:rFonts w:ascii="Noto Sans CJK SC" w:hAnsi="Noto Sans CJK SC" w:eastAsia="Noto Sans CJK SC"/>
          <w:b w:val="0"/>
          <w:color w:val="17212B"/>
          <w:sz w:val="21"/>
        </w:rPr>
        <w:t>其他卖家Offer与Featured Offer资格如何。</w:t>
      </w:r>
    </w:p>
    <w:p>
      <w:pPr>
        <w:numPr>
          <w:ilvl w:val="0"/>
          <w:numId w:val="21"/>
        </w:numPr>
        <w:spacing w:after="80" w:line="300" w:lineRule="auto"/>
      </w:pPr>
      <w:r>
        <w:rPr>
          <w:rFonts w:ascii="Noto Sans CJK SC" w:hAnsi="Noto Sans CJK SC" w:eastAsia="Noto Sans CJK SC"/>
          <w:b w:val="0"/>
          <w:color w:val="17212B"/>
          <w:sz w:val="21"/>
        </w:rPr>
        <w:t>最近PO、接收、退货或停售动作是否改变状态。</w:t>
      </w:r>
    </w:p>
    <w:p>
      <w:pPr>
        <w:pStyle w:val="Heading1"/>
      </w:pPr>
      <w:r>
        <w:rPr>
          <w:rFonts w:ascii="Noto Sans CJK SC" w:hAnsi="Noto Sans CJK SC" w:eastAsia="Noto Sans CJK SC"/>
          <w:b/>
          <w:color w:val="0B1F33"/>
          <w:sz w:val="36"/>
        </w:rPr>
        <w:t>第22章 退货、VOC与质量闭环</w:t>
      </w:r>
    </w:p>
    <w:p>
      <w:r>
        <w:rPr>
          <w:rFonts w:ascii="Noto Sans CJK SC" w:hAnsi="Noto Sans CJK SC" w:eastAsia="Noto Sans CJK SC"/>
          <w:b w:val="0"/>
          <w:color w:val="17212B"/>
          <w:sz w:val="21"/>
        </w:rPr>
        <w:t>退货是连接产品、内容、包装、物流和用户预期的结果指标。只看总退货率不够，要把退货原因、评论、客服信息、批次、站点和时间关联起来。</w:t>
      </w:r>
    </w:p>
    <w:p>
      <w:pPr>
        <w:pStyle w:val="Heading2"/>
      </w:pPr>
      <w:r>
        <w:rPr>
          <w:rFonts w:ascii="Noto Sans CJK SC" w:hAnsi="Noto Sans CJK SC" w:eastAsia="Noto Sans CJK SC"/>
          <w:b/>
          <w:color w:val="2E5E82"/>
          <w:sz w:val="26"/>
        </w:rPr>
        <w:t>22.1 四类根因</w:t>
      </w:r>
    </w:p>
    <w:p>
      <w:pPr>
        <w:numPr>
          <w:ilvl w:val="0"/>
          <w:numId w:val="22"/>
        </w:numPr>
        <w:spacing w:after="80" w:line="300" w:lineRule="auto"/>
      </w:pPr>
      <w:r>
        <w:rPr>
          <w:rFonts w:ascii="Noto Sans CJK SC" w:hAnsi="Noto Sans CJK SC" w:eastAsia="Noto Sans CJK SC"/>
          <w:b w:val="0"/>
          <w:color w:val="17212B"/>
          <w:sz w:val="21"/>
        </w:rPr>
        <w:t>产品缺陷：功能、寿命、材料、装配或批次问题。</w:t>
      </w:r>
    </w:p>
    <w:p>
      <w:pPr>
        <w:numPr>
          <w:ilvl w:val="0"/>
          <w:numId w:val="22"/>
        </w:numPr>
        <w:spacing w:after="80" w:line="300" w:lineRule="auto"/>
      </w:pPr>
      <w:r>
        <w:rPr>
          <w:rFonts w:ascii="Noto Sans CJK SC" w:hAnsi="Noto Sans CJK SC" w:eastAsia="Noto Sans CJK SC"/>
          <w:b w:val="0"/>
          <w:color w:val="17212B"/>
          <w:sz w:val="21"/>
        </w:rPr>
        <w:t>包装物流：破损、缺件、受潮、标签或二手退回品管理。</w:t>
      </w:r>
    </w:p>
    <w:p>
      <w:pPr>
        <w:numPr>
          <w:ilvl w:val="0"/>
          <w:numId w:val="22"/>
        </w:numPr>
        <w:spacing w:after="80" w:line="300" w:lineRule="auto"/>
      </w:pPr>
      <w:r>
        <w:rPr>
          <w:rFonts w:ascii="Noto Sans CJK SC" w:hAnsi="Noto Sans CJK SC" w:eastAsia="Noto Sans CJK SC"/>
          <w:b w:val="0"/>
          <w:color w:val="17212B"/>
          <w:sz w:val="21"/>
        </w:rPr>
        <w:t>信息预期：尺寸、功率、兼容性、使用场景或“不包含什么”表达不清。</w:t>
      </w:r>
    </w:p>
    <w:p>
      <w:pPr>
        <w:numPr>
          <w:ilvl w:val="0"/>
          <w:numId w:val="22"/>
        </w:numPr>
        <w:spacing w:after="80" w:line="300" w:lineRule="auto"/>
      </w:pPr>
      <w:r>
        <w:rPr>
          <w:rFonts w:ascii="Noto Sans CJK SC" w:hAnsi="Noto Sans CJK SC" w:eastAsia="Noto Sans CJK SC"/>
          <w:b w:val="0"/>
          <w:color w:val="17212B"/>
          <w:sz w:val="21"/>
        </w:rPr>
        <w:t>使用与人群：安装复杂、说明书不足、用户选错型号或不适合场景。</w:t>
      </w:r>
    </w:p>
    <w:p>
      <w:r>
        <w:rPr>
          <w:rFonts w:ascii="Noto Sans CJK SC" w:hAnsi="Noto Sans CJK SC" w:eastAsia="Noto Sans CJK SC"/>
          <w:b w:val="0"/>
          <w:color w:val="17212B"/>
          <w:sz w:val="21"/>
        </w:rPr>
        <w:t>对每个高退货ASIN建立8D/POA：问题定义、临时遏制、根因、纠正措施、验证结果、长期预防、责任人和完成日。Listing优化必须与产品和包装措施配套，不能用文案掩盖真实缺陷。</w:t>
      </w:r>
    </w:p>
    <w:p>
      <w:pPr>
        <w:pStyle w:val="Heading1"/>
      </w:pPr>
      <w:r>
        <w:rPr>
          <w:rFonts w:ascii="Noto Sans CJK SC" w:hAnsi="Noto Sans CJK SC" w:eastAsia="Noto Sans CJK SC"/>
          <w:b/>
          <w:color w:val="0B1F33"/>
          <w:sz w:val="36"/>
        </w:rPr>
        <w:t>第23章 VC广告：以零售可售和利润为前提</w:t>
      </w:r>
    </w:p>
    <w:p>
      <w:r>
        <w:rPr>
          <w:rFonts w:ascii="Noto Sans CJK SC" w:hAnsi="Noto Sans CJK SC" w:eastAsia="Noto Sans CJK SC"/>
          <w:b w:val="0"/>
          <w:color w:val="17212B"/>
          <w:sz w:val="21"/>
        </w:rPr>
        <w:t>供应商可通过Amazon Ads使用适用的Sponsored Products、Sponsored Brands、display ads以及DSP等产品，但资格、站点和功能会变化。Amazon官方的供应商广告指南要求使用VC/Advantage等供应商账号注册广告，并选择产品、竞价与预算。</w:t>
      </w:r>
    </w:p>
    <w:p>
      <w:pPr>
        <w:pStyle w:val="Heading2"/>
      </w:pPr>
      <w:r>
        <w:rPr>
          <w:rFonts w:ascii="Noto Sans CJK SC" w:hAnsi="Noto Sans CJK SC" w:eastAsia="Noto Sans CJK SC"/>
          <w:b/>
          <w:color w:val="2E5E82"/>
          <w:sz w:val="26"/>
        </w:rPr>
        <w:t>23.1 广告前置门禁</w:t>
      </w:r>
    </w:p>
    <w:p>
      <w:r>
        <w:rPr>
          <w:rFonts w:ascii="Noto Sans CJK SC" w:hAnsi="Noto Sans CJK SC" w:eastAsia="Noto Sans CJK SC"/>
          <w:b w:val="0"/>
          <w:color w:val="17212B"/>
          <w:sz w:val="21"/>
        </w:rPr>
        <w:t>广告前检查Amazon Offer可售、库存覆盖、内容完整、评分与退货、零售价、活动和供应商CM。广告把流量送到不可售、低转化或亏损商品，只会更快放大问题。</w:t>
      </w:r>
    </w:p>
    <w:p>
      <w:pPr>
        <w:pStyle w:val="Heading2"/>
      </w:pPr>
      <w:r>
        <w:rPr>
          <w:rFonts w:ascii="Noto Sans CJK SC" w:hAnsi="Noto Sans CJK SC" w:eastAsia="Noto Sans CJK SC"/>
          <w:b/>
          <w:color w:val="2E5E82"/>
          <w:sz w:val="26"/>
        </w:rPr>
        <w:t>23.2 三阶段策略</w:t>
      </w:r>
    </w:p>
    <w:p>
      <w:r>
        <w:rPr>
          <w:rFonts w:ascii="Noto Sans CJK SC" w:hAnsi="Noto Sans CJK SC" w:eastAsia="Noto Sans CJK SC"/>
          <w:b w:val="0"/>
          <w:color w:val="17212B"/>
          <w:sz w:val="21"/>
        </w:rPr>
        <w:t>新品期用SP自动与手动探索搜索词，同时控制库存和零售价格波动；成长期把预算转向高转化词、品牌视频和商品定向；成熟期做品牌防御、竞品定向、再营销和促销协同。不要把“VC天然竞价权重更高”当作事实，官方公开机制并未承诺相同出价下VC一定优于SC。</w:t>
      </w:r>
    </w:p>
    <w:p>
      <w:pPr>
        <w:pStyle w:val="Heading2"/>
      </w:pPr>
      <w:r>
        <w:rPr>
          <w:rFonts w:ascii="Noto Sans CJK SC" w:hAnsi="Noto Sans CJK SC" w:eastAsia="Noto Sans CJK SC"/>
          <w:b/>
          <w:color w:val="2E5E82"/>
          <w:sz w:val="26"/>
        </w:rPr>
        <w:t>23.3 广告利润口径</w:t>
      </w:r>
    </w:p>
    <w:p>
      <w:r>
        <w:rPr>
          <w:rFonts w:ascii="Noto Sans CJK SC" w:hAnsi="Noto Sans CJK SC" w:eastAsia="Noto Sans CJK SC"/>
          <w:b w:val="0"/>
          <w:color w:val="17212B"/>
          <w:sz w:val="21"/>
        </w:rPr>
        <w:t>广告ROAS以Amazon零售销售额为分母，但供应商承担广告费用时，必须回到自身净回款计算。建立“广告归因零售额→估算sell-in/补货→供应商净贡献”的桥，而不是直接用SC式毛利减ACOS。</w:t>
      </w:r>
    </w:p>
    <w:tbl>
      <w:tblPr>
        <w:tblStyle w:val="TableGrid"/>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shd w:fill="E9F2F8"/>
            <w:vAlign w:val="center"/>
            <w:tcMar>
              <w:top w:w="90" w:type="dxa"/>
              <w:start w:w="120" w:type="dxa"/>
              <w:bottom w:w="90" w:type="dxa"/>
              <w:end w:w="120" w:type="dxa"/>
            </w:tcMar>
          </w:tcPr>
          <w:p>
            <w:pPr>
              <w:spacing w:after="0"/>
            </w:pPr>
            <w:r>
              <w:rPr>
                <w:rFonts w:ascii="Noto Sans CJK SC" w:hAnsi="Noto Sans CJK SC" w:eastAsia="Noto Sans CJK SC"/>
                <w:b/>
                <w:color w:val="0B1F33"/>
                <w:sz w:val="19"/>
              </w:rPr>
              <w:t xml:space="preserve">供应商可承受广告率： </w:t>
            </w:r>
            <w:r>
              <w:rPr>
                <w:rFonts w:ascii="Noto Sans CJK SC" w:hAnsi="Noto Sans CJK SC" w:eastAsia="Noto Sans CJK SC"/>
                <w:b w:val="0"/>
                <w:color w:val="17212B"/>
                <w:sz w:val="19"/>
              </w:rPr>
              <w:t>应由增量PO贡献利润、库存风险和品牌目标共同决定。没有明确增量逻辑时，广告费先作为供应商费用从CM扣除。</w:t>
            </w:r>
          </w:p>
        </w:tc>
      </w:tr>
    </w:tbl>
    <w:p>
      <w:pPr>
        <w:spacing w:after="20"/>
      </w:pPr>
    </w:p>
    <w:p>
      <w:pPr>
        <w:pStyle w:val="Heading1"/>
      </w:pPr>
      <w:r>
        <w:rPr>
          <w:rFonts w:ascii="Noto Sans CJK SC" w:hAnsi="Noto Sans CJK SC" w:eastAsia="Noto Sans CJK SC"/>
          <w:b/>
          <w:color w:val="0B1F33"/>
          <w:sz w:val="36"/>
        </w:rPr>
        <w:t>第24章 促销、Funding与叠加风险</w:t>
      </w:r>
    </w:p>
    <w:p>
      <w:r>
        <w:rPr>
          <w:rFonts w:ascii="Noto Sans CJK SC" w:hAnsi="Noto Sans CJK SC" w:eastAsia="Noto Sans CJK SC"/>
          <w:b w:val="0"/>
          <w:color w:val="17212B"/>
          <w:sz w:val="21"/>
        </w:rPr>
        <w:t>Price Discount、Best Deal、Lightning Deal、Coupon等名称、权限和提报方式会按站点和年份变化。VC促销运营的通用逻辑是：确认零售价/折扣、供应商Funding、活动费、数量、库存、广告协同、价格历史和活动后恢复。</w:t>
      </w:r>
    </w:p>
    <w:p>
      <w:pPr>
        <w:pStyle w:val="Heading2"/>
      </w:pPr>
      <w:r>
        <w:rPr>
          <w:rFonts w:ascii="Noto Sans CJK SC" w:hAnsi="Noto Sans CJK SC" w:eastAsia="Noto Sans CJK SC"/>
          <w:b/>
          <w:color w:val="2E5E82"/>
          <w:sz w:val="26"/>
        </w:rPr>
        <w:t>24.1 促销利润底线</w:t>
      </w:r>
    </w:p>
    <w:p>
      <w:r>
        <w:rPr>
          <w:rFonts w:ascii="Noto Sans CJK SC" w:hAnsi="Noto Sans CJK SC" w:eastAsia="Noto Sans CJK SC"/>
          <w:b w:val="0"/>
          <w:color w:val="17212B"/>
          <w:sz w:val="21"/>
        </w:rPr>
        <w:t>促销前至少跑三个场景：销量不增、销量达到基准、销量超预期但需要加急补货。每个场景计算单位Funding、广告、协议扣款、退货准备和现金回收。没有明确Funding上限与活动窗口，不提交。</w:t>
      </w:r>
    </w:p>
    <w:p>
      <w:pPr>
        <w:pStyle w:val="Heading2"/>
      </w:pPr>
      <w:r>
        <w:rPr>
          <w:rFonts w:ascii="Noto Sans CJK SC" w:hAnsi="Noto Sans CJK SC" w:eastAsia="Noto Sans CJK SC"/>
          <w:b/>
          <w:color w:val="2E5E82"/>
          <w:sz w:val="26"/>
        </w:rPr>
        <w:t>24.2 叠加检查</w:t>
      </w:r>
    </w:p>
    <w:p>
      <w:r>
        <w:rPr>
          <w:rFonts w:ascii="Noto Sans CJK SC" w:hAnsi="Noto Sans CJK SC" w:eastAsia="Noto Sans CJK SC"/>
          <w:b w:val="0"/>
          <w:color w:val="17212B"/>
          <w:sz w:val="21"/>
        </w:rPr>
        <w:t>同一ASIN可能同时存在零售降价、Deal、Coupon、广告和外部渠道价格。活动前7天、前2天、当天与结束后分别截图并核对。若不清楚是否叠加，先以最坏情景计算，不以“应该不会”作为审批依据。</w:t>
      </w:r>
    </w:p>
    <w:p>
      <w:pPr>
        <w:pStyle w:val="Heading1"/>
      </w:pPr>
      <w:r>
        <w:rPr>
          <w:rFonts w:ascii="Noto Sans CJK SC" w:hAnsi="Noto Sans CJK SC" w:eastAsia="Noto Sans CJK SC"/>
          <w:b/>
          <w:color w:val="0B1F33"/>
          <w:sz w:val="36"/>
        </w:rPr>
        <w:t>第25章 SC+VC协同</w:t>
      </w:r>
    </w:p>
    <w:p>
      <w:r>
        <w:rPr>
          <w:rFonts w:ascii="Noto Sans CJK SC" w:hAnsi="Noto Sans CJK SC" w:eastAsia="Noto Sans CJK SC"/>
          <w:b w:val="0"/>
          <w:color w:val="17212B"/>
          <w:sz w:val="21"/>
        </w:rPr>
        <w:t>同品牌同时运营SC与VC可以形成互补，但也可能造成价格冲突、Offer竞争、库存错配和内部抢功。先明确每个ASIN的渠道角色：VC主供、SC主售、测试款、长尾款、清货款或区域差异款。</w:t>
      </w:r>
    </w:p>
    <w:p>
      <w:r>
        <w:rPr>
          <w:rFonts w:ascii="Noto Sans CJK SC" w:hAnsi="Noto Sans CJK SC" w:eastAsia="Noto Sans CJK SC"/>
          <w:b w:val="0"/>
          <w:color w:val="17212B"/>
          <w:sz w:val="21"/>
        </w:rPr>
        <w:t>SC适合快速测试、长尾和可控零售价；VC适合稳定批发、规模采购和Amazon零售资源。新品可以先在SC验证转化、退货和内容，再向VC提交；但不得通过虚假交易或违反协议的方式“造数据”。</w:t>
      </w:r>
    </w:p>
    <w:p>
      <w:r>
        <w:rPr>
          <w:rFonts w:ascii="Noto Sans CJK SC" w:hAnsi="Noto Sans CJK SC" w:eastAsia="Noto Sans CJK SC"/>
          <w:b w:val="0"/>
          <w:color w:val="17212B"/>
          <w:sz w:val="21"/>
        </w:rPr>
        <w:t>同ASIN并行时，统一品牌内容、价格边界、广告归因与库存计划。合同存在独家、渠道或价格条款时，必须由法务/商业负责人确认，不凭运营经验决定。</w:t>
      </w:r>
    </w:p>
    <w:p>
      <w:pPr>
        <w:pStyle w:val="Heading1"/>
        <w:pageBreakBefore/>
        <w:spacing w:before="0" w:after="360"/>
      </w:pPr>
      <w:r>
        <w:rPr>
          <w:rFonts w:ascii="Noto Sans CJK SC" w:hAnsi="Noto Sans CJK SC" w:eastAsia="Noto Sans CJK SC"/>
          <w:b/>
          <w:color w:val="E98400"/>
          <w:sz w:val="44"/>
        </w:rPr>
        <w:t>第七篇 组织、SOP与系统化</w:t>
      </w:r>
      <w:r>
        <w:br w:type="page"/>
      </w:r>
    </w:p>
    <w:p>
      <w:pPr>
        <w:pStyle w:val="Heading1"/>
      </w:pPr>
      <w:r>
        <w:rPr>
          <w:rFonts w:ascii="Noto Sans CJK SC" w:hAnsi="Noto Sans CJK SC" w:eastAsia="Noto Sans CJK SC"/>
          <w:b/>
          <w:color w:val="0B1F33"/>
          <w:sz w:val="36"/>
        </w:rPr>
        <w:t>第26章 日、周、月、季度运营节奏</w:t>
      </w:r>
    </w:p>
    <w:p>
      <w:pPr>
        <w:keepNext/>
        <w:jc w:val="center"/>
      </w:pPr>
      <w:r>
        <w:drawing>
          <wp:inline xmlns:a="http://schemas.openxmlformats.org/drawingml/2006/main" xmlns:pic="http://schemas.openxmlformats.org/drawingml/2006/picture">
            <wp:extent cx="5943600" cy="3417570"/>
            <wp:docPr id="8" name="Picture 8" descr="图23-1 VC运营四级节奏"/>
            <wp:cNvGraphicFramePr>
              <a:graphicFrameLocks noChangeAspect="1"/>
            </wp:cNvGraphicFramePr>
            <a:graphic>
              <a:graphicData uri="http://schemas.openxmlformats.org/drawingml/2006/picture">
                <pic:pic>
                  <pic:nvPicPr>
                    <pic:cNvPr id="0" name="operating_cadence.png"/>
                    <pic:cNvPicPr/>
                  </pic:nvPicPr>
                  <pic:blipFill>
                    <a:blip r:embed="rId18"/>
                    <a:stretch>
                      <a:fillRect/>
                    </a:stretch>
                  </pic:blipFill>
                  <pic:spPr>
                    <a:xfrm>
                      <a:off x="0" y="0"/>
                      <a:ext cx="5943600" cy="3417570"/>
                    </a:xfrm>
                    <a:prstGeom prst="rect"/>
                  </pic:spPr>
                </pic:pic>
              </a:graphicData>
            </a:graphic>
          </wp:inline>
        </w:drawing>
      </w:r>
    </w:p>
    <w:p>
      <w:pPr>
        <w:pStyle w:val="FigureCaption"/>
      </w:pPr>
      <w:r>
        <w:t>图23-1 VC运营四级节奏</w:t>
      </w:r>
    </w:p>
    <w:p>
      <w:pPr>
        <w:pStyle w:val="Heading2"/>
      </w:pPr>
      <w:r>
        <w:rPr>
          <w:rFonts w:ascii="Noto Sans CJK SC" w:hAnsi="Noto Sans CJK SC" w:eastAsia="Noto Sans CJK SC"/>
          <w:b/>
          <w:color w:val="2E5E82"/>
          <w:sz w:val="26"/>
        </w:rPr>
        <w:t>26.1 每日</w:t>
      </w:r>
    </w:p>
    <w:p>
      <w:r>
        <w:rPr>
          <w:rFonts w:ascii="Noto Sans CJK SC" w:hAnsi="Noto Sans CJK SC" w:eastAsia="Noto Sans CJK SC"/>
          <w:b w:val="0"/>
          <w:color w:val="17212B"/>
          <w:sz w:val="21"/>
        </w:rPr>
        <w:t>检查新PO与变更、DF订单、发货/接收异常、可售中断、合规任务、重大邮件和广告异常。每日看板只展示需要今天动作的事项，不堆积历史数据。</w:t>
      </w:r>
    </w:p>
    <w:p>
      <w:pPr>
        <w:pStyle w:val="Heading2"/>
      </w:pPr>
      <w:r>
        <w:rPr>
          <w:rFonts w:ascii="Noto Sans CJK SC" w:hAnsi="Noto Sans CJK SC" w:eastAsia="Noto Sans CJK SC"/>
          <w:b/>
          <w:color w:val="2E5E82"/>
          <w:sz w:val="26"/>
        </w:rPr>
        <w:t>26.2 每周</w:t>
      </w:r>
    </w:p>
    <w:p>
      <w:r>
        <w:rPr>
          <w:rFonts w:ascii="Noto Sans CJK SC" w:hAnsi="Noto Sans CJK SC" w:eastAsia="Noto Sans CJK SC"/>
          <w:b w:val="0"/>
          <w:color w:val="17212B"/>
          <w:sz w:val="21"/>
        </w:rPr>
        <w:t>周会依次看PO金额与履约、扣款新增与追回、库存覆盖、不可售ASIN、退货异常、广告与促销、现金风险。每个红项必须有owner、动作和截止日。</w:t>
      </w:r>
    </w:p>
    <w:p>
      <w:pPr>
        <w:pStyle w:val="Heading2"/>
      </w:pPr>
      <w:r>
        <w:rPr>
          <w:rFonts w:ascii="Noto Sans CJK SC" w:hAnsi="Noto Sans CJK SC" w:eastAsia="Noto Sans CJK SC"/>
          <w:b/>
          <w:color w:val="2E5E82"/>
          <w:sz w:val="26"/>
        </w:rPr>
        <w:t>26.3 每月与季度</w:t>
      </w:r>
    </w:p>
    <w:p>
      <w:r>
        <w:rPr>
          <w:rFonts w:ascii="Noto Sans CJK SC" w:hAnsi="Noto Sans CJK SC" w:eastAsia="Noto Sans CJK SC"/>
          <w:b w:val="0"/>
          <w:color w:val="17212B"/>
          <w:sz w:val="21"/>
        </w:rPr>
        <w:t>月度完成发票—汇款—扣款对账、ASIN利润、Net PPM估算、退货/VOC和预测更新。季度向VM提供业务回顾：销售与增长、供货、库存、质量、营销、新品和双方需决策事项。</w:t>
      </w:r>
    </w:p>
    <w:tbl>
      <w:tblPr>
        <w:tblStyle w:val="TableGrid"/>
        <w:tblW w:type="dxa" w:w="9360"/>
        <w:jc w:val="left"/>
        <w:tblLayout w:type="fixed"/>
        <w:tblLook w:firstColumn="1" w:firstRow="1" w:lastColumn="0" w:lastRow="0" w:noHBand="0" w:noVBand="1" w:val="04A0"/>
        <w:tblInd w:w="120" w:type="dxa"/>
      </w:tblPr>
      <w:tblGrid>
        <w:gridCol w:w="2272"/>
        <w:gridCol w:w="4392"/>
        <w:gridCol w:w="2696"/>
      </w:tblGrid>
      <w:tr>
        <w:trPr>
          <w:trHeight w:hRule="atLeast"/>
          <w:tblHeader w:val="true"/>
        </w:trPr>
        <w:tc>
          <w:tcPr>
            <w:tcW w:type="dxa" w:w="2272"/>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周期</w:t>
            </w:r>
          </w:p>
        </w:tc>
        <w:tc>
          <w:tcPr>
            <w:tcW w:type="dxa" w:w="4392"/>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核心输出</w:t>
            </w:r>
          </w:p>
        </w:tc>
        <w:tc>
          <w:tcPr>
            <w:tcW w:type="dxa" w:w="2696"/>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会议不讨论什么</w:t>
            </w:r>
          </w:p>
        </w:tc>
      </w:tr>
      <w:tr>
        <w:trPr>
          <w:trHeight w:hRule="atLeast"/>
        </w:trPr>
        <w:tc>
          <w:tcPr>
            <w:tcW w:type="dxa" w:w="227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日</w:t>
            </w:r>
          </w:p>
        </w:tc>
        <w:tc>
          <w:tcPr>
            <w:tcW w:type="dxa" w:w="439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异常队列与截止时间</w:t>
            </w:r>
          </w:p>
        </w:tc>
        <w:tc>
          <w:tcPr>
            <w:tcW w:type="dxa" w:w="269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长期战略</w:t>
            </w:r>
          </w:p>
        </w:tc>
      </w:tr>
      <w:tr>
        <w:trPr>
          <w:trHeight w:hRule="atLeast"/>
        </w:trPr>
        <w:tc>
          <w:tcPr>
            <w:tcW w:type="dxa" w:w="227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周</w:t>
            </w:r>
          </w:p>
        </w:tc>
        <w:tc>
          <w:tcPr>
            <w:tcW w:type="dxa" w:w="439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履约、库存、扣款、可售行动</w:t>
            </w:r>
          </w:p>
        </w:tc>
        <w:tc>
          <w:tcPr>
            <w:tcW w:type="dxa" w:w="269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无数据的情绪复盘</w:t>
            </w:r>
          </w:p>
        </w:tc>
      </w:tr>
      <w:tr>
        <w:trPr>
          <w:trHeight w:hRule="atLeast"/>
        </w:trPr>
        <w:tc>
          <w:tcPr>
            <w:tcW w:type="dxa" w:w="227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月</w:t>
            </w:r>
          </w:p>
        </w:tc>
        <w:tc>
          <w:tcPr>
            <w:tcW w:type="dxa" w:w="4392"/>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财务桥接、ASIN利润与资源配置</w:t>
            </w:r>
          </w:p>
        </w:tc>
        <w:tc>
          <w:tcPr>
            <w:tcW w:type="dxa" w:w="2696"/>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单笔小额操作细节</w:t>
            </w:r>
          </w:p>
        </w:tc>
      </w:tr>
      <w:tr>
        <w:trPr>
          <w:trHeight w:hRule="atLeast"/>
        </w:trPr>
        <w:tc>
          <w:tcPr>
            <w:tcW w:type="dxa" w:w="227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季</w:t>
            </w:r>
          </w:p>
        </w:tc>
        <w:tc>
          <w:tcPr>
            <w:tcW w:type="dxa" w:w="4392"/>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QBR、条款、新品、能力建设</w:t>
            </w:r>
          </w:p>
        </w:tc>
        <w:tc>
          <w:tcPr>
            <w:tcW w:type="dxa" w:w="2696"/>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临时救火</w:t>
            </w:r>
          </w:p>
        </w:tc>
      </w:tr>
    </w:tbl>
    <w:p>
      <w:pPr>
        <w:spacing w:after="20"/>
      </w:pPr>
    </w:p>
    <w:p>
      <w:pPr>
        <w:pStyle w:val="Heading1"/>
      </w:pPr>
      <w:r>
        <w:rPr>
          <w:rFonts w:ascii="Noto Sans CJK SC" w:hAnsi="Noto Sans CJK SC" w:eastAsia="Noto Sans CJK SC"/>
          <w:b/>
          <w:color w:val="0B1F33"/>
          <w:sz w:val="36"/>
        </w:rPr>
        <w:t>第27章 KPI树与管理看板</w:t>
      </w:r>
    </w:p>
    <w:p>
      <w:r>
        <w:rPr>
          <w:rFonts w:ascii="Noto Sans CJK SC" w:hAnsi="Noto Sans CJK SC" w:eastAsia="Noto Sans CJK SC"/>
          <w:b w:val="0"/>
          <w:color w:val="17212B"/>
          <w:sz w:val="21"/>
        </w:rPr>
        <w:t>VC看板分四层：结果、驱动、风险、动作。结果包括净回款、贡献利润、零售销售与现金；驱动包括PO接受/履约、在库可售、价格、广告和促销；风险包括扣款、退货、合规和账龄；动作是本周必须完成的任务。</w:t>
      </w:r>
    </w:p>
    <w:p>
      <w:r>
        <w:rPr>
          <w:rFonts w:ascii="Noto Sans CJK SC" w:hAnsi="Noto Sans CJK SC" w:eastAsia="Noto Sans CJK SC"/>
          <w:b w:val="0"/>
          <w:color w:val="17212B"/>
          <w:sz w:val="21"/>
        </w:rPr>
        <w:t>【实战口径】KPI阈值不要写成平台统一红线。内部目标可设PO按时响应率、按时足量交付率、ASN准确率、开票及时率、争议追回率、不可售时长、库存覆盖和退货率，但每个指标要保留合同/账号目标与内部目标两列。</w:t>
      </w:r>
    </w:p>
    <w:p>
      <w:pPr>
        <w:pStyle w:val="Heading2"/>
      </w:pPr>
      <w:r>
        <w:rPr>
          <w:rFonts w:ascii="Noto Sans CJK SC" w:hAnsi="Noto Sans CJK SC" w:eastAsia="Noto Sans CJK SC"/>
          <w:b/>
          <w:color w:val="2E5E82"/>
          <w:sz w:val="26"/>
        </w:rPr>
        <w:t>27.1 指标定义卡</w:t>
      </w:r>
    </w:p>
    <w:p>
      <w:r>
        <w:rPr>
          <w:rFonts w:ascii="Noto Sans CJK SC" w:hAnsi="Noto Sans CJK SC" w:eastAsia="Noto Sans CJK SC"/>
          <w:b w:val="0"/>
          <w:color w:val="17212B"/>
          <w:sz w:val="21"/>
        </w:rPr>
        <w:t>每个指标必须写：业务目的、公式、数据源、更新频率、owner、红黄绿阈值、异常动作。比如“PO接受率”需说明分母是否排除Amazon取消、重复PO、不可供SKU或变更数量；否则团队会为了指标接受无法履行的订单。</w:t>
      </w:r>
    </w:p>
    <w:p>
      <w:pPr>
        <w:pStyle w:val="Heading1"/>
      </w:pPr>
      <w:r>
        <w:rPr>
          <w:rFonts w:ascii="Noto Sans CJK SC" w:hAnsi="Noto Sans CJK SC" w:eastAsia="Noto Sans CJK SC"/>
          <w:b/>
          <w:color w:val="0B1F33"/>
          <w:sz w:val="36"/>
        </w:rPr>
        <w:t>第28章 与VM沟通和QBR</w:t>
      </w:r>
    </w:p>
    <w:p>
      <w:r>
        <w:rPr>
          <w:rFonts w:ascii="Noto Sans CJK SC" w:hAnsi="Noto Sans CJK SC" w:eastAsia="Noto Sans CJK SC"/>
          <w:b w:val="0"/>
          <w:color w:val="17212B"/>
          <w:sz w:val="21"/>
        </w:rPr>
        <w:t>VM沟通要从“追PO”转向“共同经营”。一封高质量邮件包含结论、业务影响、数据证据、推荐方案、需要对方确认的决定和截止时间。</w:t>
      </w:r>
    </w:p>
    <w:p>
      <w:pPr>
        <w:pStyle w:val="Heading2"/>
      </w:pPr>
      <w:r>
        <w:rPr>
          <w:rFonts w:ascii="Noto Sans CJK SC" w:hAnsi="Noto Sans CJK SC" w:eastAsia="Noto Sans CJK SC"/>
          <w:b/>
          <w:color w:val="2E5E82"/>
          <w:sz w:val="26"/>
        </w:rPr>
        <w:t>28.1 标准邮件结构</w:t>
      </w:r>
    </w:p>
    <w:p>
      <w:r>
        <w:rPr>
          <w:rFonts w:ascii="Noto Sans CJK SC" w:hAnsi="Noto Sans CJK SC" w:eastAsia="Noto Sans CJK SC"/>
          <w:b w:val="0"/>
          <w:color w:val="17212B"/>
          <w:sz w:val="21"/>
        </w:rPr>
        <w:t>主题行写ASIN/PO、问题与动作；第一段给结论；第二段列数据；第三段给A/B方案；最后只留下一个明确请求。附件命名包含日期、主题和版本，正文引用附件页码或表格。</w:t>
      </w:r>
    </w:p>
    <w:p>
      <w:pPr>
        <w:pStyle w:val="Heading2"/>
      </w:pPr>
      <w:r>
        <w:rPr>
          <w:rFonts w:ascii="Noto Sans CJK SC" w:hAnsi="Noto Sans CJK SC" w:eastAsia="Noto Sans CJK SC"/>
          <w:b/>
          <w:color w:val="2E5E82"/>
          <w:sz w:val="26"/>
        </w:rPr>
        <w:t>28.2 QBR框架</w:t>
      </w:r>
    </w:p>
    <w:p>
      <w:r>
        <w:rPr>
          <w:rFonts w:ascii="Noto Sans CJK SC" w:hAnsi="Noto Sans CJK SC" w:eastAsia="Noto Sans CJK SC"/>
          <w:b w:val="0"/>
          <w:color w:val="17212B"/>
          <w:sz w:val="21"/>
        </w:rPr>
        <w:t>QBR建议控制在八页：业务摘要、零售与sell-in、供货与库存、价格与利润、退货与质量、营销与活动、新品管道、双方决策与下一步。不要用50页截图代替结论。</w:t>
      </w:r>
    </w:p>
    <w:p>
      <w:pPr>
        <w:pStyle w:val="Heading1"/>
      </w:pPr>
      <w:r>
        <w:rPr>
          <w:rFonts w:ascii="Noto Sans CJK SC" w:hAnsi="Noto Sans CJK SC" w:eastAsia="Noto Sans CJK SC"/>
          <w:b/>
          <w:color w:val="0B1F33"/>
          <w:sz w:val="36"/>
        </w:rPr>
        <w:t>第29章 团队组织与RACI</w:t>
      </w:r>
    </w:p>
    <w:p>
      <w:r>
        <w:rPr>
          <w:rFonts w:ascii="Noto Sans CJK SC" w:hAnsi="Noto Sans CJK SC" w:eastAsia="Noto Sans CJK SC"/>
          <w:b w:val="0"/>
          <w:color w:val="17212B"/>
          <w:sz w:val="21"/>
        </w:rPr>
        <w:t>VC团队至少覆盖商业/VM、目录与合规、PO与物流、财务与争议、零售运营/广告、数据系统。小团队可以一人多岗，但责任不能消失。</w:t>
      </w:r>
    </w:p>
    <w:tbl>
      <w:tblPr>
        <w:tblStyle w:val="TableGrid"/>
        <w:tblW w:type="dxa" w:w="9360"/>
        <w:jc w:val="left"/>
        <w:tblLayout w:type="fixed"/>
        <w:tblLook w:firstColumn="1" w:firstRow="1" w:lastColumn="0" w:lastRow="0" w:noHBand="0" w:noVBand="1" w:val="04A0"/>
        <w:tblInd w:w="120" w:type="dxa"/>
      </w:tblPr>
      <w:tblGrid>
        <w:gridCol w:w="1984"/>
        <w:gridCol w:w="1843"/>
        <w:gridCol w:w="1843"/>
        <w:gridCol w:w="1843"/>
        <w:gridCol w:w="1847"/>
      </w:tblGrid>
      <w:tr>
        <w:trPr>
          <w:trHeight w:hRule="atLeast"/>
          <w:tblHeader w:val="true"/>
        </w:trPr>
        <w:tc>
          <w:tcPr>
            <w:tcW w:type="dxa" w:w="1984"/>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流程</w:t>
            </w:r>
          </w:p>
        </w:tc>
        <w:tc>
          <w:tcPr>
            <w:tcW w:type="dxa" w:w="184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主责</w:t>
            </w:r>
          </w:p>
        </w:tc>
        <w:tc>
          <w:tcPr>
            <w:tcW w:type="dxa" w:w="184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审批</w:t>
            </w:r>
          </w:p>
        </w:tc>
        <w:tc>
          <w:tcPr>
            <w:tcW w:type="dxa" w:w="184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协同</w:t>
            </w:r>
          </w:p>
        </w:tc>
        <w:tc>
          <w:tcPr>
            <w:tcW w:type="dxa" w:w="184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知会</w:t>
            </w:r>
          </w:p>
        </w:tc>
      </w:tr>
      <w:tr>
        <w:trPr>
          <w:trHeight w:hRule="atLeast"/>
        </w:trPr>
        <w:tc>
          <w:tcPr>
            <w:tcW w:type="dxa" w:w="198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Cost与条款</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商业负责人</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总经理/财务</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运营、供应链</w:t>
            </w:r>
          </w:p>
        </w:tc>
        <w:tc>
          <w:tcPr>
            <w:tcW w:type="dxa" w:w="18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r>
      <w:tr>
        <w:trPr>
          <w:trHeight w:hRule="atLeast"/>
        </w:trPr>
        <w:tc>
          <w:tcPr>
            <w:tcW w:type="dxa" w:w="198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PO确认</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订单运营</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供应链负责人</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仓库、计划</w:t>
            </w:r>
          </w:p>
        </w:tc>
        <w:tc>
          <w:tcPr>
            <w:tcW w:type="dxa" w:w="18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r>
      <w:tr>
        <w:trPr>
          <w:trHeight w:hRule="atLeast"/>
        </w:trPr>
        <w:tc>
          <w:tcPr>
            <w:tcW w:type="dxa" w:w="198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ASN与发运</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物流/仓库</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物流负责人</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订单运营</w:t>
            </w:r>
          </w:p>
        </w:tc>
        <w:tc>
          <w:tcPr>
            <w:tcW w:type="dxa" w:w="18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r>
      <w:tr>
        <w:trPr>
          <w:trHeight w:hRule="atLeast"/>
        </w:trPr>
        <w:tc>
          <w:tcPr>
            <w:tcW w:type="dxa" w:w="198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开票与对账</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财务负责人</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运营、物流</w:t>
            </w:r>
          </w:p>
        </w:tc>
        <w:tc>
          <w:tcPr>
            <w:tcW w:type="dxa" w:w="18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商业负责人</w:t>
            </w:r>
          </w:p>
        </w:tc>
      </w:tr>
      <w:tr>
        <w:trPr>
          <w:trHeight w:hRule="atLeast"/>
        </w:trPr>
        <w:tc>
          <w:tcPr>
            <w:tcW w:type="dxa" w:w="198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合规提交</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合规</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产品/法务</w:t>
            </w:r>
          </w:p>
        </w:tc>
        <w:tc>
          <w:tcPr>
            <w:tcW w:type="dxa" w:w="184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运营、工厂</w:t>
            </w:r>
          </w:p>
        </w:tc>
        <w:tc>
          <w:tcPr>
            <w:tcW w:type="dxa" w:w="18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商业负责人</w:t>
            </w:r>
          </w:p>
        </w:tc>
      </w:tr>
      <w:tr>
        <w:trPr>
          <w:trHeight w:hRule="atLeast"/>
        </w:trPr>
        <w:tc>
          <w:tcPr>
            <w:tcW w:type="dxa" w:w="198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广告促销</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零售运营</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商业负责人</w:t>
            </w:r>
          </w:p>
        </w:tc>
        <w:tc>
          <w:tcPr>
            <w:tcW w:type="dxa" w:w="184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财务、库存</w:t>
            </w:r>
          </w:p>
        </w:tc>
        <w:tc>
          <w:tcPr>
            <w:tcW w:type="dxa" w:w="18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VM接口人</w:t>
            </w:r>
          </w:p>
        </w:tc>
      </w:tr>
    </w:tbl>
    <w:p>
      <w:pPr>
        <w:spacing w:after="20"/>
      </w:pPr>
    </w:p>
    <w:p>
      <w:r>
        <w:rPr>
          <w:rFonts w:ascii="Noto Sans CJK SC" w:hAnsi="Noto Sans CJK SC" w:eastAsia="Noto Sans CJK SC"/>
          <w:b w:val="0"/>
          <w:color w:val="17212B"/>
          <w:sz w:val="21"/>
        </w:rPr>
        <w:t>高风险动作使用四眼原则：供货价、付款信息、发票批量提交、PO大额确认、促销Funding和合规文件上传。</w:t>
      </w:r>
    </w:p>
    <w:p>
      <w:pPr>
        <w:pStyle w:val="Heading1"/>
      </w:pPr>
      <w:r>
        <w:rPr>
          <w:rFonts w:ascii="Noto Sans CJK SC" w:hAnsi="Noto Sans CJK SC" w:eastAsia="Noto Sans CJK SC"/>
          <w:b/>
          <w:color w:val="0B1F33"/>
          <w:sz w:val="36"/>
        </w:rPr>
        <w:t>第30章 EDI、SP-API与自动化</w:t>
      </w:r>
    </w:p>
    <w:p>
      <w:r>
        <w:rPr>
          <w:rFonts w:ascii="Noto Sans CJK SC" w:hAnsi="Noto Sans CJK SC" w:eastAsia="Noto Sans CJK SC"/>
          <w:b w:val="0"/>
          <w:color w:val="17212B"/>
          <w:sz w:val="21"/>
        </w:rPr>
        <w:t>自动化目标不是把人工点击搬到脚本，而是建立有回执、有校验、有异常队列的业务闭环。Amazon公开SP-API为Vendor Retail Procurement和DF提供Orders、Shipments、Invoices/Payments、Inventory及Transaction Status等能力。</w:t>
      </w:r>
    </w:p>
    <w:p>
      <w:pPr>
        <w:pStyle w:val="Heading2"/>
      </w:pPr>
      <w:r>
        <w:rPr>
          <w:rFonts w:ascii="Noto Sans CJK SC" w:hAnsi="Noto Sans CJK SC" w:eastAsia="Noto Sans CJK SC"/>
          <w:b/>
          <w:color w:val="2E5E82"/>
          <w:sz w:val="26"/>
        </w:rPr>
        <w:t>30.1 最小自动化路线</w:t>
      </w:r>
    </w:p>
    <w:p>
      <w:r>
        <w:rPr>
          <w:rFonts w:ascii="Noto Sans CJK SC" w:hAnsi="Noto Sans CJK SC" w:eastAsia="Noto Sans CJK SC"/>
          <w:b w:val="0"/>
          <w:color w:val="17212B"/>
          <w:sz w:val="21"/>
        </w:rPr>
        <w:t>第一阶段自动拉取PO、变更和状态，生成异常提醒；第二阶段连接库存/WMS，生成订单确认与货件数据；第三阶段打通发票、汇款和扣款桥接；第四阶段将ASIN零售、广告和财务数据进入统一看板。</w:t>
      </w:r>
    </w:p>
    <w:p>
      <w:r>
        <w:rPr>
          <w:rFonts w:ascii="Noto Sans CJK SC" w:hAnsi="Noto Sans CJK SC" w:eastAsia="Noto Sans CJK SC"/>
          <w:b w:val="0"/>
          <w:color w:val="17212B"/>
          <w:sz w:val="21"/>
        </w:rPr>
        <w:t>每次POST后不能只看HTTP成功。应保存transaction ID并查询最终处理状态；失败进入人工队列，修正后重提。接口密钥、客户数据和财务数据按最小权限管理。</w:t>
      </w:r>
    </w:p>
    <w:p>
      <w:pPr>
        <w:pStyle w:val="Heading1"/>
        <w:pageBreakBefore/>
        <w:spacing w:before="0" w:after="360"/>
      </w:pPr>
      <w:r>
        <w:rPr>
          <w:rFonts w:ascii="Noto Sans CJK SC" w:hAnsi="Noto Sans CJK SC" w:eastAsia="Noto Sans CJK SC"/>
          <w:b/>
          <w:color w:val="E98400"/>
          <w:sz w:val="44"/>
        </w:rPr>
        <w:t>第八篇 风险、申诉与持续迭代</w:t>
      </w:r>
      <w:r>
        <w:br w:type="page"/>
      </w:r>
    </w:p>
    <w:p>
      <w:pPr>
        <w:pStyle w:val="Heading1"/>
      </w:pPr>
      <w:r>
        <w:rPr>
          <w:rFonts w:ascii="Noto Sans CJK SC" w:hAnsi="Noto Sans CJK SC" w:eastAsia="Noto Sans CJK SC"/>
          <w:b/>
          <w:color w:val="0B1F33"/>
          <w:sz w:val="36"/>
        </w:rPr>
        <w:t>第31章 VC风险红线</w:t>
      </w:r>
    </w:p>
    <w:p>
      <w:r>
        <w:rPr>
          <w:rFonts w:ascii="Noto Sans CJK SC" w:hAnsi="Noto Sans CJK SC" w:eastAsia="Noto Sans CJK SC"/>
          <w:b w:val="0"/>
          <w:color w:val="17212B"/>
          <w:sz w:val="21"/>
        </w:rPr>
        <w:t>VC并不存在一张对所有供应商公开且统一的“账号健康分”。风险通常以PO减少、可售中断、扣款增加、合规任务、付款冻结、条款升级或合作终止表现。</w:t>
      </w:r>
    </w:p>
    <w:p>
      <w:r>
        <w:rPr>
          <w:rFonts w:ascii="Noto Sans CJK SC" w:hAnsi="Noto Sans CJK SC" w:eastAsia="Noto Sans CJK SC"/>
          <w:b w:val="0"/>
          <w:color w:val="17212B"/>
          <w:sz w:val="21"/>
        </w:rPr>
        <w:t>重点红线包括：接受后长期不履约；伪造合规/发运/发票文件；重复或错误开票；产品安全问题不处理；消费者数据滥用；未经授权修改银行或主体信息；大规模目录错误；合同与商业贿赂风险。</w:t>
      </w:r>
    </w:p>
    <w:p>
      <w:r>
        <w:rPr>
          <w:rFonts w:ascii="Noto Sans CJK SC" w:hAnsi="Noto Sans CJK SC" w:eastAsia="Noto Sans CJK SC"/>
          <w:b w:val="0"/>
          <w:color w:val="17212B"/>
          <w:sz w:val="21"/>
        </w:rPr>
        <w:t>风险管理使用“预警—遏制—调查—修复—验证—复盘”六步。不要把开case当作完整解决方案。</w:t>
      </w:r>
    </w:p>
    <w:p>
      <w:pPr>
        <w:pStyle w:val="Heading1"/>
      </w:pPr>
      <w:r>
        <w:rPr>
          <w:rFonts w:ascii="Noto Sans CJK SC" w:hAnsi="Noto Sans CJK SC" w:eastAsia="Noto Sans CJK SC"/>
          <w:b/>
          <w:color w:val="0B1F33"/>
          <w:sz w:val="36"/>
        </w:rPr>
        <w:t>第32章 Case与POA</w:t>
      </w:r>
    </w:p>
    <w:p>
      <w:r>
        <w:rPr>
          <w:rFonts w:ascii="Noto Sans CJK SC" w:hAnsi="Noto Sans CJK SC" w:eastAsia="Noto Sans CJK SC"/>
          <w:b w:val="0"/>
          <w:color w:val="17212B"/>
          <w:sz w:val="21"/>
        </w:rPr>
        <w:t>Case应选对业务域并提供可验证事实。标题包含对象、问题、期望动作；正文包含时间线、影响、已排查项、证据和请求。每次回复都复述未解决点，避免新客服只看到最后一条信息。</w:t>
      </w:r>
    </w:p>
    <w:p>
      <w:r>
        <w:rPr>
          <w:rFonts w:ascii="Noto Sans CJK SC" w:hAnsi="Noto Sans CJK SC" w:eastAsia="Noto Sans CJK SC"/>
          <w:b w:val="0"/>
          <w:color w:val="17212B"/>
          <w:sz w:val="21"/>
        </w:rPr>
        <w:t>POA不是道歉信，而是控制系统说明。标准三段为根因、已采取纠正措施、长期预防措施；每一项写owner、日期、证据与验证结果。根因避免使用“员工疏忽”作为终点，应追到培训、系统校验、权限、SOP或供应商管理为何未能阻止错误。</w:t>
      </w:r>
    </w:p>
    <w:p>
      <w:pPr>
        <w:pStyle w:val="Heading2"/>
      </w:pPr>
      <w:r>
        <w:rPr>
          <w:rFonts w:ascii="Noto Sans CJK SC" w:hAnsi="Noto Sans CJK SC" w:eastAsia="Noto Sans CJK SC"/>
          <w:b/>
          <w:color w:val="2E5E82"/>
          <w:sz w:val="26"/>
        </w:rPr>
        <w:t>32.1 Shortage争议邮件骨架</w:t>
      </w:r>
    </w:p>
    <w:p>
      <w:r>
        <w:rPr>
          <w:rFonts w:ascii="Noto Sans CJK SC" w:hAnsi="Noto Sans CJK SC" w:eastAsia="Noto Sans CJK SC"/>
          <w:b w:val="0"/>
          <w:color w:val="17212B"/>
          <w:sz w:val="21"/>
        </w:rPr>
        <w:t>主题：Dispute – Shortage Chargeback – PO [PO] – Invoice [Invoice] – [Amount]</w:t>
      </w:r>
    </w:p>
    <w:p>
      <w:r>
        <w:rPr>
          <w:rFonts w:ascii="Noto Sans CJK SC" w:hAnsi="Noto Sans CJK SC" w:eastAsia="Noto Sans CJK SC"/>
          <w:b w:val="0"/>
          <w:color w:val="17212B"/>
          <w:sz w:val="21"/>
        </w:rPr>
        <w:t>结论：我们对上述短缺扣款提出争议，箱级发货记录、ASN、承运POD和重量记录显示全部数量已交付。正文依次列出PO确认数量、实际箱数与数量、交接与签收时间、Amazon接收差异，并在附件索引中逐一指向证据。请求明确写“请复核接收记录并冲回金额”。</w:t>
      </w:r>
    </w:p>
    <w:p>
      <w:pPr>
        <w:pStyle w:val="Heading2"/>
      </w:pPr>
      <w:r>
        <w:rPr>
          <w:rFonts w:ascii="Noto Sans CJK SC" w:hAnsi="Noto Sans CJK SC" w:eastAsia="Noto Sans CJK SC"/>
          <w:b/>
          <w:color w:val="2E5E82"/>
          <w:sz w:val="26"/>
        </w:rPr>
        <w:t>32.2 Bulk Buy谈判邮件骨架</w:t>
      </w:r>
    </w:p>
    <w:p>
      <w:r>
        <w:rPr>
          <w:rFonts w:ascii="Noto Sans CJK SC" w:hAnsi="Noto Sans CJK SC" w:eastAsia="Noto Sans CJK SC"/>
          <w:b w:val="0"/>
          <w:color w:val="17212B"/>
          <w:sz w:val="21"/>
        </w:rPr>
        <w:t>先确认可提供数量和最早交付窗口，再说明当前报价对单位净回款的影响，提出A/B方案：提高cost，或维持cost但交换明确Deal/广告/付款/退货条件。不要只说“利润太低”。</w:t>
      </w:r>
    </w:p>
    <w:p>
      <w:pPr>
        <w:pStyle w:val="Heading1"/>
        <w:pageBreakBefore/>
      </w:pPr>
      <w:r>
        <w:rPr>
          <w:rFonts w:ascii="Noto Sans CJK SC" w:hAnsi="Noto Sans CJK SC" w:eastAsia="Noto Sans CJK SC"/>
          <w:b/>
          <w:color w:val="0B1F33"/>
          <w:sz w:val="36"/>
        </w:rPr>
        <w:t>附录A VC核心术语表</w:t>
      </w:r>
    </w:p>
    <w:tbl>
      <w:tblPr>
        <w:tblStyle w:val="TableGrid"/>
        <w:tblW w:type="dxa" w:w="9360"/>
        <w:jc w:val="left"/>
        <w:tblLayout w:type="fixed"/>
        <w:tblLook w:firstColumn="1" w:firstRow="1" w:lastColumn="0" w:lastRow="0" w:noHBand="0" w:noVBand="1" w:val="04A0"/>
        <w:tblInd w:w="120" w:type="dxa"/>
      </w:tblPr>
      <w:tblGrid>
        <w:gridCol w:w="3064"/>
        <w:gridCol w:w="3147"/>
        <w:gridCol w:w="3149"/>
      </w:tblGrid>
      <w:tr>
        <w:trPr>
          <w:trHeight w:hRule="atLeast"/>
          <w:tblHeader w:val="true"/>
        </w:trPr>
        <w:tc>
          <w:tcPr>
            <w:tcW w:type="dxa" w:w="3064"/>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术语</w:t>
            </w:r>
          </w:p>
        </w:tc>
        <w:tc>
          <w:tcPr>
            <w:tcW w:type="dxa" w:w="3147"/>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中文解释</w:t>
            </w:r>
          </w:p>
        </w:tc>
        <w:tc>
          <w:tcPr>
            <w:tcW w:type="dxa" w:w="3149"/>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操作意义</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ASIN</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Amazon商品识别码</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目录与零售分析主键之一</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Vendor Code</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供应商业务代码</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连接合同、PO、发票与站点</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采购订单</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采购数量、价格、时间与地点依据</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Acknowledgement</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订单确认</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接受/拒绝/变更可履约数量</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ASN/Shipment Confirmation</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装运通知/货件确认</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连接PO、箱/托盘、承运与追踪</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POD</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签收证明</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证明承运交付，不必然证明SKU数量</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Cost</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亚马逊采购价</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供应商发票与零售利润的核心输入</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List Price</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建议/参考零售价属性</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不等于Amazon实际零售价</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MDF/Co-op</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营销发展基金/合作营销费用</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常见协议性扣减或预算</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Chargeback</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运营/合规/履约扣款</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需预防、争议与根因关闭</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Remittance</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汇款通知/付款明细</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发票到现金的桥接依据</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DF</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Direct Fulfillment</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供应商直接履行消费者订单的项目</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DI</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Direct Import</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直接进口采购合作模式</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BTR</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Born to Run</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新品/采购项目；具体库存退出和退货责任以接受条款为准</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Credit Note</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贷项通知</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在适用站点用于退货、价格更正或折让等逆向结算</w:t>
            </w:r>
          </w:p>
        </w:tc>
      </w:tr>
      <w:tr>
        <w:trPr>
          <w:trHeight w:hRule="atLeast"/>
        </w:trPr>
        <w:tc>
          <w:tcPr>
            <w:tcW w:type="dxa" w:w="306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Shortage</w:t>
            </w:r>
          </w:p>
        </w:tc>
        <w:tc>
          <w:tcPr>
            <w:tcW w:type="dxa" w:w="3147"/>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短缺/短收差异</w:t>
            </w:r>
          </w:p>
        </w:tc>
        <w:tc>
          <w:tcPr>
            <w:tcW w:type="dxa" w:w="3149"/>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需用箱级数量、ASN、重量与POD重建事实</w:t>
            </w:r>
          </w:p>
        </w:tc>
      </w:tr>
      <w:tr>
        <w:trPr>
          <w:trHeight w:hRule="atLeast"/>
        </w:trPr>
        <w:tc>
          <w:tcPr>
            <w:tcW w:type="dxa" w:w="306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SIPP</w:t>
            </w:r>
          </w:p>
        </w:tc>
        <w:tc>
          <w:tcPr>
            <w:tcW w:type="dxa" w:w="3147"/>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Ships in Product Packaging</w:t>
            </w:r>
          </w:p>
        </w:tc>
        <w:tc>
          <w:tcPr>
            <w:tcW w:type="dxa" w:w="3149"/>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原SIOC名称体系的更新表达</w:t>
            </w:r>
          </w:p>
        </w:tc>
      </w:tr>
    </w:tbl>
    <w:p>
      <w:pPr>
        <w:spacing w:after="20"/>
      </w:pPr>
    </w:p>
    <w:p>
      <w:pPr>
        <w:pStyle w:val="Heading1"/>
      </w:pPr>
      <w:r>
        <w:rPr>
          <w:rFonts w:ascii="Noto Sans CJK SC" w:hAnsi="Noto Sans CJK SC" w:eastAsia="Noto Sans CJK SC"/>
          <w:b/>
          <w:color w:val="0B1F33"/>
          <w:sz w:val="36"/>
        </w:rPr>
        <w:t>附录B 新PO接单检查表</w:t>
      </w:r>
    </w:p>
    <w:p>
      <w:pPr>
        <w:pStyle w:val="Checklist"/>
      </w:pPr>
      <w:r>
        <w:rPr>
          <w:rFonts w:ascii="Noto Sans CJK SC" w:hAnsi="Noto Sans CJK SC" w:eastAsia="Noto Sans CJK SC"/>
          <w:b w:val="0"/>
          <w:color w:val="17212B"/>
          <w:sz w:val="21"/>
        </w:rPr>
        <w:t>☐ vendor code、站点、PO与版本正确。</w:t>
      </w:r>
    </w:p>
    <w:p>
      <w:pPr>
        <w:pStyle w:val="Checklist"/>
      </w:pPr>
      <w:r>
        <w:rPr>
          <w:rFonts w:ascii="Noto Sans CJK SC" w:hAnsi="Noto Sans CJK SC" w:eastAsia="Noto Sans CJK SC"/>
          <w:b w:val="0"/>
          <w:color w:val="17212B"/>
          <w:sz w:val="21"/>
        </w:rPr>
        <w:t>☐ ASIN/SKU、case pack、单位、数量和cost正确。</w:t>
      </w:r>
    </w:p>
    <w:p>
      <w:pPr>
        <w:pStyle w:val="Checklist"/>
      </w:pPr>
      <w:r>
        <w:rPr>
          <w:rFonts w:ascii="Noto Sans CJK SC" w:hAnsi="Noto Sans CJK SC" w:eastAsia="Noto Sans CJK SC"/>
          <w:b w:val="0"/>
          <w:color w:val="17212B"/>
          <w:sz w:val="21"/>
        </w:rPr>
        <w:t>☐ response-by date和发运/到货窗口已记录。</w:t>
      </w:r>
    </w:p>
    <w:p>
      <w:pPr>
        <w:pStyle w:val="Checklist"/>
      </w:pPr>
      <w:r>
        <w:rPr>
          <w:rFonts w:ascii="Noto Sans CJK SC" w:hAnsi="Noto Sans CJK SC" w:eastAsia="Noto Sans CJK SC"/>
          <w:b w:val="0"/>
          <w:color w:val="17212B"/>
          <w:sz w:val="21"/>
        </w:rPr>
        <w:t>☐ 供应商可用库存、产能与运输时间可满足。</w:t>
      </w:r>
    </w:p>
    <w:p>
      <w:pPr>
        <w:pStyle w:val="Checklist"/>
      </w:pPr>
      <w:r>
        <w:rPr>
          <w:rFonts w:ascii="Noto Sans CJK SC" w:hAnsi="Noto Sans CJK SC" w:eastAsia="Noto Sans CJK SC"/>
          <w:b w:val="0"/>
          <w:color w:val="17212B"/>
          <w:sz w:val="21"/>
        </w:rPr>
        <w:t>☐ ship-from、ship-to、freight terms和预约要求明确。</w:t>
      </w:r>
    </w:p>
    <w:p>
      <w:pPr>
        <w:pStyle w:val="Checklist"/>
      </w:pPr>
      <w:r>
        <w:rPr>
          <w:rFonts w:ascii="Noto Sans CJK SC" w:hAnsi="Noto Sans CJK SC" w:eastAsia="Noto Sans CJK SC"/>
          <w:b w:val="0"/>
          <w:color w:val="17212B"/>
          <w:sz w:val="21"/>
        </w:rPr>
        <w:t>☐ 特殊标签、单证、合规和包装要求已确认。</w:t>
      </w:r>
    </w:p>
    <w:p>
      <w:pPr>
        <w:pStyle w:val="Checklist"/>
      </w:pPr>
      <w:r>
        <w:rPr>
          <w:rFonts w:ascii="Noto Sans CJK SC" w:hAnsi="Noto Sans CJK SC" w:eastAsia="Noto Sans CJK SC"/>
          <w:b w:val="0"/>
          <w:color w:val="17212B"/>
          <w:sz w:val="21"/>
        </w:rPr>
        <w:t>☐ 接受/变更/拒绝决定经授权人审批。</w:t>
      </w:r>
    </w:p>
    <w:p>
      <w:pPr>
        <w:pStyle w:val="Checklist"/>
      </w:pPr>
      <w:r>
        <w:rPr>
          <w:rFonts w:ascii="Noto Sans CJK SC" w:hAnsi="Noto Sans CJK SC" w:eastAsia="Noto Sans CJK SC"/>
          <w:b w:val="0"/>
          <w:color w:val="17212B"/>
          <w:sz w:val="21"/>
        </w:rPr>
        <w:t>☐ 台账、WMS/ERP和责任人已同步。</w:t>
      </w:r>
    </w:p>
    <w:p>
      <w:pPr>
        <w:pStyle w:val="Heading1"/>
      </w:pPr>
      <w:r>
        <w:rPr>
          <w:rFonts w:ascii="Noto Sans CJK SC" w:hAnsi="Noto Sans CJK SC" w:eastAsia="Noto Sans CJK SC"/>
          <w:b/>
          <w:color w:val="0B1F33"/>
          <w:sz w:val="36"/>
        </w:rPr>
        <w:t>附录C 发票与回款月结检查表</w:t>
      </w:r>
    </w:p>
    <w:p>
      <w:pPr>
        <w:pStyle w:val="Checklist"/>
      </w:pPr>
      <w:r>
        <w:rPr>
          <w:rFonts w:ascii="Noto Sans CJK SC" w:hAnsi="Noto Sans CJK SC" w:eastAsia="Noto Sans CJK SC"/>
          <w:b w:val="0"/>
          <w:color w:val="17212B"/>
          <w:sz w:val="21"/>
        </w:rPr>
        <w:t>☐ 所有已满足开票条件的货件均已开票。</w:t>
      </w:r>
    </w:p>
    <w:p>
      <w:pPr>
        <w:pStyle w:val="Checklist"/>
      </w:pPr>
      <w:r>
        <w:rPr>
          <w:rFonts w:ascii="Noto Sans CJK SC" w:hAnsi="Noto Sans CJK SC" w:eastAsia="Noto Sans CJK SC"/>
          <w:b w:val="0"/>
          <w:color w:val="17212B"/>
          <w:sz w:val="21"/>
        </w:rPr>
        <w:t>☐ 发票PO、单位、数量、cost、税与币种一致。</w:t>
      </w:r>
    </w:p>
    <w:p>
      <w:pPr>
        <w:pStyle w:val="Checklist"/>
      </w:pPr>
      <w:r>
        <w:rPr>
          <w:rFonts w:ascii="Noto Sans CJK SC" w:hAnsi="Noto Sans CJK SC" w:eastAsia="Noto Sans CJK SC"/>
          <w:b w:val="0"/>
          <w:color w:val="17212B"/>
          <w:sz w:val="21"/>
        </w:rPr>
        <w:t>☐ 现金到账已分配到发票或有未分配说明。</w:t>
      </w:r>
    </w:p>
    <w:p>
      <w:pPr>
        <w:pStyle w:val="Checklist"/>
      </w:pPr>
      <w:r>
        <w:rPr>
          <w:rFonts w:ascii="Noto Sans CJK SC" w:hAnsi="Noto Sans CJK SC" w:eastAsia="Noto Sans CJK SC"/>
          <w:b w:val="0"/>
          <w:color w:val="17212B"/>
          <w:sz w:val="21"/>
        </w:rPr>
        <w:t>☐ 协议扣款与合同一致，临时扣款有原因码。</w:t>
      </w:r>
    </w:p>
    <w:p>
      <w:pPr>
        <w:pStyle w:val="Checklist"/>
      </w:pPr>
      <w:r>
        <w:rPr>
          <w:rFonts w:ascii="Noto Sans CJK SC" w:hAnsi="Noto Sans CJK SC" w:eastAsia="Noto Sans CJK SC"/>
          <w:b w:val="0"/>
          <w:color w:val="17212B"/>
          <w:sz w:val="21"/>
        </w:rPr>
        <w:t>☐ Chargeback已按金额与时限排序。</w:t>
      </w:r>
    </w:p>
    <w:p>
      <w:pPr>
        <w:pStyle w:val="Checklist"/>
      </w:pPr>
      <w:r>
        <w:rPr>
          <w:rFonts w:ascii="Noto Sans CJK SC" w:hAnsi="Noto Sans CJK SC" w:eastAsia="Noto Sans CJK SC"/>
          <w:b w:val="0"/>
          <w:color w:val="17212B"/>
          <w:sz w:val="21"/>
        </w:rPr>
        <w:t>☐ 贷项、退货、价格差异和冲销已单独核对。</w:t>
      </w:r>
    </w:p>
    <w:p>
      <w:pPr>
        <w:pStyle w:val="Checklist"/>
      </w:pPr>
      <w:r>
        <w:rPr>
          <w:rFonts w:ascii="Noto Sans CJK SC" w:hAnsi="Noto Sans CJK SC" w:eastAsia="Noto Sans CJK SC"/>
          <w:b w:val="0"/>
          <w:color w:val="17212B"/>
          <w:sz w:val="21"/>
        </w:rPr>
        <w:t>☐ 应收账龄与预计回款日期已更新。</w:t>
      </w:r>
    </w:p>
    <w:p>
      <w:pPr>
        <w:pStyle w:val="Checklist"/>
      </w:pPr>
      <w:r>
        <w:rPr>
          <w:rFonts w:ascii="Noto Sans CJK SC" w:hAnsi="Noto Sans CJK SC" w:eastAsia="Noto Sans CJK SC"/>
          <w:b w:val="0"/>
          <w:color w:val="17212B"/>
          <w:sz w:val="21"/>
        </w:rPr>
        <w:t>☐ 月末桥接差异为零或有可追踪解释。</w:t>
      </w:r>
    </w:p>
    <w:p>
      <w:pPr>
        <w:pStyle w:val="Heading1"/>
      </w:pPr>
      <w:r>
        <w:rPr>
          <w:rFonts w:ascii="Noto Sans CJK SC" w:hAnsi="Noto Sans CJK SC" w:eastAsia="Noto Sans CJK SC"/>
          <w:b/>
          <w:color w:val="0B1F33"/>
          <w:sz w:val="36"/>
        </w:rPr>
        <w:t>附录D Remittance字段映射与异常表</w:t>
      </w:r>
    </w:p>
    <w:p>
      <w:r>
        <w:rPr>
          <w:rFonts w:ascii="Noto Sans CJK SC" w:hAnsi="Noto Sans CJK SC" w:eastAsia="Noto Sans CJK SC"/>
          <w:b w:val="0"/>
          <w:color w:val="17212B"/>
          <w:sz w:val="21"/>
        </w:rPr>
        <w:t>首次下载任一站点Remittance后，复制以下结构并保留源文件只读副本。</w:t>
      </w:r>
    </w:p>
    <w:tbl>
      <w:tblPr>
        <w:tblStyle w:val="TableGrid"/>
        <w:tblW w:type="dxa" w:w="9360"/>
        <w:jc w:val="left"/>
        <w:tblLayout w:type="fixed"/>
        <w:tblLook w:firstColumn="1" w:firstRow="1" w:lastColumn="0" w:lastRow="0" w:noHBand="0" w:noVBand="1" w:val="04A0"/>
        <w:tblInd w:w="120" w:type="dxa"/>
      </w:tblPr>
      <w:tblGrid>
        <w:gridCol w:w="1330"/>
        <w:gridCol w:w="1991"/>
        <w:gridCol w:w="1771"/>
        <w:gridCol w:w="1605"/>
        <w:gridCol w:w="1330"/>
        <w:gridCol w:w="1333"/>
      </w:tblGrid>
      <w:tr>
        <w:trPr>
          <w:trHeight w:hRule="atLeast"/>
          <w:tblHeader w:val="true"/>
        </w:trPr>
        <w:tc>
          <w:tcPr>
            <w:tcW w:type="dxa" w:w="1330"/>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原始列名</w:t>
            </w:r>
          </w:p>
        </w:tc>
        <w:tc>
          <w:tcPr>
            <w:tcW w:type="dxa" w:w="1991"/>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标准字段</w:t>
            </w:r>
          </w:p>
        </w:tc>
        <w:tc>
          <w:tcPr>
            <w:tcW w:type="dxa" w:w="1771"/>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定义</w:t>
            </w:r>
          </w:p>
        </w:tc>
        <w:tc>
          <w:tcPr>
            <w:tcW w:type="dxa" w:w="1605"/>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正负号规则</w:t>
            </w:r>
          </w:p>
        </w:tc>
        <w:tc>
          <w:tcPr>
            <w:tcW w:type="dxa" w:w="1330"/>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主键/关联键</w:t>
            </w:r>
          </w:p>
        </w:tc>
        <w:tc>
          <w:tcPr>
            <w:tcW w:type="dxa" w:w="1333"/>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7"/>
              </w:rPr>
              <w:t>Owner</w:t>
            </w:r>
          </w:p>
        </w:tc>
      </w:tr>
      <w:tr>
        <w:trPr>
          <w:trHeight w:hRule="atLeast"/>
        </w:trPr>
        <w:tc>
          <w:tcPr>
            <w:tcW w:type="dxa" w:w="133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[源字段]</w:t>
            </w:r>
          </w:p>
        </w:tc>
        <w:tc>
          <w:tcPr>
            <w:tcW w:type="dxa" w:w="199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remittanceId</w:t>
            </w:r>
          </w:p>
        </w:tc>
        <w:tc>
          <w:tcPr>
            <w:tcW w:type="dxa" w:w="177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汇款批次唯一标识</w:t>
            </w:r>
          </w:p>
        </w:tc>
        <w:tc>
          <w:tcPr>
            <w:tcW w:type="dxa" w:w="160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不适用</w:t>
            </w:r>
          </w:p>
        </w:tc>
        <w:tc>
          <w:tcPr>
            <w:tcW w:type="dxa" w:w="133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主键之一</w:t>
            </w:r>
          </w:p>
        </w:tc>
        <w:tc>
          <w:tcPr>
            <w:tcW w:type="dxa" w:w="133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r>
      <w:tr>
        <w:trPr>
          <w:trHeight w:hRule="atLeast"/>
        </w:trPr>
        <w:tc>
          <w:tcPr>
            <w:tcW w:type="dxa" w:w="133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[源字段]</w:t>
            </w:r>
          </w:p>
        </w:tc>
        <w:tc>
          <w:tcPr>
            <w:tcW w:type="dxa" w:w="199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sourceReference</w:t>
            </w:r>
          </w:p>
        </w:tc>
        <w:tc>
          <w:tcPr>
            <w:tcW w:type="dxa" w:w="177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发票/扣款/贷项原始引用</w:t>
            </w:r>
          </w:p>
        </w:tc>
        <w:tc>
          <w:tcPr>
            <w:tcW w:type="dxa" w:w="160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不适用</w:t>
            </w:r>
          </w:p>
        </w:tc>
        <w:tc>
          <w:tcPr>
            <w:tcW w:type="dxa" w:w="133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关联键</w:t>
            </w:r>
          </w:p>
        </w:tc>
        <w:tc>
          <w:tcPr>
            <w:tcW w:type="dxa" w:w="133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r>
      <w:tr>
        <w:trPr>
          <w:trHeight w:hRule="atLeast"/>
        </w:trPr>
        <w:tc>
          <w:tcPr>
            <w:tcW w:type="dxa" w:w="133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[源字段]</w:t>
            </w:r>
          </w:p>
        </w:tc>
        <w:tc>
          <w:tcPr>
            <w:tcW w:type="dxa" w:w="199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standardizedType</w:t>
            </w:r>
          </w:p>
        </w:tc>
        <w:tc>
          <w:tcPr>
            <w:tcW w:type="dxa" w:w="177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内部标准交易类型</w:t>
            </w:r>
          </w:p>
        </w:tc>
        <w:tc>
          <w:tcPr>
            <w:tcW w:type="dxa" w:w="160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不适用</w:t>
            </w:r>
          </w:p>
        </w:tc>
        <w:tc>
          <w:tcPr>
            <w:tcW w:type="dxa" w:w="133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分类键</w:t>
            </w:r>
          </w:p>
        </w:tc>
        <w:tc>
          <w:tcPr>
            <w:tcW w:type="dxa" w:w="133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财务/业务</w:t>
            </w:r>
          </w:p>
        </w:tc>
      </w:tr>
      <w:tr>
        <w:trPr>
          <w:trHeight w:hRule="atLeast"/>
        </w:trPr>
        <w:tc>
          <w:tcPr>
            <w:tcW w:type="dxa" w:w="133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[源字段]</w:t>
            </w:r>
          </w:p>
        </w:tc>
        <w:tc>
          <w:tcPr>
            <w:tcW w:type="dxa" w:w="199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standardizedAmount</w:t>
            </w:r>
          </w:p>
        </w:tc>
        <w:tc>
          <w:tcPr>
            <w:tcW w:type="dxa" w:w="177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对供应商应收的标准化影响</w:t>
            </w:r>
          </w:p>
        </w:tc>
        <w:tc>
          <w:tcPr>
            <w:tcW w:type="dxa" w:w="160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增应收为正、减应收为负</w:t>
            </w:r>
          </w:p>
        </w:tc>
        <w:tc>
          <w:tcPr>
            <w:tcW w:type="dxa" w:w="133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金额</w:t>
            </w:r>
          </w:p>
        </w:tc>
        <w:tc>
          <w:tcPr>
            <w:tcW w:type="dxa" w:w="133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r>
      <w:tr>
        <w:trPr>
          <w:trHeight w:hRule="atLeast"/>
        </w:trPr>
        <w:tc>
          <w:tcPr>
            <w:tcW w:type="dxa" w:w="133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[源字段]</w:t>
            </w:r>
          </w:p>
        </w:tc>
        <w:tc>
          <w:tcPr>
            <w:tcW w:type="dxa" w:w="199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originalReasonCode</w:t>
            </w:r>
          </w:p>
        </w:tc>
        <w:tc>
          <w:tcPr>
            <w:tcW w:type="dxa" w:w="1771"/>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Amazon原始原因码</w:t>
            </w:r>
          </w:p>
        </w:tc>
        <w:tc>
          <w:tcPr>
            <w:tcW w:type="dxa" w:w="1605"/>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不适用</w:t>
            </w:r>
          </w:p>
        </w:tc>
        <w:tc>
          <w:tcPr>
            <w:tcW w:type="dxa" w:w="1330"/>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原因码键</w:t>
            </w:r>
          </w:p>
        </w:tc>
        <w:tc>
          <w:tcPr>
            <w:tcW w:type="dxa" w:w="1333"/>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财务</w:t>
            </w:r>
          </w:p>
        </w:tc>
      </w:tr>
      <w:tr>
        <w:trPr>
          <w:trHeight w:hRule="atLeast"/>
        </w:trPr>
        <w:tc>
          <w:tcPr>
            <w:tcW w:type="dxa" w:w="133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[源字段]</w:t>
            </w:r>
          </w:p>
        </w:tc>
        <w:tc>
          <w:tcPr>
            <w:tcW w:type="dxa" w:w="199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poAsinShipment</w:t>
            </w:r>
          </w:p>
        </w:tc>
        <w:tc>
          <w:tcPr>
            <w:tcW w:type="dxa" w:w="1771"/>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PO/ASIN/货件连接字段</w:t>
            </w:r>
          </w:p>
        </w:tc>
        <w:tc>
          <w:tcPr>
            <w:tcW w:type="dxa" w:w="1605"/>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不适用</w:t>
            </w:r>
          </w:p>
        </w:tc>
        <w:tc>
          <w:tcPr>
            <w:tcW w:type="dxa" w:w="1330"/>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业务关联</w:t>
            </w:r>
          </w:p>
        </w:tc>
        <w:tc>
          <w:tcPr>
            <w:tcW w:type="dxa" w:w="1333"/>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7"/>
              </w:rPr>
              <w:t>运营</w:t>
            </w:r>
          </w:p>
        </w:tc>
      </w:tr>
    </w:tbl>
    <w:p>
      <w:pPr>
        <w:spacing w:after="20"/>
      </w:pPr>
    </w:p>
    <w:p>
      <w:r>
        <w:rPr>
          <w:rFonts w:ascii="Noto Sans CJK SC" w:hAnsi="Noto Sans CJK SC" w:eastAsia="Noto Sans CJK SC"/>
          <w:b w:val="0"/>
          <w:color w:val="17212B"/>
          <w:sz w:val="21"/>
        </w:rPr>
        <w:t>异常表固定字段：异常ID、vendor code、站点、Remittance ID、原始reference、原始reason、标准类型、金额/币种、PO/Invoice/ASIN、发现日、争议截止日、证据完整度、预计胜率、Owner、下一动作、Case ID、决定、Credit posted、Cash recovered、关闭日。</w:t>
      </w:r>
    </w:p>
    <w:p>
      <w:pPr>
        <w:pStyle w:val="Heading1"/>
      </w:pPr>
      <w:r>
        <w:rPr>
          <w:rFonts w:ascii="Noto Sans CJK SC" w:hAnsi="Noto Sans CJK SC" w:eastAsia="Noto Sans CJK SC"/>
          <w:b/>
          <w:color w:val="0B1F33"/>
          <w:sz w:val="36"/>
        </w:rPr>
        <w:t>附录E Chargeback争议提交检查表</w:t>
      </w:r>
    </w:p>
    <w:p>
      <w:pPr>
        <w:pStyle w:val="Checklist"/>
      </w:pPr>
      <w:r>
        <w:rPr>
          <w:rFonts w:ascii="Noto Sans CJK SC" w:hAnsi="Noto Sans CJK SC" w:eastAsia="Noto Sans CJK SC"/>
          <w:b w:val="0"/>
          <w:color w:val="17212B"/>
          <w:sz w:val="21"/>
        </w:rPr>
        <w:t>☐ 原始reason code、description、reference、金额和币种已锁定。</w:t>
      </w:r>
    </w:p>
    <w:p>
      <w:pPr>
        <w:pStyle w:val="Checklist"/>
      </w:pPr>
      <w:r>
        <w:rPr>
          <w:rFonts w:ascii="Noto Sans CJK SC" w:hAnsi="Noto Sans CJK SC" w:eastAsia="Noto Sans CJK SC"/>
          <w:b w:val="0"/>
          <w:color w:val="17212B"/>
          <w:sz w:val="21"/>
        </w:rPr>
        <w:t>☐ 争议入口、截止时间和账号当前要求已核对。</w:t>
      </w:r>
    </w:p>
    <w:p>
      <w:pPr>
        <w:pStyle w:val="Checklist"/>
      </w:pPr>
      <w:r>
        <w:rPr>
          <w:rFonts w:ascii="Noto Sans CJK SC" w:hAnsi="Noto Sans CJK SC" w:eastAsia="Noto Sans CJK SC"/>
          <w:b w:val="0"/>
          <w:color w:val="17212B"/>
          <w:sz w:val="21"/>
        </w:rPr>
        <w:t>☐ PO当前版本与历史变更完整。</w:t>
      </w:r>
    </w:p>
    <w:p>
      <w:pPr>
        <w:pStyle w:val="Checklist"/>
      </w:pPr>
      <w:r>
        <w:rPr>
          <w:rFonts w:ascii="Noto Sans CJK SC" w:hAnsi="Noto Sans CJK SC" w:eastAsia="Noto Sans CJK SC"/>
          <w:b w:val="0"/>
          <w:color w:val="17212B"/>
          <w:sz w:val="21"/>
        </w:rPr>
        <w:t>☐ Acknowledgement、ASN/Shipment回执可验证。</w:t>
      </w:r>
    </w:p>
    <w:p>
      <w:pPr>
        <w:pStyle w:val="Checklist"/>
      </w:pPr>
      <w:r>
        <w:rPr>
          <w:rFonts w:ascii="Noto Sans CJK SC" w:hAnsi="Noto Sans CJK SC" w:eastAsia="Noto Sans CJK SC"/>
          <w:b w:val="0"/>
          <w:color w:val="17212B"/>
          <w:sz w:val="21"/>
        </w:rPr>
        <w:t>☐ 箱级清单、扫描、重量、标签和照片可对应。</w:t>
      </w:r>
    </w:p>
    <w:p>
      <w:pPr>
        <w:pStyle w:val="Checklist"/>
      </w:pPr>
      <w:r>
        <w:rPr>
          <w:rFonts w:ascii="Noto Sans CJK SC" w:hAnsi="Noto Sans CJK SC" w:eastAsia="Noto Sans CJK SC"/>
          <w:b w:val="0"/>
          <w:color w:val="17212B"/>
          <w:sz w:val="21"/>
        </w:rPr>
        <w:t>☐ 预约、承运轨迹和POD时间线无矛盾。</w:t>
      </w:r>
    </w:p>
    <w:p>
      <w:pPr>
        <w:pStyle w:val="Checklist"/>
      </w:pPr>
      <w:r>
        <w:rPr>
          <w:rFonts w:ascii="Noto Sans CJK SC" w:hAnsi="Noto Sans CJK SC" w:eastAsia="Noto Sans CJK SC"/>
          <w:b w:val="0"/>
          <w:color w:val="17212B"/>
          <w:sz w:val="21"/>
        </w:rPr>
        <w:t>☐ 发票、Remittance与争议金额已逐行勾稽。</w:t>
      </w:r>
    </w:p>
    <w:p>
      <w:pPr>
        <w:pStyle w:val="Checklist"/>
      </w:pPr>
      <w:r>
        <w:rPr>
          <w:rFonts w:ascii="Noto Sans CJK SC" w:hAnsi="Noto Sans CJK SC" w:eastAsia="Noto Sans CJK SC"/>
          <w:b w:val="0"/>
          <w:color w:val="17212B"/>
          <w:sz w:val="21"/>
        </w:rPr>
        <w:t>☐ 合同/活动条款引用的是生效版本。</w:t>
      </w:r>
    </w:p>
    <w:p>
      <w:pPr>
        <w:pStyle w:val="Checklist"/>
      </w:pPr>
      <w:r>
        <w:rPr>
          <w:rFonts w:ascii="Noto Sans CJK SC" w:hAnsi="Noto Sans CJK SC" w:eastAsia="Noto Sans CJK SC"/>
          <w:b w:val="0"/>
          <w:color w:val="17212B"/>
          <w:sz w:val="21"/>
        </w:rPr>
        <w:t>☐ 一页结论、附件编号和文件名一致。</w:t>
      </w:r>
    </w:p>
    <w:p>
      <w:pPr>
        <w:pStyle w:val="Checklist"/>
      </w:pPr>
      <w:r>
        <w:rPr>
          <w:rFonts w:ascii="Noto Sans CJK SC" w:hAnsi="Noto Sans CJK SC" w:eastAsia="Noto Sans CJK SC"/>
          <w:b w:val="0"/>
          <w:color w:val="17212B"/>
          <w:sz w:val="21"/>
        </w:rPr>
        <w:t>☐ 请求金额、币种和请求动作明确。</w:t>
      </w:r>
    </w:p>
    <w:p>
      <w:pPr>
        <w:pStyle w:val="Checklist"/>
      </w:pPr>
      <w:r>
        <w:rPr>
          <w:rFonts w:ascii="Noto Sans CJK SC" w:hAnsi="Noto Sans CJK SC" w:eastAsia="Noto Sans CJK SC"/>
          <w:b w:val="0"/>
          <w:color w:val="17212B"/>
          <w:sz w:val="21"/>
        </w:rPr>
        <w:t>☐ 提交后Case ID和下一检查日已登记。</w:t>
      </w:r>
    </w:p>
    <w:p>
      <w:pPr>
        <w:pStyle w:val="Checklist"/>
      </w:pPr>
      <w:r>
        <w:rPr>
          <w:rFonts w:ascii="Noto Sans CJK SC" w:hAnsi="Noto Sans CJK SC" w:eastAsia="Noto Sans CJK SC"/>
          <w:b w:val="0"/>
          <w:color w:val="17212B"/>
          <w:sz w:val="21"/>
        </w:rPr>
        <w:t>☐ 获批后已追踪Credit/Reversal与实际现金。</w:t>
      </w:r>
    </w:p>
    <w:p>
      <w:pPr>
        <w:pStyle w:val="Heading1"/>
      </w:pPr>
      <w:r>
        <w:rPr>
          <w:rFonts w:ascii="Noto Sans CJK SC" w:hAnsi="Noto Sans CJK SC" w:eastAsia="Noto Sans CJK SC"/>
          <w:b/>
          <w:color w:val="0B1F33"/>
          <w:sz w:val="36"/>
        </w:rPr>
        <w:t>附录F 13周现金流模型字段</w:t>
      </w:r>
    </w:p>
    <w:tbl>
      <w:tblPr>
        <w:tblStyle w:val="TableGrid"/>
        <w:tblW w:type="dxa" w:w="9360"/>
        <w:jc w:val="left"/>
        <w:tblLayout w:type="fixed"/>
        <w:tblLook w:firstColumn="1" w:firstRow="1" w:lastColumn="0" w:lastRow="0" w:noHBand="0" w:noVBand="1" w:val="04A0"/>
        <w:tblInd w:w="120" w:type="dxa"/>
      </w:tblPr>
      <w:tblGrid>
        <w:gridCol w:w="1778"/>
        <w:gridCol w:w="4634"/>
        <w:gridCol w:w="2948"/>
      </w:tblGrid>
      <w:tr>
        <w:trPr>
          <w:trHeight w:hRule="atLeast"/>
          <w:tblHeader w:val="true"/>
        </w:trPr>
        <w:tc>
          <w:tcPr>
            <w:tcW w:type="dxa" w:w="1778"/>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模块</w:t>
            </w:r>
          </w:p>
        </w:tc>
        <w:tc>
          <w:tcPr>
            <w:tcW w:type="dxa" w:w="4634"/>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字段</w:t>
            </w:r>
          </w:p>
        </w:tc>
        <w:tc>
          <w:tcPr>
            <w:tcW w:type="dxa" w:w="2948"/>
            <w:shd w:fill="0B1F33"/>
            <w:vAlign w:val="center"/>
            <w:tcMar>
              <w:top w:w="90" w:type="dxa"/>
              <w:start w:w="120" w:type="dxa"/>
              <w:bottom w:w="90" w:type="dxa"/>
              <w:end w:w="120" w:type="dxa"/>
            </w:tcMar>
          </w:tcPr>
          <w:p>
            <w:pPr>
              <w:spacing w:after="0"/>
            </w:pPr>
            <w:r>
              <w:rPr>
                <w:b/>
              </w:rPr>
            </w:r>
            <w:r>
              <w:rPr>
                <w:rFonts w:ascii="Noto Sans CJK SC" w:hAnsi="Noto Sans CJK SC" w:eastAsia="Noto Sans CJK SC"/>
                <w:b/>
                <w:color w:val="FFFFFF"/>
                <w:sz w:val="18"/>
              </w:rPr>
              <w:t>计算/用途</w:t>
            </w:r>
          </w:p>
        </w:tc>
      </w:tr>
      <w:tr>
        <w:trPr>
          <w:trHeight w:hRule="atLeast"/>
        </w:trPr>
        <w:tc>
          <w:tcPr>
            <w:tcW w:type="dxa" w:w="177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应收池</w:t>
            </w:r>
          </w:p>
        </w:tc>
        <w:tc>
          <w:tcPr>
            <w:tcW w:type="dxa" w:w="463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发票号、到期日、未结额、风险标签</w:t>
            </w:r>
          </w:p>
        </w:tc>
        <w:tc>
          <w:tcPr>
            <w:tcW w:type="dxa" w:w="294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按到期日进入13周</w:t>
            </w:r>
          </w:p>
        </w:tc>
      </w:tr>
      <w:tr>
        <w:trPr>
          <w:trHeight w:hRule="atLeast"/>
        </w:trPr>
        <w:tc>
          <w:tcPr>
            <w:tcW w:type="dxa" w:w="177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确定扣减</w:t>
            </w:r>
          </w:p>
        </w:tc>
        <w:tc>
          <w:tcPr>
            <w:tcW w:type="dxa" w:w="463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Co-op、Allowance、已知Funding</w:t>
            </w:r>
          </w:p>
        </w:tc>
        <w:tc>
          <w:tcPr>
            <w:tcW w:type="dxa" w:w="294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按合同或已接受活动计入</w:t>
            </w:r>
          </w:p>
        </w:tc>
      </w:tr>
      <w:tr>
        <w:trPr>
          <w:trHeight w:hRule="atLeast"/>
        </w:trPr>
        <w:tc>
          <w:tcPr>
            <w:tcW w:type="dxa" w:w="177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事件扣减</w:t>
            </w:r>
          </w:p>
        </w:tc>
        <w:tc>
          <w:tcPr>
            <w:tcW w:type="dxa" w:w="463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Chargeback、Shortage、Return/BTR</w:t>
            </w:r>
          </w:p>
        </w:tc>
        <w:tc>
          <w:tcPr>
            <w:tcW w:type="dxa" w:w="294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按事件金额和预计损失率计入</w:t>
            </w:r>
          </w:p>
        </w:tc>
      </w:tr>
      <w:tr>
        <w:trPr>
          <w:trHeight w:hRule="atLeast"/>
        </w:trPr>
        <w:tc>
          <w:tcPr>
            <w:tcW w:type="dxa" w:w="177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回收</w:t>
            </w:r>
          </w:p>
        </w:tc>
        <w:tc>
          <w:tcPr>
            <w:tcW w:type="dxa" w:w="463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已获批争议、预计Credit日期、落账率</w:t>
            </w:r>
          </w:p>
        </w:tc>
        <w:tc>
          <w:tcPr>
            <w:tcW w:type="dxa" w:w="294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概率调整后计入，不使用提交金额</w:t>
            </w:r>
          </w:p>
        </w:tc>
      </w:tr>
      <w:tr>
        <w:trPr>
          <w:trHeight w:hRule="atLeast"/>
        </w:trPr>
        <w:tc>
          <w:tcPr>
            <w:tcW w:type="dxa" w:w="177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现金支出</w:t>
            </w:r>
          </w:p>
        </w:tc>
        <w:tc>
          <w:tcPr>
            <w:tcW w:type="dxa" w:w="4634"/>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采购、生产、物流、税、工资、广告</w:t>
            </w:r>
          </w:p>
        </w:tc>
        <w:tc>
          <w:tcPr>
            <w:tcW w:type="dxa" w:w="294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区分刚性和可延后支出</w:t>
            </w:r>
          </w:p>
        </w:tc>
      </w:tr>
      <w:tr>
        <w:trPr>
          <w:trHeight w:hRule="atLeast"/>
        </w:trPr>
        <w:tc>
          <w:tcPr>
            <w:tcW w:type="dxa" w:w="177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结果</w:t>
            </w:r>
          </w:p>
        </w:tc>
        <w:tc>
          <w:tcPr>
            <w:tcW w:type="dxa" w:w="4634"/>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周净现金、期末现金、警戒线缺口</w:t>
            </w:r>
          </w:p>
        </w:tc>
        <w:tc>
          <w:tcPr>
            <w:tcW w:type="dxa" w:w="2948"/>
            <w:shd w:fill="F3F6F8"/>
            <w:vAlign w:val="center"/>
            <w:tcMar>
              <w:top w:w="90" w:type="dxa"/>
              <w:start w:w="120" w:type="dxa"/>
              <w:bottom w:w="90" w:type="dxa"/>
              <w:end w:w="120" w:type="dxa"/>
            </w:tcMar>
          </w:tcPr>
          <w:p>
            <w:pPr>
              <w:spacing w:after="0"/>
            </w:pPr>
            <w:r/>
            <w:r>
              <w:rPr>
                <w:rFonts w:ascii="Noto Sans CJK SC" w:hAnsi="Noto Sans CJK SC" w:eastAsia="Noto Sans CJK SC"/>
                <w:b w:val="0"/>
                <w:color w:val="17212B"/>
                <w:sz w:val="18"/>
              </w:rPr>
              <w:t>触发资金与经营动作</w:t>
            </w:r>
          </w:p>
        </w:tc>
      </w:tr>
    </w:tbl>
    <w:p>
      <w:pPr>
        <w:spacing w:after="20"/>
      </w:pPr>
    </w:p>
    <w:p>
      <w:r>
        <w:rPr>
          <w:rFonts w:ascii="Noto Sans CJK SC" w:hAnsi="Noto Sans CJK SC" w:eastAsia="Noto Sans CJK SC"/>
          <w:b w:val="0"/>
          <w:color w:val="17212B"/>
          <w:sz w:val="21"/>
        </w:rPr>
        <w:t>模型至少输出基准、压力和极端三种情景。每周滚动一期并复盘“上周预测—实际到账—偏差原因”，否则13周模型会快速变成静态预算。</w:t>
      </w:r>
    </w:p>
    <w:p>
      <w:pPr>
        <w:pStyle w:val="Heading1"/>
      </w:pPr>
      <w:r>
        <w:rPr>
          <w:rFonts w:ascii="Noto Sans CJK SC" w:hAnsi="Noto Sans CJK SC" w:eastAsia="Noto Sans CJK SC"/>
          <w:b/>
          <w:color w:val="0B1F33"/>
          <w:sz w:val="36"/>
        </w:rPr>
        <w:t>附录G BTR退货结算取证清单</w:t>
      </w:r>
    </w:p>
    <w:p>
      <w:pPr>
        <w:pStyle w:val="Checklist"/>
      </w:pPr>
      <w:r>
        <w:rPr>
          <w:rFonts w:ascii="Noto Sans CJK SC" w:hAnsi="Noto Sans CJK SC" w:eastAsia="Noto Sans CJK SC"/>
          <w:b w:val="0"/>
          <w:color w:val="17212B"/>
          <w:sz w:val="21"/>
        </w:rPr>
        <w:t>☐ BTR提交与接受页面、版本、时间和完整条款。</w:t>
      </w:r>
    </w:p>
    <w:p>
      <w:pPr>
        <w:pStyle w:val="Checklist"/>
      </w:pPr>
      <w:r>
        <w:rPr>
          <w:rFonts w:ascii="Noto Sans CJK SC" w:hAnsi="Noto Sans CJK SC" w:eastAsia="Noto Sans CJK SC"/>
          <w:b w:val="0"/>
          <w:color w:val="17212B"/>
          <w:sz w:val="21"/>
        </w:rPr>
        <w:t>☐ 相关PO、接收数量、发票和历史付款。</w:t>
      </w:r>
    </w:p>
    <w:p>
      <w:pPr>
        <w:pStyle w:val="Checklist"/>
      </w:pPr>
      <w:r>
        <w:rPr>
          <w:rFonts w:ascii="Noto Sans CJK SC" w:hAnsi="Noto Sans CJK SC" w:eastAsia="Noto Sans CJK SC"/>
          <w:b w:val="0"/>
          <w:color w:val="17212B"/>
          <w:sz w:val="21"/>
        </w:rPr>
        <w:t>☐ ASIN冻结/停售通知及冻结前后库存快照。</w:t>
      </w:r>
    </w:p>
    <w:p>
      <w:pPr>
        <w:pStyle w:val="Checklist"/>
      </w:pPr>
      <w:r>
        <w:rPr>
          <w:rFonts w:ascii="Noto Sans CJK SC" w:hAnsi="Noto Sans CJK SC" w:eastAsia="Noto Sans CJK SC"/>
          <w:b w:val="0"/>
          <w:color w:val="17212B"/>
          <w:sz w:val="21"/>
        </w:rPr>
        <w:t>☐ Sell-through、促销和Amazon剩余库存。</w:t>
      </w:r>
    </w:p>
    <w:p>
      <w:pPr>
        <w:pStyle w:val="Checklist"/>
      </w:pPr>
      <w:r>
        <w:rPr>
          <w:rFonts w:ascii="Noto Sans CJK SC" w:hAnsi="Noto Sans CJK SC" w:eastAsia="Noto Sans CJK SC"/>
          <w:b w:val="0"/>
          <w:color w:val="17212B"/>
          <w:sz w:val="21"/>
        </w:rPr>
        <w:t>☐ 退货授权、批次、追踪、实收数量和商品状态。</w:t>
      </w:r>
    </w:p>
    <w:p>
      <w:pPr>
        <w:pStyle w:val="Checklist"/>
      </w:pPr>
      <w:r>
        <w:rPr>
          <w:rFonts w:ascii="Noto Sans CJK SC" w:hAnsi="Noto Sans CJK SC" w:eastAsia="Noto Sans CJK SC"/>
          <w:b w:val="0"/>
          <w:color w:val="17212B"/>
          <w:sz w:val="21"/>
        </w:rPr>
        <w:t>☐ 原Cost、适用税、返程运费、处理费、罚款/Allowance。</w:t>
      </w:r>
    </w:p>
    <w:p>
      <w:pPr>
        <w:pStyle w:val="Checklist"/>
      </w:pPr>
      <w:r>
        <w:rPr>
          <w:rFonts w:ascii="Noto Sans CJK SC" w:hAnsi="Noto Sans CJK SC" w:eastAsia="Noto Sans CJK SC"/>
          <w:b w:val="0"/>
          <w:color w:val="17212B"/>
          <w:sz w:val="21"/>
        </w:rPr>
        <w:t>☐ 每项Debit/Adjustment对应Remittance reference。</w:t>
      </w:r>
    </w:p>
    <w:p>
      <w:pPr>
        <w:pStyle w:val="Checklist"/>
      </w:pPr>
      <w:r>
        <w:rPr>
          <w:rFonts w:ascii="Noto Sans CJK SC" w:hAnsi="Noto Sans CJK SC" w:eastAsia="Noto Sans CJK SC"/>
          <w:b w:val="0"/>
          <w:color w:val="17212B"/>
          <w:sz w:val="21"/>
        </w:rPr>
        <w:t>☐ 任何Credit/Reversal对应原始扣款并已验证现金。</w:t>
      </w:r>
    </w:p>
    <w:p>
      <w:pPr>
        <w:pStyle w:val="Checklist"/>
      </w:pPr>
      <w:r>
        <w:rPr>
          <w:rFonts w:ascii="Noto Sans CJK SC" w:hAnsi="Noto Sans CJK SC" w:eastAsia="Noto Sans CJK SC"/>
          <w:b w:val="0"/>
          <w:color w:val="17212B"/>
          <w:sz w:val="21"/>
        </w:rPr>
        <w:t>☐ 原数量、售出、退回、剩余和处置数量平衡。</w:t>
      </w:r>
    </w:p>
    <w:p>
      <w:pPr>
        <w:pStyle w:val="Checklist"/>
      </w:pPr>
      <w:r>
        <w:rPr>
          <w:rFonts w:ascii="Noto Sans CJK SC" w:hAnsi="Noto Sans CJK SC" w:eastAsia="Noto Sans CJK SC"/>
          <w:b w:val="0"/>
          <w:color w:val="17212B"/>
          <w:sz w:val="21"/>
        </w:rPr>
        <w:t>☐ 未来是否仍可能退货或继续倒扣已有书面确认。</w:t>
      </w:r>
    </w:p>
    <w:p>
      <w:pPr>
        <w:pStyle w:val="Heading1"/>
      </w:pPr>
      <w:r>
        <w:rPr>
          <w:rFonts w:ascii="Noto Sans CJK SC" w:hAnsi="Noto Sans CJK SC" w:eastAsia="Noto Sans CJK SC"/>
          <w:b/>
          <w:color w:val="0B1F33"/>
          <w:sz w:val="36"/>
        </w:rPr>
        <w:t>附录H V0.3-V1.0持续写作路线图</w:t>
      </w:r>
    </w:p>
    <w:p>
      <w:r>
        <w:rPr>
          <w:rFonts w:ascii="Noto Sans CJK SC" w:hAnsi="Noto Sans CJK SC" w:eastAsia="Noto Sans CJK SC"/>
          <w:b w:val="0"/>
          <w:color w:val="17212B"/>
          <w:sz w:val="21"/>
        </w:rPr>
        <w:t>V0.3“目录与合规图解版”：按美国、英国、德国/欧盟拆后台截图，增加电池、电子、儿童、医疗、包装和危险品案例。</w:t>
      </w:r>
    </w:p>
    <w:p>
      <w:r>
        <w:rPr>
          <w:rFonts w:ascii="Noto Sans CJK SC" w:hAnsi="Noto Sans CJK SC" w:eastAsia="Noto Sans CJK SC"/>
          <w:b w:val="0"/>
          <w:color w:val="17212B"/>
          <w:sz w:val="21"/>
        </w:rPr>
        <w:t>V0.4“广告与增长版”：加入Retail Analytics、广告结构、促销日历、SC+VC协同和新品投放案例。</w:t>
      </w:r>
    </w:p>
    <w:p>
      <w:r>
        <w:rPr>
          <w:rFonts w:ascii="Noto Sans CJK SC" w:hAnsi="Noto Sans CJK SC" w:eastAsia="Noto Sans CJK SC"/>
          <w:b w:val="0"/>
          <w:color w:val="17212B"/>
          <w:sz w:val="21"/>
        </w:rPr>
        <w:t>V0.5“团队SOP与系统版”：提供岗位手册、RACI、周报/月报、PO台账、利润模型和SP-API字段映射。</w:t>
      </w:r>
    </w:p>
    <w:p>
      <w:r>
        <w:rPr>
          <w:rFonts w:ascii="Noto Sans CJK SC" w:hAnsi="Noto Sans CJK SC" w:eastAsia="Noto Sans CJK SC"/>
          <w:b w:val="0"/>
          <w:color w:val="17212B"/>
          <w:sz w:val="21"/>
        </w:rPr>
        <w:t>V1.0“出版审校版”：完成法律与税务审阅、全书术语统一、真实案例匿名化、截图版权清理、索引与纸质书排版。</w:t>
      </w:r>
    </w:p>
    <w:p>
      <w:pPr>
        <w:pStyle w:val="Heading1"/>
      </w:pPr>
      <w:r>
        <w:rPr>
          <w:rFonts w:ascii="Noto Sans CJK SC" w:hAnsi="Noto Sans CJK SC" w:eastAsia="Noto Sans CJK SC"/>
          <w:b/>
          <w:color w:val="0B1F33"/>
          <w:sz w:val="36"/>
        </w:rPr>
        <w:t>附录I 主要官方资料与核验入口</w:t>
      </w:r>
    </w:p>
    <w:p>
      <w:r>
        <w:rPr>
          <w:rFonts w:ascii="Noto Sans CJK SC" w:hAnsi="Noto Sans CJK SC" w:eastAsia="Noto Sans CJK SC"/>
          <w:b w:val="0"/>
          <w:color w:val="17212B"/>
          <w:sz w:val="21"/>
        </w:rPr>
        <w:t>以下链接用于读者自行核验最新机制。Vendor Central账号内Help、供应商协议与PO优先级高于本书描述。</w:t>
      </w:r>
    </w:p>
    <w:p>
      <w:pPr>
        <w:numPr>
          <w:ilvl w:val="0"/>
          <w:numId w:val="23"/>
        </w:numPr>
        <w:spacing w:after="80" w:line="300" w:lineRule="auto"/>
      </w:pPr>
      <w:r>
        <w:rPr>
          <w:rFonts w:ascii="Noto Sans CJK SC" w:hAnsi="Noto Sans CJK SC" w:eastAsia="Noto Sans CJK SC"/>
          <w:b w:val="0"/>
          <w:color w:val="17212B"/>
          <w:sz w:val="21"/>
        </w:rPr>
        <w:t>Amazon Vendor Central登录与账号内Help：</w:t>
      </w:r>
      <w:hyperlink r:id="rId19">
        <w:r>
          <w:rPr>
            <w:color w:val="2E5E82"/>
            <w:u w:val="single"/>
          </w:rPr>
          <w:t>https://vendorcentral.amazon.com/</w:t>
        </w:r>
      </w:hyperlink>
    </w:p>
    <w:p>
      <w:pPr>
        <w:numPr>
          <w:ilvl w:val="0"/>
          <w:numId w:val="23"/>
        </w:numPr>
        <w:spacing w:after="80" w:line="300" w:lineRule="auto"/>
      </w:pPr>
      <w:r>
        <w:rPr>
          <w:rFonts w:ascii="Noto Sans CJK SC" w:hAnsi="Noto Sans CJK SC" w:eastAsia="Noto Sans CJK SC"/>
          <w:b w:val="0"/>
          <w:color w:val="17212B"/>
          <w:sz w:val="21"/>
        </w:rPr>
        <w:t>Vendor Retail Procurement Orders API：</w:t>
      </w:r>
      <w:hyperlink r:id="rId20">
        <w:r>
          <w:rPr>
            <w:color w:val="2E5E82"/>
            <w:u w:val="single"/>
          </w:rPr>
          <w:t>https://developer-docs.amazon.com/sp-api/docs/vendor-retail-procurement-orders-api</w:t>
        </w:r>
      </w:hyperlink>
    </w:p>
    <w:p>
      <w:pPr>
        <w:numPr>
          <w:ilvl w:val="0"/>
          <w:numId w:val="23"/>
        </w:numPr>
        <w:spacing w:after="80" w:line="300" w:lineRule="auto"/>
      </w:pPr>
      <w:r>
        <w:rPr>
          <w:rFonts w:ascii="Noto Sans CJK SC" w:hAnsi="Noto Sans CJK SC" w:eastAsia="Noto Sans CJK SC"/>
          <w:b w:val="0"/>
          <w:color w:val="17212B"/>
          <w:sz w:val="21"/>
        </w:rPr>
        <w:t>Vendor Retail Procurement Shipments API：</w:t>
      </w:r>
      <w:hyperlink r:id="rId21">
        <w:r>
          <w:rPr>
            <w:color w:val="2E5E82"/>
            <w:u w:val="single"/>
          </w:rPr>
          <w:t>https://developer-docs.amazon.com/sp-api/docs/vendor-retail-procurement-shipments-api</w:t>
        </w:r>
      </w:hyperlink>
    </w:p>
    <w:p>
      <w:pPr>
        <w:numPr>
          <w:ilvl w:val="0"/>
          <w:numId w:val="23"/>
        </w:numPr>
        <w:spacing w:after="80" w:line="300" w:lineRule="auto"/>
      </w:pPr>
      <w:r>
        <w:rPr>
          <w:rFonts w:ascii="Noto Sans CJK SC" w:hAnsi="Noto Sans CJK SC" w:eastAsia="Noto Sans CJK SC"/>
          <w:b w:val="0"/>
          <w:color w:val="17212B"/>
          <w:sz w:val="21"/>
        </w:rPr>
        <w:t>Vendor Retail Procurement Invoices API：</w:t>
      </w:r>
      <w:hyperlink r:id="rId22">
        <w:r>
          <w:rPr>
            <w:color w:val="2E5E82"/>
            <w:u w:val="single"/>
          </w:rPr>
          <w:t>https://developer-docs.amazon.com/sp-api/docs/vendor-retail-procurement-invoices-api</w:t>
        </w:r>
      </w:hyperlink>
    </w:p>
    <w:p>
      <w:pPr>
        <w:numPr>
          <w:ilvl w:val="0"/>
          <w:numId w:val="23"/>
        </w:numPr>
        <w:spacing w:after="80" w:line="300" w:lineRule="auto"/>
      </w:pPr>
      <w:r>
        <w:rPr>
          <w:rFonts w:ascii="Noto Sans CJK SC" w:hAnsi="Noto Sans CJK SC" w:eastAsia="Noto Sans CJK SC"/>
          <w:b w:val="0"/>
          <w:color w:val="17212B"/>
          <w:sz w:val="21"/>
        </w:rPr>
        <w:t>Vendor Invoices提交要求与站点差异：</w:t>
      </w:r>
      <w:hyperlink r:id="rId23">
        <w:r>
          <w:rPr>
            <w:color w:val="2E5E82"/>
            <w:u w:val="single"/>
          </w:rPr>
          <w:t>https://developer-docs.amazon.com/sp-api/docs/submit-invoices</w:t>
        </w:r>
      </w:hyperlink>
    </w:p>
    <w:p>
      <w:pPr>
        <w:numPr>
          <w:ilvl w:val="0"/>
          <w:numId w:val="23"/>
        </w:numPr>
        <w:spacing w:after="80" w:line="300" w:lineRule="auto"/>
      </w:pPr>
      <w:r>
        <w:rPr>
          <w:rFonts w:ascii="Noto Sans CJK SC" w:hAnsi="Noto Sans CJK SC" w:eastAsia="Noto Sans CJK SC"/>
          <w:b w:val="0"/>
          <w:color w:val="17212B"/>
          <w:sz w:val="21"/>
        </w:rPr>
        <w:t>Vendor Invoices官方字段模型：</w:t>
      </w:r>
      <w:hyperlink r:id="rId24">
        <w:r>
          <w:rPr>
            <w:color w:val="2E5E82"/>
            <w:u w:val="single"/>
          </w:rPr>
          <w:t>https://github.com/amzn/selling-partner-api-models/blob/main/models/vendor-invoices-api-model/vendorInvoices.json</w:t>
        </w:r>
      </w:hyperlink>
    </w:p>
    <w:p>
      <w:pPr>
        <w:numPr>
          <w:ilvl w:val="0"/>
          <w:numId w:val="23"/>
        </w:numPr>
        <w:spacing w:after="80" w:line="300" w:lineRule="auto"/>
      </w:pPr>
      <w:r>
        <w:rPr>
          <w:rFonts w:ascii="Noto Sans CJK SC" w:hAnsi="Noto Sans CJK SC" w:eastAsia="Noto Sans CJK SC"/>
          <w:b w:val="0"/>
          <w:color w:val="17212B"/>
          <w:sz w:val="21"/>
        </w:rPr>
        <w:t>Vendor Direct Fulfillment Payments官方字段模型：</w:t>
      </w:r>
      <w:hyperlink r:id="rId25">
        <w:r>
          <w:rPr>
            <w:color w:val="2E5E82"/>
            <w:u w:val="single"/>
          </w:rPr>
          <w:t>https://github.com/amzn/selling-partner-api-models/blob/main/models/vendor-direct-fulfillment-payments-api-model/vendorDirectFulfillmentPaymentsV1.json</w:t>
        </w:r>
      </w:hyperlink>
    </w:p>
    <w:p>
      <w:pPr>
        <w:numPr>
          <w:ilvl w:val="0"/>
          <w:numId w:val="23"/>
        </w:numPr>
        <w:spacing w:after="80" w:line="300" w:lineRule="auto"/>
      </w:pPr>
      <w:r>
        <w:rPr>
          <w:rFonts w:ascii="Noto Sans CJK SC" w:hAnsi="Noto Sans CJK SC" w:eastAsia="Noto Sans CJK SC"/>
          <w:b w:val="0"/>
          <w:color w:val="17212B"/>
          <w:sz w:val="21"/>
        </w:rPr>
        <w:t>Vendor Transaction Status API：</w:t>
      </w:r>
      <w:hyperlink r:id="rId26">
        <w:r>
          <w:rPr>
            <w:color w:val="2E5E82"/>
            <w:u w:val="single"/>
          </w:rPr>
          <w:t>https://developer-docs.amazon.com/sp-api/docs/vendor-retail-procurement-transaction-status-api</w:t>
        </w:r>
      </w:hyperlink>
    </w:p>
    <w:p>
      <w:pPr>
        <w:numPr>
          <w:ilvl w:val="0"/>
          <w:numId w:val="23"/>
        </w:numPr>
        <w:spacing w:after="80" w:line="300" w:lineRule="auto"/>
      </w:pPr>
      <w:r>
        <w:rPr>
          <w:rFonts w:ascii="Noto Sans CJK SC" w:hAnsi="Noto Sans CJK SC" w:eastAsia="Noto Sans CJK SC"/>
          <w:b w:val="0"/>
          <w:color w:val="17212B"/>
          <w:sz w:val="21"/>
        </w:rPr>
        <w:t>Vendor Direct Fulfillment Workflow Guide：</w:t>
      </w:r>
      <w:hyperlink r:id="rId27">
        <w:r>
          <w:rPr>
            <w:color w:val="2E5E82"/>
            <w:u w:val="single"/>
          </w:rPr>
          <w:t>https://developer-docs.amazon.com/sp-api/docs/vendor-df-workflow-guide</w:t>
        </w:r>
      </w:hyperlink>
    </w:p>
    <w:p>
      <w:pPr>
        <w:numPr>
          <w:ilvl w:val="0"/>
          <w:numId w:val="23"/>
        </w:numPr>
        <w:spacing w:after="80" w:line="300" w:lineRule="auto"/>
      </w:pPr>
      <w:r>
        <w:rPr>
          <w:rFonts w:ascii="Noto Sans CJK SC" w:hAnsi="Noto Sans CJK SC" w:eastAsia="Noto Sans CJK SC"/>
          <w:b w:val="0"/>
          <w:color w:val="17212B"/>
          <w:sz w:val="21"/>
        </w:rPr>
        <w:t>SP-API Vendor Use Cases：</w:t>
      </w:r>
      <w:hyperlink r:id="rId28">
        <w:r>
          <w:rPr>
            <w:color w:val="2E5E82"/>
            <w:u w:val="single"/>
          </w:rPr>
          <w:t>https://developer-docs.amazon.com/sp-api/docs/sp-api-vendor-use-cases</w:t>
        </w:r>
      </w:hyperlink>
    </w:p>
    <w:p>
      <w:pPr>
        <w:numPr>
          <w:ilvl w:val="0"/>
          <w:numId w:val="23"/>
        </w:numPr>
        <w:spacing w:after="80" w:line="300" w:lineRule="auto"/>
      </w:pPr>
      <w:r>
        <w:rPr>
          <w:rFonts w:ascii="Noto Sans CJK SC" w:hAnsi="Noto Sans CJK SC" w:eastAsia="Noto Sans CJK SC"/>
          <w:b w:val="0"/>
          <w:color w:val="17212B"/>
          <w:sz w:val="21"/>
        </w:rPr>
        <w:t>Amazon Payee Central（供应商发票与付款状态入口）：</w:t>
      </w:r>
      <w:hyperlink r:id="rId29">
        <w:r>
          <w:rPr>
            <w:color w:val="2E5E82"/>
            <w:u w:val="single"/>
          </w:rPr>
          <w:t>https://payeecentral.amazon.com/</w:t>
        </w:r>
      </w:hyperlink>
    </w:p>
    <w:p>
      <w:pPr>
        <w:numPr>
          <w:ilvl w:val="0"/>
          <w:numId w:val="23"/>
        </w:numPr>
        <w:spacing w:after="80" w:line="300" w:lineRule="auto"/>
      </w:pPr>
      <w:r>
        <w:rPr>
          <w:rFonts w:ascii="Noto Sans CJK SC" w:hAnsi="Noto Sans CJK SC" w:eastAsia="Noto Sans CJK SC"/>
          <w:b w:val="0"/>
          <w:color w:val="17212B"/>
          <w:sz w:val="21"/>
        </w:rPr>
        <w:t>Amazon Ads供应商指南：</w:t>
      </w:r>
      <w:hyperlink r:id="rId30">
        <w:r>
          <w:rPr>
            <w:color w:val="2E5E82"/>
            <w:u w:val="single"/>
          </w:rPr>
          <w:t>https://advertising.amazon.com/library/guides/vendors</w:t>
        </w:r>
      </w:hyperlink>
    </w:p>
    <w:p>
      <w:pPr>
        <w:numPr>
          <w:ilvl w:val="0"/>
          <w:numId w:val="23"/>
        </w:numPr>
        <w:spacing w:after="80" w:line="300" w:lineRule="auto"/>
      </w:pPr>
      <w:r>
        <w:rPr>
          <w:rFonts w:ascii="Noto Sans CJK SC" w:hAnsi="Noto Sans CJK SC" w:eastAsia="Noto Sans CJK SC"/>
          <w:b w:val="0"/>
          <w:color w:val="17212B"/>
          <w:sz w:val="21"/>
        </w:rPr>
        <w:t>Sponsored Products：</w:t>
      </w:r>
      <w:hyperlink r:id="rId31">
        <w:r>
          <w:rPr>
            <w:color w:val="2E5E82"/>
            <w:u w:val="single"/>
          </w:rPr>
          <w:t>https://advertising.amazon.com/solutions/products/sponsored-products</w:t>
        </w:r>
      </w:hyperlink>
    </w:p>
    <w:p>
      <w:pPr>
        <w:numPr>
          <w:ilvl w:val="0"/>
          <w:numId w:val="23"/>
        </w:numPr>
        <w:spacing w:after="80" w:line="300" w:lineRule="auto"/>
      </w:pPr>
      <w:r>
        <w:rPr>
          <w:rFonts w:ascii="Noto Sans CJK SC" w:hAnsi="Noto Sans CJK SC" w:eastAsia="Noto Sans CJK SC"/>
          <w:b w:val="0"/>
          <w:color w:val="17212B"/>
          <w:sz w:val="21"/>
        </w:rPr>
        <w:t>Sponsored Brands：</w:t>
      </w:r>
      <w:hyperlink r:id="rId32">
        <w:r>
          <w:rPr>
            <w:color w:val="2E5E82"/>
            <w:u w:val="single"/>
          </w:rPr>
          <w:t>https://advertising.amazon.com/solutions/products/sponsored-brands</w:t>
        </w:r>
      </w:hyperlink>
    </w:p>
    <w:p>
      <w:pPr>
        <w:numPr>
          <w:ilvl w:val="0"/>
          <w:numId w:val="23"/>
        </w:numPr>
        <w:spacing w:after="80" w:line="300" w:lineRule="auto"/>
      </w:pPr>
      <w:r>
        <w:rPr>
          <w:rFonts w:ascii="Noto Sans CJK SC" w:hAnsi="Noto Sans CJK SC" w:eastAsia="Noto Sans CJK SC"/>
          <w:b w:val="0"/>
          <w:color w:val="17212B"/>
          <w:sz w:val="21"/>
        </w:rPr>
        <w:t>Display Ads（原Sponsored Display相关入口）：</w:t>
      </w:r>
      <w:hyperlink r:id="rId33">
        <w:r>
          <w:rPr>
            <w:color w:val="2E5E82"/>
            <w:u w:val="single"/>
          </w:rPr>
          <w:t>https://advertising.amazon.com/solutions/products/sponsored-display</w:t>
        </w:r>
      </w:hyperlink>
    </w:p>
    <w:p>
      <w:pPr>
        <w:numPr>
          <w:ilvl w:val="0"/>
          <w:numId w:val="23"/>
        </w:numPr>
        <w:spacing w:after="80" w:line="300" w:lineRule="auto"/>
      </w:pPr>
      <w:r>
        <w:rPr>
          <w:rFonts w:ascii="Noto Sans CJK SC" w:hAnsi="Noto Sans CJK SC" w:eastAsia="Noto Sans CJK SC"/>
          <w:b w:val="0"/>
          <w:color w:val="17212B"/>
          <w:sz w:val="21"/>
        </w:rPr>
        <w:t>Amazon包装可持续与SIPP信息：</w:t>
      </w:r>
      <w:hyperlink r:id="rId34">
        <w:r>
          <w:rPr>
            <w:color w:val="2E5E82"/>
            <w:u w:val="single"/>
          </w:rPr>
          <w:t>https://sustainability.aboutamazon.com/waste/packaging</w:t>
        </w:r>
      </w:hyperlink>
    </w:p>
    <w:p>
      <w:pPr>
        <w:pStyle w:val="Heading1"/>
        <w:pageBreakBefore/>
      </w:pPr>
      <w:r>
        <w:rPr>
          <w:rFonts w:ascii="Noto Sans CJK SC" w:hAnsi="Noto Sans CJK SC" w:eastAsia="Noto Sans CJK SC"/>
          <w:b/>
          <w:color w:val="0B1F33"/>
          <w:sz w:val="36"/>
        </w:rPr>
        <w:t>后记：把经验变成系统</w:t>
      </w:r>
    </w:p>
    <w:p>
      <w:r>
        <w:rPr>
          <w:rFonts w:ascii="Noto Sans CJK SC" w:hAnsi="Noto Sans CJK SC" w:eastAsia="Noto Sans CJK SC"/>
          <w:b w:val="0"/>
          <w:color w:val="17212B"/>
          <w:sz w:val="21"/>
        </w:rPr>
        <w:t>VC最难的不是某个菜单，而是跨部门一致性：商业团队谈的条款、运营确认的PO、仓库装的箱、系统提交的ASN、财务开的票和Amazon收到的货必须指向同一事实。只要事实链断裂，利润就会以短付、扣款、拒收、不可售或PO减少的形式流失。</w:t>
      </w:r>
    </w:p>
    <w:p>
      <w:r>
        <w:rPr>
          <w:rFonts w:ascii="Noto Sans CJK SC" w:hAnsi="Noto Sans CJK SC" w:eastAsia="Noto Sans CJK SC"/>
          <w:b w:val="0"/>
          <w:color w:val="17212B"/>
          <w:sz w:val="21"/>
        </w:rPr>
        <w:t>这本手册的长期目标，不只是教会一个运营“会点后台”，而是把12年跨境运营经验沉淀为公司可复制的系统：规则有来源、指标有定义、操作有SOP、异常有证据、决策有模型、版本有记录。VC运营真正成熟的标志，是重要结果不再依赖某个老员工的记忆。</w:t>
      </w:r>
    </w:p>
    <w:sectPr w:rsidR="00FC693F" w:rsidRPr="0006063C" w:rsidSect="00034616">
      <w:headerReference w:type="default" r:id="rId10"/>
      <w:footerReference w:type="default" r:id="rId11"/>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607080"/>
        <w:sz w:val="18"/>
      </w:rPr>
      <w:t xml:space="preserve">第 </w:t>
    </w:r>
    <w:fldSimple w:instr="PAGE"/>
    <w:r>
      <w:rPr>
        <w:rFonts w:ascii="Noto Sans CJK SC" w:hAnsi="Noto Sans CJK SC" w:eastAsia="Noto Sans CJK SC"/>
        <w:color w:val="6070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Noto Sans CJK SC" w:hAnsi="Noto Sans CJK SC" w:eastAsia="Noto Sans CJK SC"/>
        <w:b/>
        <w:color w:val="607080"/>
        <w:sz w:val="17"/>
      </w:rPr>
      <w:t>亚马逊VC运营手册  ·  2026电子版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10">
    <w:abstractNumId w:val="9"/>
  </w:num>
  <w:abstractNum w:abstractNumId="10">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11">
    <w:abstractNumId w:val="10"/>
  </w:num>
  <w:abstractNum w:abstractNumId="11">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12">
    <w:abstractNumId w:val="11"/>
  </w:num>
  <w:abstractNum w:abstractNumId="12">
    <w:multiLevelType w:val="singleLevel"/>
    <w:lvl w:ilvl="0">
      <w:start w:val="1"/>
      <w:numFmt w:val="decimal"/>
      <w:lvlText w:val="%1."/>
      <w:lvlJc w:val="left"/>
      <w:pPr>
        <w:tabs>
          <w:tab w:val="num" w:pos="540"/>
        </w:tabs>
        <w:ind w:left="540" w:hanging="270"/>
      </w:pPr>
      <w:rPr>
        <w:rFonts w:ascii="Noto Sans CJK SC" w:hAnsi="Noto Sans CJK SC" w:eastAsia="Noto Sans CJK SC"/>
      </w:rPr>
    </w:lvl>
  </w:abstractNum>
  <w:num w:numId="13">
    <w:abstractNumId w:val="12"/>
  </w:num>
  <w:abstractNum w:abstractNumId="13">
    <w:multiLevelType w:val="singleLevel"/>
    <w:lvl w:ilvl="0">
      <w:start w:val="1"/>
      <w:numFmt w:val="decimal"/>
      <w:lvlText w:val="%1."/>
      <w:lvlJc w:val="left"/>
      <w:pPr>
        <w:tabs>
          <w:tab w:val="num" w:pos="540"/>
        </w:tabs>
        <w:ind w:left="540" w:hanging="270"/>
      </w:pPr>
      <w:rPr>
        <w:rFonts w:ascii="Noto Sans CJK SC" w:hAnsi="Noto Sans CJK SC" w:eastAsia="Noto Sans CJK SC"/>
      </w:rPr>
    </w:lvl>
  </w:abstractNum>
  <w:num w:numId="14">
    <w:abstractNumId w:val="13"/>
  </w:num>
  <w:abstractNum w:abstractNumId="14">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15">
    <w:abstractNumId w:val="14"/>
  </w:num>
  <w:abstractNum w:abstractNumId="15">
    <w:multiLevelType w:val="singleLevel"/>
    <w:lvl w:ilvl="0">
      <w:start w:val="1"/>
      <w:numFmt w:val="decimal"/>
      <w:lvlText w:val="%1."/>
      <w:lvlJc w:val="left"/>
      <w:pPr>
        <w:tabs>
          <w:tab w:val="num" w:pos="540"/>
        </w:tabs>
        <w:ind w:left="540" w:hanging="270"/>
      </w:pPr>
      <w:rPr>
        <w:rFonts w:ascii="Noto Sans CJK SC" w:hAnsi="Noto Sans CJK SC" w:eastAsia="Noto Sans CJK SC"/>
      </w:rPr>
    </w:lvl>
  </w:abstractNum>
  <w:num w:numId="16">
    <w:abstractNumId w:val="15"/>
  </w:num>
  <w:abstractNum w:abstractNumId="16">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Noto Sans CJK SC" w:hAnsi="Noto Sans CJK SC" w:eastAsia="Noto Sans CJK SC"/>
      </w:rPr>
    </w:lvl>
  </w:abstractNum>
  <w:num w:numId="18">
    <w:abstractNumId w:val="17"/>
  </w:num>
  <w:abstractNum w:abstractNumId="18">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19">
    <w:abstractNumId w:val="18"/>
  </w:num>
  <w:abstractNum w:abstractNumId="19">
    <w:multiLevelType w:val="singleLevel"/>
    <w:lvl w:ilvl="0">
      <w:start w:val="1"/>
      <w:numFmt w:val="decimal"/>
      <w:lvlText w:val="%1."/>
      <w:lvlJc w:val="left"/>
      <w:pPr>
        <w:tabs>
          <w:tab w:val="num" w:pos="540"/>
        </w:tabs>
        <w:ind w:left="540" w:hanging="270"/>
      </w:pPr>
      <w:rPr>
        <w:rFonts w:ascii="Noto Sans CJK SC" w:hAnsi="Noto Sans CJK SC" w:eastAsia="Noto Sans CJK SC"/>
      </w:rPr>
    </w:lvl>
  </w:abstractNum>
  <w:num w:numId="20">
    <w:abstractNumId w:val="19"/>
  </w:num>
  <w:abstractNum w:abstractNumId="20">
    <w:multiLevelType w:val="singleLevel"/>
    <w:lvl w:ilvl="0">
      <w:start w:val="1"/>
      <w:numFmt w:val="decimal"/>
      <w:lvlText w:val="%1."/>
      <w:lvlJc w:val="left"/>
      <w:pPr>
        <w:tabs>
          <w:tab w:val="num" w:pos="540"/>
        </w:tabs>
        <w:ind w:left="540" w:hanging="270"/>
      </w:pPr>
      <w:rPr>
        <w:rFonts w:ascii="Noto Sans CJK SC" w:hAnsi="Noto Sans CJK SC" w:eastAsia="Noto Sans CJK SC"/>
      </w:rPr>
    </w:lvl>
  </w:abstractNum>
  <w:num w:numId="21">
    <w:abstractNumId w:val="20"/>
  </w:num>
  <w:abstractNum w:abstractNumId="21">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22">
    <w:abstractNumId w:val="21"/>
  </w:num>
  <w:abstractNum w:abstractNumId="22">
    <w:multiLevelType w:val="singleLevel"/>
    <w:lvl w:ilvl="0">
      <w:start w:val="1"/>
      <w:numFmt w:val="bullet"/>
      <w:lvlText w:val="•"/>
      <w:lvlJc w:val="left"/>
      <w:pPr>
        <w:tabs>
          <w:tab w:val="num" w:pos="540"/>
        </w:tabs>
        <w:ind w:left="540" w:hanging="270"/>
      </w:pPr>
      <w:rPr>
        <w:rFonts w:ascii="Noto Sans CJK SC" w:hAnsi="Noto Sans CJK SC" w:eastAsia="Noto Sans CJK SC"/>
      </w:r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300" w:lineRule="auto"/>
    </w:pPr>
    <w:rPr>
      <w:rFonts w:ascii="Noto Sans CJK SC" w:hAnsi="Noto Sans CJK SC" w:eastAsia="Noto Sans CJK SC"/>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CJK SC" w:hAnsi="Noto Sans CJK SC" w:eastAsia="Noto Sans CJK SC"/>
      <w:b/>
      <w:bCs/>
      <w:color w:val="0B1F33"/>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SC" w:hAnsi="Noto Sans CJK SC" w:eastAsia="Noto Sans CJK SC"/>
      <w:b/>
      <w:bCs/>
      <w:color w:val="2E5E8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0B1F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ind w:left="360" w:hanging="360"/>
    </w:pPr>
    <w:rPr>
      <w:rFonts w:ascii="Noto Sans CJK SC" w:hAnsi="Noto Sans CJK SC" w:eastAsia="Noto Sans CJK SC"/>
    </w:rPr>
  </w:style>
  <w:style w:type="paragraph" w:customStyle="1" w:styleId="FigureCaption">
    <w:name w:val="Figure Caption"/>
    <w:basedOn w:val="Normal"/>
    <w:pPr>
      <w:spacing w:before="60" w:after="200"/>
      <w:jc w:val="center"/>
    </w:pPr>
    <w:rPr>
      <w:rFonts w:ascii="Noto Sans CJK SC" w:hAnsi="Noto Sans CJK SC" w:eastAsia="Noto Sans CJK SC"/>
      <w:color w:val="6070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vendorcentral.amazon.com/" TargetMode="External"/><Relationship Id="rId20" Type="http://schemas.openxmlformats.org/officeDocument/2006/relationships/hyperlink" Target="https://developer-docs.amazon.com/sp-api/docs/vendor-retail-procurement-orders-api" TargetMode="External"/><Relationship Id="rId21" Type="http://schemas.openxmlformats.org/officeDocument/2006/relationships/hyperlink" Target="https://developer-docs.amazon.com/sp-api/docs/vendor-retail-procurement-shipments-api" TargetMode="External"/><Relationship Id="rId22" Type="http://schemas.openxmlformats.org/officeDocument/2006/relationships/hyperlink" Target="https://developer-docs.amazon.com/sp-api/docs/vendor-retail-procurement-invoices-api" TargetMode="External"/><Relationship Id="rId23" Type="http://schemas.openxmlformats.org/officeDocument/2006/relationships/hyperlink" Target="https://developer-docs.amazon.com/sp-api/docs/submit-invoices" TargetMode="External"/><Relationship Id="rId24" Type="http://schemas.openxmlformats.org/officeDocument/2006/relationships/hyperlink" Target="https://github.com/amzn/selling-partner-api-models/blob/main/models/vendor-invoices-api-model/vendorInvoices.json" TargetMode="External"/><Relationship Id="rId25" Type="http://schemas.openxmlformats.org/officeDocument/2006/relationships/hyperlink" Target="https://github.com/amzn/selling-partner-api-models/blob/main/models/vendor-direct-fulfillment-payments-api-model/vendorDirectFulfillmentPaymentsV1.json" TargetMode="External"/><Relationship Id="rId26" Type="http://schemas.openxmlformats.org/officeDocument/2006/relationships/hyperlink" Target="https://developer-docs.amazon.com/sp-api/docs/vendor-retail-procurement-transaction-status-api" TargetMode="External"/><Relationship Id="rId27" Type="http://schemas.openxmlformats.org/officeDocument/2006/relationships/hyperlink" Target="https://developer-docs.amazon.com/sp-api/docs/vendor-df-workflow-guide" TargetMode="External"/><Relationship Id="rId28" Type="http://schemas.openxmlformats.org/officeDocument/2006/relationships/hyperlink" Target="https://developer-docs.amazon.com/sp-api/docs/sp-api-vendor-use-cases" TargetMode="External"/><Relationship Id="rId29" Type="http://schemas.openxmlformats.org/officeDocument/2006/relationships/hyperlink" Target="https://payeecentral.amazon.com/" TargetMode="External"/><Relationship Id="rId30" Type="http://schemas.openxmlformats.org/officeDocument/2006/relationships/hyperlink" Target="https://advertising.amazon.com/library/guides/vendors" TargetMode="External"/><Relationship Id="rId31" Type="http://schemas.openxmlformats.org/officeDocument/2006/relationships/hyperlink" Target="https://advertising.amazon.com/solutions/products/sponsored-products" TargetMode="External"/><Relationship Id="rId32" Type="http://schemas.openxmlformats.org/officeDocument/2006/relationships/hyperlink" Target="https://advertising.amazon.com/solutions/products/sponsored-brands" TargetMode="External"/><Relationship Id="rId33" Type="http://schemas.openxmlformats.org/officeDocument/2006/relationships/hyperlink" Target="https://advertising.amazon.com/solutions/products/sponsored-display" TargetMode="External"/><Relationship Id="rId34" Type="http://schemas.openxmlformats.org/officeDocument/2006/relationships/hyperlink" Target="https://sustainability.aboutamazon.com/waste/pack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亚马逊VC运营手册</dc:title>
  <dc:subject>Amazon Vendor Central运营、PO履约、利润、财务与增长</dc:subject>
  <dc:creator>阳亚运｜天机跨境</dc:creator>
  <cp:keywords>Amazon Vendor Central, VC运营, PO, DF, Chargeback, Net PPM</cp:keywords>
  <dc:description>2026电子版 V0.2</dc:description>
  <cp:lastModifiedBy/>
  <cp:revision>1</cp:revision>
  <dcterms:created xsi:type="dcterms:W3CDTF">2013-12-23T23:15:00Z</dcterms:created>
  <dcterms:modified xsi:type="dcterms:W3CDTF">2013-12-23T23:15:00Z</dcterms:modified>
  <cp:category/>
</cp:coreProperties>
</file>