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VC学习计划</w:t>
      </w:r>
    </w:p>
    <w:p>
      <w:pPr>
        <w:spacing w:before="120" w:after="120" w:line="288" w:lineRule="auto"/>
        <w:ind w:left="0"/>
        <w:jc w:val="left"/>
      </w:pPr>
      <w:r>
        <w:rPr>
          <w:rFonts w:eastAsia="等线" w:ascii="Arial" w:cs="Arial" w:hAnsi="Arial"/>
          <w:sz w:val="22"/>
        </w:rPr>
        <w:t>NET PPM 我们算过比较准确的公式</w:t>
      </w:r>
    </w:p>
    <w:p>
      <w:pPr>
        <w:spacing w:before="120" w:after="120" w:line="288" w:lineRule="auto"/>
        <w:ind w:left="0"/>
        <w:jc w:val="left"/>
      </w:pPr>
      <w:r>
        <w:rPr>
          <w:rFonts w:eastAsia="等线" w:ascii="Arial" w:cs="Arial" w:hAnsi="Arial"/>
          <w:sz w:val="22"/>
        </w:rPr>
        <w:t>NET PPM（不促销）= (list price-cost price+佣金扣点*cost price) /list price</w:t>
      </w:r>
    </w:p>
    <w:p>
      <w:pPr>
        <w:spacing w:before="120" w:after="120" w:line="288" w:lineRule="auto"/>
        <w:ind w:left="0"/>
        <w:jc w:val="left"/>
      </w:pPr>
      <w:r>
        <w:rPr>
          <w:rFonts w:eastAsia="等线" w:ascii="Arial" w:cs="Arial" w:hAnsi="Arial"/>
          <w:sz w:val="22"/>
        </w:rPr>
        <w:t>NET PPM （BD促销）= (促销后的list price-cost price+促销funding+佣金扣点*cost price) /促销后的list price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你发来的这份目录非常详实，几乎直接构成了一本VC运营手册的完整骨架。我会严格按照你提供的目录结构，来编写这本 </w:t>
      </w:r>
      <w:r>
        <w:rPr>
          <w:rFonts w:eastAsia="等线" w:ascii="Arial" w:cs="Arial" w:hAnsi="Arial"/>
          <w:b w:val="true"/>
          <w:sz w:val="22"/>
        </w:rPr>
        <w:t>《跨境电商亚马逊VC自营供应商渠道专项基础运营及部分推广操作指导（VC自营账号）》</w:t>
      </w:r>
      <w:r>
        <w:rPr>
          <w:rFonts w:eastAsia="等线" w:ascii="Arial" w:cs="Arial" w:hAnsi="Arial"/>
          <w:sz w:val="22"/>
        </w:rPr>
        <w:t>。由于篇幅限制，以下先输出前几章核心内容的完整详稿，后续章节若需要我可以继续输出。</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跨境电商亚马逊VC自营供应商渠道</w:t>
      </w:r>
      <w:bookmarkEnd w:id="0"/>
    </w:p>
    <w:p>
      <w:pPr>
        <w:spacing w:before="120" w:after="120" w:line="288" w:lineRule="auto"/>
        <w:ind w:left="0"/>
        <w:jc w:val="left"/>
      </w:pPr>
      <w:r>
        <w:rPr>
          <w:rFonts w:eastAsia="等线" w:ascii="Arial" w:cs="Arial" w:hAnsi="Arial"/>
          <w:sz w:val="22"/>
        </w:rPr>
        <w:t>专项基础运营及部分推广操作指导</w:t>
      </w:r>
    </w:p>
    <w:p>
      <w:pPr>
        <w:spacing w:before="120" w:after="120" w:line="288" w:lineRule="auto"/>
        <w:ind w:left="0"/>
        <w:jc w:val="left"/>
      </w:pPr>
      <w:r>
        <w:rPr>
          <w:rFonts w:eastAsia="等线" w:ascii="Arial" w:cs="Arial" w:hAnsi="Arial"/>
          <w:sz w:val="22"/>
        </w:rPr>
        <w:t>（VC自营账号）</w:t>
      </w:r>
    </w:p>
    <w:p>
      <w:pPr>
        <w:spacing w:before="120" w:after="120" w:line="288" w:lineRule="auto"/>
        <w:ind w:left="0"/>
        <w:jc w:val="left"/>
      </w:pPr>
    </w:p>
    <w:p>
      <w:pPr>
        <w:spacing w:before="120" w:after="120" w:line="288" w:lineRule="auto"/>
        <w:ind w:left="0"/>
        <w:jc w:val="left"/>
      </w:pPr>
      <w:r>
        <w:rPr>
          <w:rFonts w:eastAsia="等线" w:ascii="Arial" w:cs="Arial" w:hAnsi="Arial"/>
          <w:sz w:val="22"/>
        </w:rPr>
        <w:t>**A Practical Guide to Amazon Vendor Central (VC):</w:t>
      </w:r>
    </w:p>
    <w:p>
      <w:pPr>
        <w:spacing w:before="120" w:after="120" w:line="288" w:lineRule="auto"/>
        <w:ind w:left="0"/>
        <w:jc w:val="left"/>
      </w:pPr>
      <w:r>
        <w:rPr>
          <w:rFonts w:eastAsia="等线" w:ascii="Arial" w:cs="Arial" w:hAnsi="Arial"/>
          <w:sz w:val="22"/>
        </w:rPr>
        <w:t>Essential Daily Operations and Effective Strategies for Product Promotion Using a VC Account**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前言</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当你拿到一个Amazon Vendor Central（VC）账号时，你已不再是一个普通的第三方卖家，而是亚马逊的第一方供应商。这意味着定价权的转移、库存所有权的变化，以及一套完全不同的合作规则。许多从Seller Central（SC）转型而来的运营者，会在初期感到强烈的不适应——没有“库存管理”按钮，不能自由定价，订单靠PO驱动，而一封封系统邮件可能直接决定着利润的存亡。</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本书不是一本理论教材，而是一份</w:t>
      </w:r>
      <w:r>
        <w:rPr>
          <w:rFonts w:eastAsia="等线" w:ascii="Arial" w:cs="Arial" w:hAnsi="Arial"/>
          <w:b w:val="true"/>
          <w:sz w:val="22"/>
        </w:rPr>
        <w:t>操作指导手册</w:t>
      </w:r>
      <w:r>
        <w:rPr>
          <w:rFonts w:eastAsia="等线" w:ascii="Arial" w:cs="Arial" w:hAnsi="Arial"/>
          <w:sz w:val="22"/>
        </w:rPr>
        <w:t>。它从你每天打开后台就要面对的实际问题出发，拆解VC的供货模式、PO处理流程、账号费率谈判、大件认证要求、购物车逻辑、成本计算公式、财务核算方法、促销提报步骤，以及2025年最新的后台Beta模块和VC与SC的广告差异。无论是刚接手VC账号的基础运营，还是想要系统梳理操作规范的中级操盘手，都可以按图索骥，找到可以直接落地的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书中的内容来自真实的VC账号运营经验，融合了无数次与Amazon Vendor Manager沟通、处理Chargeback、解析报表后的认知沉淀。希望它能帮你少走弯路，让VC这个工具真正为你所用，而不是被其复杂的规则所吞噬。</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目录</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第一章 VC类型与供货模式解析</w:t>
      </w:r>
    </w:p>
    <w:p>
      <w:pPr>
        <w:spacing w:before="120" w:after="120" w:line="288" w:lineRule="auto"/>
        <w:ind w:left="0"/>
        <w:jc w:val="left"/>
      </w:pPr>
      <w:r>
        <w:rPr>
          <w:rFonts w:eastAsia="等线" w:ascii="Arial" w:cs="Arial" w:hAnsi="Arial"/>
          <w:sz w:val="22"/>
        </w:rPr>
        <w:t>　1.1 DF供货/采购模式</w:t>
      </w:r>
    </w:p>
    <w:p>
      <w:pPr>
        <w:spacing w:before="120" w:after="120" w:line="288" w:lineRule="auto"/>
        <w:ind w:left="0"/>
        <w:jc w:val="left"/>
      </w:pPr>
      <w:r>
        <w:rPr>
          <w:rFonts w:eastAsia="等线" w:ascii="Arial" w:cs="Arial" w:hAnsi="Arial"/>
          <w:sz w:val="22"/>
        </w:rPr>
        <w:t>　1.2 PO供货/采购模式</w:t>
      </w:r>
    </w:p>
    <w:p>
      <w:pPr>
        <w:spacing w:before="120" w:after="120" w:line="288" w:lineRule="auto"/>
        <w:ind w:left="0"/>
        <w:jc w:val="left"/>
      </w:pPr>
      <w:r>
        <w:rPr>
          <w:rFonts w:eastAsia="等线" w:ascii="Arial" w:cs="Arial" w:hAnsi="Arial"/>
          <w:sz w:val="22"/>
        </w:rPr>
        <w:t>　1.3 DI供货/采购模式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第二章 VC供应商账号费率：构成、决定因素与谈判策略</w:t>
      </w:r>
    </w:p>
    <w:p>
      <w:pPr>
        <w:spacing w:before="120" w:after="120" w:line="288" w:lineRule="auto"/>
        <w:ind w:left="0"/>
        <w:jc w:val="left"/>
      </w:pPr>
      <w:r>
        <w:rPr>
          <w:rFonts w:eastAsia="等线" w:ascii="Arial" w:cs="Arial" w:hAnsi="Arial"/>
          <w:sz w:val="22"/>
        </w:rPr>
        <w:t>　2.1 账号综合费用率范围</w:t>
      </w:r>
    </w:p>
    <w:p>
      <w:pPr>
        <w:spacing w:before="120" w:after="120" w:line="288" w:lineRule="auto"/>
        <w:ind w:left="0"/>
        <w:jc w:val="left"/>
      </w:pPr>
      <w:r>
        <w:rPr>
          <w:rFonts w:eastAsia="等线" w:ascii="Arial" w:cs="Arial" w:hAnsi="Arial"/>
          <w:sz w:val="22"/>
        </w:rPr>
        <w:t>　2.2 标准账号、费本账号、品牌加速器账号</w:t>
      </w:r>
    </w:p>
    <w:p>
      <w:pPr>
        <w:spacing w:before="120" w:after="120" w:line="288" w:lineRule="auto"/>
        <w:ind w:left="0"/>
        <w:jc w:val="left"/>
      </w:pPr>
      <w:r>
        <w:rPr>
          <w:rFonts w:eastAsia="等线" w:ascii="Arial" w:cs="Arial" w:hAnsi="Arial"/>
          <w:sz w:val="22"/>
        </w:rPr>
        <w:t>　2.3 费率谈判关键点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第三章 2025年最新VC后台BETA模块解析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第四章 亚马逊VC账号运营日常邮件综合全类型解析与处理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第五章 VC订单处理全流程（PO主导型）</w:t>
      </w:r>
    </w:p>
    <w:p>
      <w:pPr>
        <w:spacing w:before="120" w:after="120" w:line="288" w:lineRule="auto"/>
        <w:ind w:left="0"/>
        <w:jc w:val="left"/>
      </w:pPr>
      <w:r>
        <w:rPr>
          <w:rFonts w:eastAsia="等线" w:ascii="Arial" w:cs="Arial" w:hAnsi="Arial"/>
          <w:sz w:val="22"/>
        </w:rPr>
        <w:t>　5.1 详细流程图</w:t>
      </w:r>
    </w:p>
    <w:p>
      <w:pPr>
        <w:spacing w:before="120" w:after="120" w:line="288" w:lineRule="auto"/>
        <w:ind w:left="0"/>
        <w:jc w:val="left"/>
      </w:pPr>
      <w:r>
        <w:rPr>
          <w:rFonts w:eastAsia="等线" w:ascii="Arial" w:cs="Arial" w:hAnsi="Arial"/>
          <w:sz w:val="22"/>
        </w:rPr>
        <w:t>　5.2 执行层面工作流及作业说明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第六章 VC订单处理全流程（DF主导型）</w:t>
      </w:r>
    </w:p>
    <w:p>
      <w:pPr>
        <w:spacing w:before="120" w:after="120" w:line="288" w:lineRule="auto"/>
        <w:ind w:left="0"/>
        <w:jc w:val="left"/>
      </w:pPr>
      <w:r>
        <w:rPr>
          <w:rFonts w:eastAsia="等线" w:ascii="Arial" w:cs="Arial" w:hAnsi="Arial"/>
          <w:sz w:val="22"/>
        </w:rPr>
        <w:t>　6.1 详细流程图</w:t>
      </w:r>
    </w:p>
    <w:p>
      <w:pPr>
        <w:spacing w:before="120" w:after="120" w:line="288" w:lineRule="auto"/>
        <w:ind w:left="0"/>
        <w:jc w:val="left"/>
      </w:pPr>
      <w:r>
        <w:rPr>
          <w:rFonts w:eastAsia="等线" w:ascii="Arial" w:cs="Arial" w:hAnsi="Arial"/>
          <w:sz w:val="22"/>
        </w:rPr>
        <w:t>　6.2 执行层面工作流及作业说明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第七章 VC运营大件产品运送认证要求及详细解决步骤</w:t>
      </w:r>
    </w:p>
    <w:p>
      <w:pPr>
        <w:spacing w:before="120" w:after="120" w:line="288" w:lineRule="auto"/>
        <w:ind w:left="0"/>
        <w:jc w:val="left"/>
      </w:pPr>
      <w:r>
        <w:rPr>
          <w:rFonts w:eastAsia="等线" w:ascii="Arial" w:cs="Arial" w:hAnsi="Arial"/>
          <w:sz w:val="22"/>
        </w:rPr>
        <w:t>　7.1 运送大件产品前必须准备的事项</w:t>
      </w:r>
    </w:p>
    <w:p>
      <w:pPr>
        <w:spacing w:before="120" w:after="120" w:line="288" w:lineRule="auto"/>
        <w:ind w:left="0"/>
        <w:jc w:val="left"/>
      </w:pPr>
      <w:r>
        <w:rPr>
          <w:rFonts w:eastAsia="等线" w:ascii="Arial" w:cs="Arial" w:hAnsi="Arial"/>
          <w:sz w:val="22"/>
        </w:rPr>
        <w:t>　7.2 如何预防账号入库相关罚款</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第八章 上架产品流程图及步骤图文</w:t>
      </w:r>
    </w:p>
    <w:p>
      <w:pPr>
        <w:spacing w:before="120" w:after="120" w:line="288" w:lineRule="auto"/>
        <w:ind w:left="0"/>
        <w:jc w:val="left"/>
      </w:pPr>
      <w:r>
        <w:rPr>
          <w:rFonts w:eastAsia="等线" w:ascii="Arial" w:cs="Arial" w:hAnsi="Arial"/>
          <w:sz w:val="22"/>
        </w:rPr>
        <w:t>　8.1 上架产品流程图</w:t>
      </w:r>
    </w:p>
    <w:p>
      <w:pPr>
        <w:spacing w:before="120" w:after="120" w:line="288" w:lineRule="auto"/>
        <w:ind w:left="0"/>
        <w:jc w:val="left"/>
      </w:pPr>
      <w:r>
        <w:rPr>
          <w:rFonts w:eastAsia="等线" w:ascii="Arial" w:cs="Arial" w:hAnsi="Arial"/>
          <w:sz w:val="22"/>
        </w:rPr>
        <w:t>　8.2 实拍VC出货打托及标签包装处理（附页）</w:t>
      </w:r>
    </w:p>
    <w:p>
      <w:pPr>
        <w:spacing w:before="120" w:after="120" w:line="288" w:lineRule="auto"/>
        <w:ind w:left="0"/>
        <w:jc w:val="left"/>
      </w:pPr>
      <w:r>
        <w:rPr>
          <w:rFonts w:eastAsia="等线" w:ascii="Arial" w:cs="Arial" w:hAnsi="Arial"/>
          <w:sz w:val="22"/>
        </w:rPr>
        <w:t>　8.3 编辑图片及上传产品视频</w:t>
      </w:r>
    </w:p>
    <w:p>
      <w:pPr>
        <w:spacing w:before="120" w:after="120" w:line="288" w:lineRule="auto"/>
        <w:ind w:left="0"/>
        <w:jc w:val="left"/>
      </w:pPr>
      <w:r>
        <w:rPr>
          <w:rFonts w:eastAsia="等线" w:ascii="Arial" w:cs="Arial" w:hAnsi="Arial"/>
          <w:sz w:val="22"/>
        </w:rPr>
        <w:t>　8.4 产品说明书及相关认证上传</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第九章 识别VC购物车与影响因素</w:t>
      </w:r>
    </w:p>
    <w:p>
      <w:pPr>
        <w:spacing w:before="120" w:after="120" w:line="288" w:lineRule="auto"/>
        <w:ind w:left="0"/>
        <w:jc w:val="left"/>
      </w:pPr>
      <w:r>
        <w:rPr>
          <w:rFonts w:eastAsia="等线" w:ascii="Arial" w:cs="Arial" w:hAnsi="Arial"/>
          <w:sz w:val="22"/>
        </w:rPr>
        <w:t>　9.1 哪些因素影响VC购物车</w:t>
      </w:r>
    </w:p>
    <w:p>
      <w:pPr>
        <w:spacing w:before="120" w:after="120" w:line="288" w:lineRule="auto"/>
        <w:ind w:left="0"/>
        <w:jc w:val="left"/>
      </w:pPr>
      <w:r>
        <w:rPr>
          <w:rFonts w:eastAsia="等线" w:ascii="Arial" w:cs="Arial" w:hAnsi="Arial"/>
          <w:sz w:val="22"/>
        </w:rPr>
        <w:t>　9.2 VC端商品库存状态</w:t>
      </w:r>
    </w:p>
    <w:p>
      <w:pPr>
        <w:spacing w:before="120" w:after="120" w:line="288" w:lineRule="auto"/>
        <w:ind w:left="0"/>
        <w:jc w:val="left"/>
      </w:pPr>
      <w:r>
        <w:rPr>
          <w:rFonts w:eastAsia="等线" w:ascii="Arial" w:cs="Arial" w:hAnsi="Arial"/>
          <w:sz w:val="22"/>
        </w:rPr>
        <w:t>　9.3 商品详情页关键属性缺失</w:t>
      </w:r>
    </w:p>
    <w:p>
      <w:pPr>
        <w:spacing w:before="120" w:after="120" w:line="288" w:lineRule="auto"/>
        <w:ind w:left="0"/>
        <w:jc w:val="left"/>
      </w:pPr>
      <w:r>
        <w:rPr>
          <w:rFonts w:eastAsia="等线" w:ascii="Arial" w:cs="Arial" w:hAnsi="Arial"/>
          <w:sz w:val="22"/>
        </w:rPr>
        <w:t>　9.4 合规证明书提交要求</w:t>
      </w:r>
    </w:p>
    <w:p>
      <w:pPr>
        <w:spacing w:before="120" w:after="120" w:line="288" w:lineRule="auto"/>
        <w:ind w:left="0"/>
        <w:jc w:val="left"/>
      </w:pPr>
      <w:r>
        <w:rPr>
          <w:rFonts w:eastAsia="等线" w:ascii="Arial" w:cs="Arial" w:hAnsi="Arial"/>
          <w:sz w:val="22"/>
        </w:rPr>
        <w:t>　9.5 Amazon关于成本的修改建议</w:t>
      </w:r>
    </w:p>
    <w:p>
      <w:pPr>
        <w:spacing w:before="120" w:after="120" w:line="288" w:lineRule="auto"/>
        <w:ind w:left="0"/>
        <w:jc w:val="left"/>
      </w:pPr>
      <w:r>
        <w:rPr>
          <w:rFonts w:eastAsia="等线" w:ascii="Arial" w:cs="Arial" w:hAnsi="Arial"/>
          <w:sz w:val="22"/>
        </w:rPr>
        <w:t>　9.6 Amazon订单的接单率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第十章 如何修改VC账号产品PO接单状态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第十一章 VC产品成本通用计算公式及要点</w:t>
      </w:r>
    </w:p>
    <w:p>
      <w:pPr>
        <w:spacing w:before="120" w:after="120" w:line="288" w:lineRule="auto"/>
        <w:ind w:left="0"/>
        <w:jc w:val="left"/>
      </w:pPr>
      <w:r>
        <w:rPr>
          <w:rFonts w:eastAsia="等线" w:ascii="Arial" w:cs="Arial" w:hAnsi="Arial"/>
          <w:sz w:val="22"/>
        </w:rPr>
        <w:t>　11.1 PPM、CM、毛利、成本项把控要点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第十二章 VC的CASE路径及不同团队分类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第十三章 Cost供货价及List Price销售价定义与调整步骤</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第十四章 VC如何检查账单收付款项发票及处理异常</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第十五章 PO订单接单及修改（流程图与注意事项）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第十六章 VC账号被封原因与红线分析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第十七章 亚马逊VC账号财务核算双维度解析</w:t>
      </w:r>
    </w:p>
    <w:p>
      <w:pPr>
        <w:spacing w:before="120" w:after="120" w:line="288" w:lineRule="auto"/>
        <w:ind w:left="0"/>
        <w:jc w:val="left"/>
      </w:pPr>
      <w:r>
        <w:rPr>
          <w:rFonts w:eastAsia="等线" w:ascii="Arial" w:cs="Arial" w:hAnsi="Arial"/>
          <w:sz w:val="22"/>
        </w:rPr>
        <w:t>　17.1 PO维度核算</w:t>
      </w:r>
    </w:p>
    <w:p>
      <w:pPr>
        <w:spacing w:before="120" w:after="120" w:line="288" w:lineRule="auto"/>
        <w:ind w:left="0"/>
        <w:jc w:val="left"/>
      </w:pPr>
      <w:r>
        <w:rPr>
          <w:rFonts w:eastAsia="等线" w:ascii="Arial" w:cs="Arial" w:hAnsi="Arial"/>
          <w:sz w:val="22"/>
        </w:rPr>
        <w:t>　17.2 销售额维度核算</w:t>
      </w:r>
    </w:p>
    <w:p>
      <w:pPr>
        <w:spacing w:before="120" w:after="120" w:line="288" w:lineRule="auto"/>
        <w:ind w:left="0"/>
        <w:jc w:val="left"/>
      </w:pPr>
      <w:r>
        <w:rPr>
          <w:rFonts w:eastAsia="等线" w:ascii="Arial" w:cs="Arial" w:hAnsi="Arial"/>
          <w:sz w:val="22"/>
        </w:rPr>
        <w:t>　17.3 核心差异与选择建议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第十八章 VC的财务核算费用及收入发票类型与整理方法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第十九章 VC账号品牌流量进阶：Top Brand申请</w:t>
      </w:r>
    </w:p>
    <w:p>
      <w:pPr>
        <w:spacing w:before="120" w:after="120" w:line="288" w:lineRule="auto"/>
        <w:ind w:left="0"/>
        <w:jc w:val="left"/>
      </w:pPr>
      <w:r>
        <w:rPr>
          <w:rFonts w:eastAsia="等线" w:ascii="Arial" w:cs="Arial" w:hAnsi="Arial"/>
          <w:sz w:val="22"/>
        </w:rPr>
        <w:t>　19.1 如何为品牌申请Top Brand</w:t>
      </w:r>
    </w:p>
    <w:p>
      <w:pPr>
        <w:spacing w:before="120" w:after="120" w:line="288" w:lineRule="auto"/>
        <w:ind w:left="0"/>
        <w:jc w:val="left"/>
      </w:pPr>
      <w:r>
        <w:rPr>
          <w:rFonts w:eastAsia="等线" w:ascii="Arial" w:cs="Arial" w:hAnsi="Arial"/>
          <w:sz w:val="22"/>
        </w:rPr>
        <w:t>　19.2 申请路径及要求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第二十章 高Cost要求降价处理逻辑与Net PPM</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第二十一章 VC与SC广告的差异与优先级</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第二十二章 查看VC买家退货及退货原因</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第二十三章 创建New Model步骤</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第二十四章 VC账号品牌修改操作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第二十五章 VC跟卖SC步骤及注意事项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第二十六章 VC常见促销方式与折扣叠加情况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第二十七章 DI/DF模式下的推广逻辑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第二十八章 Bulk Buy接单决策分析与计算公式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第二十九章 2025提报促销活动及注意事项</w:t>
      </w:r>
    </w:p>
    <w:p>
      <w:pPr>
        <w:spacing w:before="120" w:after="120" w:line="288" w:lineRule="auto"/>
        <w:ind w:left="0"/>
        <w:jc w:val="left"/>
      </w:pPr>
      <w:r>
        <w:rPr>
          <w:rFonts w:eastAsia="等线" w:ascii="Arial" w:cs="Arial" w:hAnsi="Arial"/>
          <w:sz w:val="22"/>
        </w:rPr>
        <w:t>　29.1 Price Discount与7天BD提报步骤</w:t>
      </w:r>
    </w:p>
    <w:p>
      <w:pPr>
        <w:spacing w:before="120" w:after="120" w:line="288" w:lineRule="auto"/>
        <w:ind w:left="0"/>
        <w:jc w:val="left"/>
      </w:pPr>
      <w:r>
        <w:rPr>
          <w:rFonts w:eastAsia="等线" w:ascii="Arial" w:cs="Arial" w:hAnsi="Arial"/>
          <w:sz w:val="22"/>
        </w:rPr>
        <w:t>　29.2 LD、BD、划线价常见问题与解决办法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第三十章 VC如何为SC产品上传510K等信息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第三十一章 VC能否自行定价不向亚马逊供货</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第三十二章 VC团队组织框架参考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附录</w:t>
      </w:r>
    </w:p>
    <w:p>
      <w:pPr>
        <w:spacing w:before="120" w:after="120" w:line="288" w:lineRule="auto"/>
        <w:ind w:left="0"/>
        <w:jc w:val="left"/>
      </w:pPr>
      <w:r>
        <w:rPr>
          <w:rFonts w:eastAsia="等线" w:ascii="Arial" w:cs="Arial" w:hAnsi="Arial"/>
          <w:sz w:val="22"/>
        </w:rPr>
        <w:t>　附录A 财务报表发票项名称解释</w:t>
      </w:r>
    </w:p>
    <w:p>
      <w:pPr>
        <w:spacing w:before="120" w:after="120" w:line="288" w:lineRule="auto"/>
        <w:ind w:left="0"/>
        <w:jc w:val="left"/>
      </w:pPr>
      <w:r>
        <w:rPr>
          <w:rFonts w:eastAsia="等线" w:ascii="Arial" w:cs="Arial" w:hAnsi="Arial"/>
          <w:sz w:val="22"/>
        </w:rPr>
        <w:t>　附录B VC财务报表及发票下载路径指南</w:t>
      </w:r>
    </w:p>
    <w:p>
      <w:pPr>
        <w:spacing w:before="120" w:after="120" w:line="288" w:lineRule="auto"/>
        <w:ind w:left="0"/>
        <w:jc w:val="left"/>
      </w:pPr>
      <w:r>
        <w:rPr>
          <w:rFonts w:eastAsia="等线" w:ascii="Arial" w:cs="Arial" w:hAnsi="Arial"/>
          <w:sz w:val="22"/>
        </w:rPr>
        <w:t>　附录C VC产品通用定价模板及解释</w:t>
      </w:r>
    </w:p>
    <w:p>
      <w:pPr>
        <w:spacing w:before="120" w:after="120" w:line="288" w:lineRule="auto"/>
        <w:ind w:left="0"/>
        <w:jc w:val="left"/>
      </w:pPr>
      <w:r>
        <w:rPr>
          <w:rFonts w:eastAsia="等线" w:ascii="Arial" w:cs="Arial" w:hAnsi="Arial"/>
          <w:sz w:val="22"/>
        </w:rPr>
        <w:t>　附录D 亚马逊VC及SC各种促销折扣叠加情况说明</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第一章 VC类型与供货模式解析</w:t>
      </w:r>
      <w:bookmarkEnd w:id="3"/>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1.1 DF供货/采购模式</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DF（Direct Fulfillment）</w:t>
      </w:r>
      <w:r>
        <w:rPr>
          <w:rFonts w:eastAsia="等线" w:ascii="Arial" w:cs="Arial" w:hAnsi="Arial"/>
          <w:sz w:val="22"/>
        </w:rPr>
        <w:t xml:space="preserve"> 指供应商直接将商品发货给最终消费者，而不是先备货到亚马逊仓库。DF模式下，你在Vendor Central后台会收到客户订单，你需要按照亚马逊的时效要求直接从你的仓库配送给顾客。包裹上使用亚马逊提供的物流面单，顾客感知为亚马逊配送。这种模式适合大件商品、高货值商品、季节性波动大的品类以及无法满足FBA入库要求的商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DF的核心运营指标是：</w:t>
      </w:r>
    </w:p>
    <w:p>
      <w:pPr>
        <w:numPr>
          <w:numId w:val="1"/>
        </w:numPr>
        <w:spacing w:before="120" w:after="120" w:line="288" w:lineRule="auto"/>
        <w:ind w:left="0"/>
        <w:jc w:val="left"/>
      </w:pPr>
      <w:r>
        <w:rPr>
          <w:rFonts w:eastAsia="等线" w:ascii="Arial" w:cs="Arial" w:hAnsi="Arial"/>
          <w:sz w:val="22"/>
        </w:rPr>
        <w:t>发货确认时效（Ship Confirmation Timeliness）</w:t>
      </w:r>
    </w:p>
    <w:p>
      <w:pPr>
        <w:numPr>
          <w:numId w:val="2"/>
        </w:numPr>
        <w:spacing w:before="120" w:after="120" w:line="288" w:lineRule="auto"/>
        <w:ind w:left="0"/>
        <w:jc w:val="left"/>
      </w:pPr>
      <w:r>
        <w:rPr>
          <w:rFonts w:eastAsia="等线" w:ascii="Arial" w:cs="Arial" w:hAnsi="Arial"/>
          <w:sz w:val="22"/>
        </w:rPr>
        <w:t>取消率（Cancellation Rate）</w:t>
      </w:r>
    </w:p>
    <w:p>
      <w:pPr>
        <w:numPr>
          <w:numId w:val="3"/>
        </w:numPr>
        <w:spacing w:before="120" w:after="120" w:line="288" w:lineRule="auto"/>
        <w:ind w:left="0"/>
        <w:jc w:val="left"/>
      </w:pPr>
      <w:r>
        <w:rPr>
          <w:rFonts w:eastAsia="等线" w:ascii="Arial" w:cs="Arial" w:hAnsi="Arial"/>
          <w:sz w:val="22"/>
        </w:rPr>
        <w:t>有效追踪率（Valid Tracking Rate）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DF对你来说掌握库存和发货主动权，但也承担了最后一公里配送的所有成本和风险。</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1.2 PO供货/采购模式</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PO（Purchase Order）</w:t>
      </w:r>
      <w:r>
        <w:rPr>
          <w:rFonts w:eastAsia="等线" w:ascii="Arial" w:cs="Arial" w:hAnsi="Arial"/>
          <w:sz w:val="22"/>
        </w:rPr>
        <w:t xml:space="preserve"> 是最经典的VC供货模式。亚马逊根据需求预测向你下发采购订单，你需要在Ship Window内将商品发货到指定的Amazon Fulfillment Center（FC）。亚马逊签收后拥有库存所有权，后续由亚马逊完成配送。PO模式要求你具备较强的交付能力，提前期、ASN准确率、PO确认率和按时发货率都会直接决定系统的下单频率与你的账号健康度。</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1.3 DI供货/采购模式</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DI（Direct Import）</w:t>
      </w:r>
      <w:r>
        <w:rPr>
          <w:rFonts w:eastAsia="等线" w:ascii="Arial" w:cs="Arial" w:hAnsi="Arial"/>
          <w:sz w:val="22"/>
        </w:rPr>
        <w:t xml:space="preserve"> 指供应商直接以国际贸易方式将货物运送到亚马逊指定的海外仓库（通常是整柜或拼柜），由亚马逊或其指定货代作为进口方清关并送入FC。DI模式下你提供FOB价格，往往不承担目的港费用和关税。此类模式一般适用于大宗商品、采购体量大的供应商，需要配合亚马逊的国际物流团队，并满足目的国进口资质要求。</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第二章 VC供应商账号费率构成</w:t>
      </w:r>
      <w:bookmarkEnd w:id="7"/>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2.1 账号综合费用率范围</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VC账号的“费率”实际体现在Trade Agreement条款中，常见扣减项包括：</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Damage Allowance（破损津贴）</w:t>
      </w:r>
      <w:r>
        <w:rPr>
          <w:rFonts w:eastAsia="等线" w:ascii="Arial" w:cs="Arial" w:hAnsi="Arial"/>
          <w:sz w:val="22"/>
        </w:rPr>
        <w:t>：2%-5%，按供货价比例扣除。</w:t>
      </w:r>
    </w:p>
    <w:p>
      <w:pPr>
        <w:numPr>
          <w:numId w:val="5"/>
        </w:numPr>
        <w:spacing w:before="120" w:after="120" w:line="288" w:lineRule="auto"/>
        <w:ind w:left="0"/>
        <w:jc w:val="left"/>
      </w:pPr>
      <w:r>
        <w:rPr>
          <w:rFonts w:eastAsia="等线" w:ascii="Arial" w:cs="Arial" w:hAnsi="Arial"/>
          <w:b w:val="true"/>
          <w:sz w:val="22"/>
        </w:rPr>
        <w:t>Freight Allowance（运费津贴）</w:t>
      </w:r>
      <w:r>
        <w:rPr>
          <w:rFonts w:eastAsia="等线" w:ascii="Arial" w:cs="Arial" w:hAnsi="Arial"/>
          <w:sz w:val="22"/>
        </w:rPr>
        <w:t>：若Collect模式（亚马逊提货/承担运费），通常3%-5%。</w:t>
      </w:r>
    </w:p>
    <w:p>
      <w:pPr>
        <w:numPr>
          <w:numId w:val="6"/>
        </w:numPr>
        <w:spacing w:before="120" w:after="120" w:line="288" w:lineRule="auto"/>
        <w:ind w:left="0"/>
        <w:jc w:val="left"/>
      </w:pPr>
      <w:r>
        <w:rPr>
          <w:rFonts w:eastAsia="等线" w:ascii="Arial" w:cs="Arial" w:hAnsi="Arial"/>
          <w:b w:val="true"/>
          <w:sz w:val="22"/>
        </w:rPr>
        <w:t>Co-op/MDF（营销发展基金）</w:t>
      </w:r>
      <w:r>
        <w:rPr>
          <w:rFonts w:eastAsia="等线" w:ascii="Arial" w:cs="Arial" w:hAnsi="Arial"/>
          <w:sz w:val="22"/>
        </w:rPr>
        <w:t>：0%-10%，视品类和谈判。</w:t>
      </w:r>
    </w:p>
    <w:p>
      <w:pPr>
        <w:numPr>
          <w:numId w:val="7"/>
        </w:numPr>
        <w:spacing w:before="120" w:after="120" w:line="288" w:lineRule="auto"/>
        <w:ind w:left="0"/>
        <w:jc w:val="left"/>
      </w:pPr>
      <w:r>
        <w:rPr>
          <w:rFonts w:eastAsia="等线" w:ascii="Arial" w:cs="Arial" w:hAnsi="Arial"/>
          <w:b w:val="true"/>
          <w:sz w:val="22"/>
        </w:rPr>
        <w:t>EDI/Processing Fees</w:t>
      </w:r>
      <w:r>
        <w:rPr>
          <w:rFonts w:eastAsia="等线" w:ascii="Arial" w:cs="Arial" w:hAnsi="Arial"/>
          <w:sz w:val="22"/>
        </w:rPr>
        <w:t>：少数账号存在。</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实际到你账户的汇款约为发票金额的75%-90%，视条款组合而定。你需要计算净实收价：</w:t>
      </w:r>
    </w:p>
    <w:p>
      <w:pPr>
        <w:spacing w:before="120" w:after="120" w:line="288" w:lineRule="auto"/>
        <w:ind w:left="0"/>
        <w:jc w:val="left"/>
      </w:pPr>
      <w:r>
        <w:rPr>
          <w:rFonts w:eastAsia="等线" w:ascii="Arial" w:cs="Arial" w:hAnsi="Arial"/>
          <w:b w:val="true"/>
          <w:sz w:val="22"/>
        </w:rPr>
        <w:t>净批发价 = 供货价 × (1 - Damage% - Freight% - Co-op%)</w:t>
      </w:r>
      <w:r>
        <w:rPr>
          <w:rFonts w:eastAsia="等线" w:ascii="Arial" w:cs="Arial" w:hAnsi="Arial"/>
          <w:sz w:val="22"/>
        </w:rPr>
        <w:t>，再减去可能产生的Chargeback。</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2.2 标准账号、费本账号、品牌加速器账号</w:t>
      </w:r>
      <w:bookmarkEnd w:id="9"/>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标准账号</w:t>
      </w:r>
      <w:r>
        <w:rPr>
          <w:rFonts w:eastAsia="等线" w:ascii="Arial" w:cs="Arial" w:hAnsi="Arial"/>
          <w:sz w:val="22"/>
        </w:rPr>
        <w:t>：最常见的VC账号，条款常规，支持PO和DF，盈利来自产品批发利润。</w:t>
      </w:r>
    </w:p>
    <w:p>
      <w:pPr>
        <w:numPr>
          <w:numId w:val="9"/>
        </w:numPr>
        <w:spacing w:before="120" w:after="120" w:line="288" w:lineRule="auto"/>
        <w:ind w:left="0"/>
        <w:jc w:val="left"/>
      </w:pPr>
      <w:r>
        <w:rPr>
          <w:rFonts w:eastAsia="等线" w:ascii="Arial" w:cs="Arial" w:hAnsi="Arial"/>
          <w:b w:val="true"/>
          <w:sz w:val="22"/>
        </w:rPr>
        <w:t>费本（Fee-based）账号</w:t>
      </w:r>
      <w:r>
        <w:rPr>
          <w:rFonts w:eastAsia="等线" w:ascii="Arial" w:cs="Arial" w:hAnsi="Arial"/>
          <w:sz w:val="22"/>
        </w:rPr>
        <w:t>：一些通过服务商或特定项目入驻的账号，可能每年需缴纳额外平台费或更高的联合营销费用，成本结构不同。</w:t>
      </w:r>
    </w:p>
    <w:p>
      <w:pPr>
        <w:numPr>
          <w:numId w:val="10"/>
        </w:numPr>
        <w:spacing w:before="120" w:after="120" w:line="288" w:lineRule="auto"/>
        <w:ind w:left="0"/>
        <w:jc w:val="left"/>
      </w:pPr>
      <w:r>
        <w:rPr>
          <w:rFonts w:eastAsia="等线" w:ascii="Arial" w:cs="Arial" w:hAnsi="Arial"/>
          <w:b w:val="true"/>
          <w:sz w:val="22"/>
        </w:rPr>
        <w:t>品牌加速器（Brand Accelerator）账号</w:t>
      </w:r>
      <w:r>
        <w:rPr>
          <w:rFonts w:eastAsia="等线" w:ascii="Arial" w:cs="Arial" w:hAnsi="Arial"/>
          <w:sz w:val="22"/>
        </w:rPr>
        <w:t>：亚马逊加速器项目中，供应商为亚马逊自有品牌提供产品，往往有独家条款、更低的利润率要求但换来流量倾斜和自动化运营支持。</w:t>
      </w:r>
    </w:p>
    <w:p>
      <w:pPr>
        <w:spacing w:before="120" w:after="120" w:line="288" w:lineRule="auto"/>
        <w:ind w:left="453"/>
        <w:jc w:val="left"/>
      </w:pPr>
    </w:p>
    <w:p>
      <w:pPr>
        <w:pStyle w:val="3"/>
        <w:spacing w:before="300" w:after="120" w:line="288" w:lineRule="auto"/>
        <w:ind w:left="0"/>
        <w:jc w:val="left"/>
        <w:outlineLvl w:val="2"/>
      </w:pPr>
      <w:bookmarkStart w:name="heading_10" w:id="10"/>
      <w:r>
        <w:rPr>
          <w:rFonts w:eastAsia="等线" w:ascii="Arial" w:cs="Arial" w:hAnsi="Arial"/>
          <w:b w:val="true"/>
          <w:sz w:val="30"/>
        </w:rPr>
        <w:t>2.3 费率谈判关键点</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谈判时不要只看单项百分比，要拿出过去12个月的同类数据，申明实际破损率远低于津贴比例，或你的货运方式已改为Prepaid，应取消Freight Allowance。同时，可以用新增的营销投入换取损伤津贴的降低，或承诺在PO效率指标上达到国际水平以换取Co-op减免。</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第三章 2025年最新VC后台BETA模块</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2025年，Vendor Central在逐步迁移至新平台上，部分Beta功能包括：</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新的Catalog模块</w:t>
      </w:r>
      <w:r>
        <w:rPr>
          <w:rFonts w:eastAsia="等线" w:ascii="Arial" w:cs="Arial" w:hAnsi="Arial"/>
          <w:sz w:val="22"/>
        </w:rPr>
        <w:t>：统一产品信息管理，支持批量编辑、版本历史回滚。</w:t>
      </w:r>
    </w:p>
    <w:p>
      <w:pPr>
        <w:numPr>
          <w:numId w:val="12"/>
        </w:numPr>
        <w:spacing w:before="120" w:after="120" w:line="288" w:lineRule="auto"/>
        <w:ind w:left="0"/>
        <w:jc w:val="left"/>
      </w:pPr>
      <w:r>
        <w:rPr>
          <w:rFonts w:eastAsia="等线" w:ascii="Arial" w:cs="Arial" w:hAnsi="Arial"/>
          <w:b w:val="true"/>
          <w:sz w:val="22"/>
        </w:rPr>
        <w:t>Advanced Analytics Dashboard</w:t>
      </w:r>
      <w:r>
        <w:rPr>
          <w:rFonts w:eastAsia="等线" w:ascii="Arial" w:cs="Arial" w:hAnsi="Arial"/>
          <w:sz w:val="22"/>
        </w:rPr>
        <w:t>：可视化Net PPM、库存健康度、退货原因图谱。</w:t>
      </w:r>
    </w:p>
    <w:p>
      <w:pPr>
        <w:numPr>
          <w:numId w:val="13"/>
        </w:numPr>
        <w:spacing w:before="120" w:after="120" w:line="288" w:lineRule="auto"/>
        <w:ind w:left="0"/>
        <w:jc w:val="left"/>
      </w:pPr>
      <w:r>
        <w:rPr>
          <w:rFonts w:eastAsia="等线" w:ascii="Arial" w:cs="Arial" w:hAnsi="Arial"/>
          <w:b w:val="true"/>
          <w:sz w:val="22"/>
        </w:rPr>
        <w:t>自动Chargeback Dispute</w:t>
      </w:r>
      <w:r>
        <w:rPr>
          <w:rFonts w:eastAsia="等线" w:ascii="Arial" w:cs="Arial" w:hAnsi="Arial"/>
          <w:sz w:val="22"/>
        </w:rPr>
        <w:t>：对系统自动识别的争议扣款提供一键申诉和证据上传。</w:t>
      </w:r>
    </w:p>
    <w:p>
      <w:pPr>
        <w:numPr>
          <w:numId w:val="14"/>
        </w:numPr>
        <w:spacing w:before="120" w:after="120" w:line="288" w:lineRule="auto"/>
        <w:ind w:left="0"/>
        <w:jc w:val="left"/>
      </w:pPr>
      <w:r>
        <w:rPr>
          <w:rFonts w:eastAsia="等线" w:ascii="Arial" w:cs="Arial" w:hAnsi="Arial"/>
          <w:b w:val="true"/>
          <w:sz w:val="22"/>
        </w:rPr>
        <w:t>PO协商工具（PO Negotiation）</w:t>
      </w:r>
      <w:r>
        <w:rPr>
          <w:rFonts w:eastAsia="等线" w:ascii="Arial" w:cs="Arial" w:hAnsi="Arial"/>
          <w:sz w:val="22"/>
        </w:rPr>
        <w:t>：允许就PO数量和发货窗口进行即时回复，而不仅仅是接受或拒绝，减少拒绝率惩罚。</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这些模块在部分VC账号中可能尚未全面开放，但趋势是让供应商拥有更多数据和对抗异常扣款的手段。</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第四章 VC账号日常邮件综合解析与处理</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VC邮箱会收到大量系统与人工邮件，大致分为以下类型：</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b w:val="true"/>
          <w:sz w:val="22"/>
        </w:rPr>
        <w:t>PO相关通知</w:t>
      </w:r>
      <w:r>
        <w:rPr>
          <w:rFonts w:eastAsia="等线" w:ascii="Arial" w:cs="Arial" w:hAnsi="Arial"/>
          <w:sz w:val="22"/>
        </w:rPr>
        <w:t>：新PO下发、修改、取消提醒。必须及时处理，确认是否接受。</w:t>
      </w:r>
    </w:p>
    <w:p>
      <w:pPr>
        <w:numPr>
          <w:numId w:val="16"/>
        </w:numPr>
        <w:spacing w:before="120" w:after="120" w:line="288" w:lineRule="auto"/>
        <w:ind w:left="0"/>
        <w:jc w:val="left"/>
      </w:pPr>
      <w:r>
        <w:rPr>
          <w:rFonts w:eastAsia="等线" w:ascii="Arial" w:cs="Arial" w:hAnsi="Arial"/>
          <w:b w:val="true"/>
          <w:sz w:val="22"/>
        </w:rPr>
        <w:t>Chargeback通知</w:t>
      </w:r>
      <w:r>
        <w:rPr>
          <w:rFonts w:eastAsia="等线" w:ascii="Arial" w:cs="Arial" w:hAnsi="Arial"/>
          <w:sz w:val="22"/>
        </w:rPr>
        <w:t>：附有原因代码（如No PO Found、Shortage）。需要根据原因核对发货记录，若属于误判，立即通过支持案例申诉。</w:t>
      </w:r>
    </w:p>
    <w:p>
      <w:pPr>
        <w:numPr>
          <w:numId w:val="17"/>
        </w:numPr>
        <w:spacing w:before="120" w:after="120" w:line="288" w:lineRule="auto"/>
        <w:ind w:left="0"/>
        <w:jc w:val="left"/>
      </w:pPr>
      <w:r>
        <w:rPr>
          <w:rFonts w:eastAsia="等线" w:ascii="Arial" w:cs="Arial" w:hAnsi="Arial"/>
          <w:b w:val="true"/>
          <w:sz w:val="22"/>
        </w:rPr>
        <w:t>Vendor Manager沟通</w:t>
      </w:r>
      <w:r>
        <w:rPr>
          <w:rFonts w:eastAsia="等线" w:ascii="Arial" w:cs="Arial" w:hAnsi="Arial"/>
          <w:sz w:val="22"/>
        </w:rPr>
        <w:t>：年度谈判预约、新品引进、营销活动推介、成本修改建议。需以专业且数据化的方式回复。</w:t>
      </w:r>
    </w:p>
    <w:p>
      <w:pPr>
        <w:numPr>
          <w:numId w:val="18"/>
        </w:numPr>
        <w:spacing w:before="120" w:after="120" w:line="288" w:lineRule="auto"/>
        <w:ind w:left="0"/>
        <w:jc w:val="left"/>
      </w:pPr>
      <w:r>
        <w:rPr>
          <w:rFonts w:eastAsia="等线" w:ascii="Arial" w:cs="Arial" w:hAnsi="Arial"/>
          <w:b w:val="true"/>
          <w:sz w:val="22"/>
        </w:rPr>
        <w:t>合规与质量通知</w:t>
      </w:r>
      <w:r>
        <w:rPr>
          <w:rFonts w:eastAsia="等线" w:ascii="Arial" w:cs="Arial" w:hAnsi="Arial"/>
          <w:sz w:val="22"/>
        </w:rPr>
        <w:t>：产品合规文件缺失、客户投诉质量问题、要求提供认证。必须限期内提交，否则listing下架。</w:t>
      </w:r>
    </w:p>
    <w:p>
      <w:pPr>
        <w:numPr>
          <w:numId w:val="19"/>
        </w:numPr>
        <w:spacing w:before="120" w:after="120" w:line="288" w:lineRule="auto"/>
        <w:ind w:left="0"/>
        <w:jc w:val="left"/>
      </w:pPr>
      <w:r>
        <w:rPr>
          <w:rFonts w:eastAsia="等线" w:ascii="Arial" w:cs="Arial" w:hAnsi="Arial"/>
          <w:b w:val="true"/>
          <w:sz w:val="22"/>
        </w:rPr>
        <w:t>价格保护请求</w:t>
      </w:r>
      <w:r>
        <w:rPr>
          <w:rFonts w:eastAsia="等线" w:ascii="Arial" w:cs="Arial" w:hAnsi="Arial"/>
          <w:sz w:val="22"/>
        </w:rPr>
        <w:t>：亚马逊要求降低供货价以匹配零售降价。需评估利润，回复接受、协商或提供替代方案。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处理原则</w:t>
      </w:r>
      <w:r>
        <w:rPr>
          <w:rFonts w:eastAsia="等线" w:ascii="Arial" w:cs="Arial" w:hAnsi="Arial"/>
          <w:sz w:val="22"/>
        </w:rPr>
        <w:t>：所有邮件72小时内必须响应，哪怕只是告知“已收到正在评估”。与VM的邮件注意保留书面记录，便于后续对证。对于Chargeback申诉，要事无巨细附上报关单、ASN截图、追踪号、签名照片。</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第五章 VC订单处理全流程（PO主导型）</w:t>
      </w:r>
      <w:bookmarkEnd w:id="13"/>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5.1 详细流程图</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（此处原计划配图描述，文字描述如下）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流程：</w:t>
      </w:r>
    </w:p>
    <w:p>
      <w:pPr>
        <w:spacing w:before="120" w:after="120" w:line="288" w:lineRule="auto"/>
        <w:ind w:left="0"/>
        <w:jc w:val="left"/>
      </w:pPr>
      <w:r>
        <w:rPr>
          <w:rFonts w:eastAsia="等线" w:ascii="Arial" w:cs="Arial" w:hAnsi="Arial"/>
          <w:sz w:val="22"/>
        </w:rPr>
        <w:t>① 系统下发PO → ② 运营在VC后台查看PO详情（窗口、数量、仓库） → ③ 判断库存是否可满足 → ④ 如可，确认PO（Accept）并生成ASN → ⑤ 创建发货计划，打印箱贴与托盘标签 → ⑥ 安排运输，在窗口内交付 → ⑦ 提交ASN，确保装箱单与实物一致 → ⑧ 跟踪物流至亚马逊签收 → ⑨ 监控接收差异，处理差异和Chargeback → ⑩ 开具发票（根据付款条件）</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5.2 执行层面工作流及作业说明</w:t>
      </w:r>
      <w:bookmarkEnd w:id="15"/>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b w:val="true"/>
          <w:sz w:val="22"/>
        </w:rPr>
        <w:t>确认PO时限</w:t>
      </w:r>
      <w:r>
        <w:rPr>
          <w:rFonts w:eastAsia="等线" w:ascii="Arial" w:cs="Arial" w:hAnsi="Arial"/>
          <w:sz w:val="22"/>
        </w:rPr>
        <w:t>：系统要求的确认窗口仅在48-72小时内，超时自动拒绝，直接影响确认率。</w:t>
      </w:r>
    </w:p>
    <w:p>
      <w:pPr>
        <w:numPr>
          <w:numId w:val="21"/>
        </w:numPr>
        <w:spacing w:before="120" w:after="120" w:line="288" w:lineRule="auto"/>
        <w:ind w:left="0"/>
        <w:jc w:val="left"/>
      </w:pPr>
      <w:r>
        <w:rPr>
          <w:rFonts w:eastAsia="等线" w:ascii="Arial" w:cs="Arial" w:hAnsi="Arial"/>
          <w:b w:val="true"/>
          <w:sz w:val="22"/>
        </w:rPr>
        <w:t>ASN制作</w:t>
      </w:r>
      <w:r>
        <w:rPr>
          <w:rFonts w:eastAsia="等线" w:ascii="Arial" w:cs="Arial" w:hAnsi="Arial"/>
          <w:sz w:val="22"/>
        </w:rPr>
        <w:t>：每一箱内装SKU及数量必须精确，箱序号与FBA外箱标签对应。建议使用ERP自动生成并校验。</w:t>
      </w:r>
    </w:p>
    <w:p>
      <w:pPr>
        <w:numPr>
          <w:numId w:val="22"/>
        </w:numPr>
        <w:spacing w:before="120" w:after="120" w:line="288" w:lineRule="auto"/>
        <w:ind w:left="0"/>
        <w:jc w:val="left"/>
      </w:pPr>
      <w:r>
        <w:rPr>
          <w:rFonts w:eastAsia="等线" w:ascii="Arial" w:cs="Arial" w:hAnsi="Arial"/>
          <w:b w:val="true"/>
          <w:sz w:val="22"/>
        </w:rPr>
        <w:t>发货时效</w:t>
      </w:r>
      <w:r>
        <w:rPr>
          <w:rFonts w:eastAsia="等线" w:ascii="Arial" w:cs="Arial" w:hAnsi="Arial"/>
          <w:sz w:val="22"/>
        </w:rPr>
        <w:t>：必须在Ship Window的起始与截止日期内送达。提前到达可能被拒收，迟到导致迟交Chargeback并计入绩效。</w:t>
      </w:r>
    </w:p>
    <w:p>
      <w:pPr>
        <w:numPr>
          <w:numId w:val="23"/>
        </w:numPr>
        <w:spacing w:before="120" w:after="120" w:line="288" w:lineRule="auto"/>
        <w:ind w:left="0"/>
        <w:jc w:val="left"/>
      </w:pPr>
      <w:r>
        <w:rPr>
          <w:rFonts w:eastAsia="等线" w:ascii="Arial" w:cs="Arial" w:hAnsi="Arial"/>
          <w:b w:val="true"/>
          <w:sz w:val="22"/>
        </w:rPr>
        <w:t>超量和短缺</w:t>
      </w:r>
      <w:r>
        <w:rPr>
          <w:rFonts w:eastAsia="等线" w:ascii="Arial" w:cs="Arial" w:hAnsi="Arial"/>
          <w:sz w:val="22"/>
        </w:rPr>
        <w:t>：PO数量允许一定比例的过量发货（通常5%或特定值），超出部分可能被拒收或按低价折收。短缺部分直接生成Chargeback。</w:t>
      </w:r>
    </w:p>
    <w:p>
      <w:pPr>
        <w:numPr>
          <w:numId w:val="24"/>
        </w:numPr>
        <w:spacing w:before="120" w:after="120" w:line="288" w:lineRule="auto"/>
        <w:ind w:left="0"/>
        <w:jc w:val="left"/>
      </w:pPr>
      <w:r>
        <w:rPr>
          <w:rFonts w:eastAsia="等线" w:ascii="Arial" w:cs="Arial" w:hAnsi="Arial"/>
          <w:b w:val="true"/>
          <w:sz w:val="22"/>
        </w:rPr>
        <w:t>托盘标签</w:t>
      </w:r>
      <w:r>
        <w:rPr>
          <w:rFonts w:eastAsia="等线" w:ascii="Arial" w:cs="Arial" w:hAnsi="Arial"/>
          <w:sz w:val="22"/>
        </w:rPr>
        <w:t>：亚马逊要求打托货物必须贴pallet label，包含PO号、送货地址等。</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16" w:id="16"/>
      <w:r>
        <w:rPr>
          <w:rFonts w:eastAsia="等线" w:ascii="Arial" w:cs="Arial" w:hAnsi="Arial"/>
          <w:b w:val="true"/>
          <w:sz w:val="32"/>
        </w:rPr>
        <w:t>第六章 VC订单处理全流程（DF主导型）</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针对DF模式，流程不同：</w:t>
      </w:r>
    </w:p>
    <w:p>
      <w:pPr>
        <w:spacing w:before="120" w:after="120" w:line="288" w:lineRule="auto"/>
        <w:ind w:left="0"/>
        <w:jc w:val="left"/>
      </w:pPr>
    </w:p>
    <w:p>
      <w:pPr>
        <w:spacing w:before="120" w:after="120" w:line="288" w:lineRule="auto"/>
        <w:ind w:left="0"/>
        <w:jc w:val="left"/>
      </w:pPr>
      <w:r>
        <w:rPr>
          <w:rFonts w:eastAsia="等线" w:ascii="Arial" w:cs="Arial" w:hAnsi="Arial"/>
          <w:sz w:val="22"/>
        </w:rPr>
        <w:t>①消费者下单 → ②订单出现在VC DF Dashboard → ③你在规定时效内确认订单（通常4小时内） → ④生成Amazon物流面单 → ⑤拣货、包装并贴标 → ⑥交付给指定承运商 → ⑦上传追踪号并确认发货 → ⑧顾客签收。</w:t>
      </w:r>
    </w:p>
    <w:p>
      <w:pPr>
        <w:spacing w:before="120" w:after="120" w:line="288" w:lineRule="auto"/>
        <w:ind w:left="0"/>
        <w:jc w:val="left"/>
      </w:pPr>
    </w:p>
    <w:p>
      <w:pPr>
        <w:spacing w:before="120" w:after="120" w:line="288" w:lineRule="auto"/>
        <w:ind w:left="0"/>
        <w:jc w:val="left"/>
      </w:pPr>
      <w:r>
        <w:rPr>
          <w:rFonts w:eastAsia="等线" w:ascii="Arial" w:cs="Arial" w:hAnsi="Arial"/>
          <w:sz w:val="22"/>
        </w:rPr>
        <w:t>重点：DF模式要求零延迟确认，取消率必须低于1.5%。若无法发货，必须立即在系统应用取消代码，避免影响绩效。库存同步需通过EDl或Flatfile与亚马逊建立集成。</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第七章 VC运营大件产品运送认证要求</w:t>
      </w:r>
      <w:bookmarkEnd w:id="17"/>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7.1 大件运送准备</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如果你的产品属于Oversize或超大件，亚马逊要求你提前获取“重型大件配送资格”或通过特定的物流评估。你需要在VC后台提交：</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包装测试报告（ISTA 6-Amazon.com等）</w:t>
      </w:r>
    </w:p>
    <w:p>
      <w:pPr>
        <w:numPr>
          <w:numId w:val="26"/>
        </w:numPr>
        <w:spacing w:before="120" w:after="120" w:line="288" w:lineRule="auto"/>
        <w:ind w:left="0"/>
        <w:jc w:val="left"/>
      </w:pPr>
      <w:r>
        <w:rPr>
          <w:rFonts w:eastAsia="等线" w:ascii="Arial" w:cs="Arial" w:hAnsi="Arial"/>
          <w:sz w:val="22"/>
        </w:rPr>
        <w:t>产品尺寸重量验证</w:t>
      </w:r>
    </w:p>
    <w:p>
      <w:pPr>
        <w:numPr>
          <w:numId w:val="27"/>
        </w:numPr>
        <w:spacing w:before="120" w:after="120" w:line="288" w:lineRule="auto"/>
        <w:ind w:left="0"/>
        <w:jc w:val="left"/>
      </w:pPr>
      <w:r>
        <w:rPr>
          <w:rFonts w:eastAsia="等线" w:ascii="Arial" w:cs="Arial" w:hAnsi="Arial"/>
          <w:sz w:val="22"/>
        </w:rPr>
        <w:t>货件搬运安全风险评估</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未提前认证就发货会导致拒收和罚款。</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7.2 预防入库罚款</w:t>
      </w:r>
      <w:bookmarkEnd w:id="19"/>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严格遵循Amazon Shipping and Routing Requirements，使用Carrier Central提交预约。</w:t>
      </w:r>
    </w:p>
    <w:p>
      <w:pPr>
        <w:numPr>
          <w:numId w:val="29"/>
        </w:numPr>
        <w:spacing w:before="120" w:after="120" w:line="288" w:lineRule="auto"/>
        <w:ind w:left="0"/>
        <w:jc w:val="left"/>
      </w:pPr>
      <w:r>
        <w:rPr>
          <w:rFonts w:eastAsia="等线" w:ascii="Arial" w:cs="Arial" w:hAnsi="Arial"/>
          <w:sz w:val="22"/>
        </w:rPr>
        <w:t>确保每一托盘高度、重量不超标，非标准托盘会被收取额外处理费。</w:t>
      </w:r>
    </w:p>
    <w:p>
      <w:pPr>
        <w:numPr>
          <w:numId w:val="30"/>
        </w:numPr>
        <w:spacing w:before="120" w:after="120" w:line="288" w:lineRule="auto"/>
        <w:ind w:left="0"/>
        <w:jc w:val="left"/>
      </w:pPr>
      <w:r>
        <w:rPr>
          <w:rFonts w:eastAsia="等线" w:ascii="Arial" w:cs="Arial" w:hAnsi="Arial"/>
          <w:sz w:val="22"/>
        </w:rPr>
        <w:t>外箱不要有任何其他渠道的标识，使用透明胶带封箱。</w:t>
      </w:r>
    </w:p>
    <w:p>
      <w:pPr>
        <w:numPr>
          <w:numId w:val="31"/>
        </w:numPr>
        <w:spacing w:before="120" w:after="120" w:line="288" w:lineRule="auto"/>
        <w:ind w:left="0"/>
        <w:jc w:val="left"/>
      </w:pPr>
      <w:r>
        <w:rPr>
          <w:rFonts w:eastAsia="等线" w:ascii="Arial" w:cs="Arial" w:hAnsi="Arial"/>
          <w:sz w:val="22"/>
        </w:rPr>
        <w:t>发货前对每一件产品拍照留底，作为接收差异争议的证据。</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20" w:id="20"/>
      <w:r>
        <w:rPr>
          <w:rFonts w:eastAsia="等线" w:ascii="Arial" w:cs="Arial" w:hAnsi="Arial"/>
          <w:b w:val="true"/>
          <w:sz w:val="32"/>
        </w:rPr>
        <w:t>第八章 上架产品流程图及步骤</w:t>
      </w:r>
      <w:bookmarkEnd w:id="20"/>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8.1 上架产品流程</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①确定产品GTIN（UPC豁免或GCID） → ②在VC后台“Items” &gt; “Add a Product” 输入识别码 → ③填写供货价（your cost）、建议零售价（list price）以及产品基本信息 → ④提交等待亚马逊目录团队审核，可能会被要求提供图片、产品文档 → ⑤通过后出现在目录中，你可在Item Setup里补充A+内容、视频等 → ⑥一旦listing激活，关注是否出现购物车缺失等异常。</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8.3 编辑图片及上传产品视频</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在VC的Item管理页面，进入“Product Images”，可上传主图、辅图。必须符合亚马逊图片标准。视频上传：部分品类可以直接在“Video”模块添加，或通过品牌注册后的A+内容中嵌入。</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8.4 产品说明书及相关认证上传</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在“Compliance Documents”或“Safety &amp; Compliance”里，按照提示上传产品的Safety Data Sheet、合格声明、510K（FDA类）、FCC等。缺文件会立刻触发listing Suppression并冻结库存。</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第九章 识别VC购物车及影响因子</w:t>
      </w:r>
      <w:bookmarkEnd w:id="24"/>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9.2 VC端商品库存状态</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VC商品的购物车获取取决于库存可售量。如果后台“Available Inventory”低于安全阈值或存在由亚马逊设置的订购限制，购物车可能丢失。定期检查Retail Analytics中的库存水平。</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9.6 Amazon订单接单率</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PO接单率低于95%会降低你作为供应商的可靠性评级，从而影响未来PO分配，间接导致失去购物车。</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第十章 修改PO接单状态</w:t>
      </w:r>
      <w:bookmarkEnd w:id="27"/>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如果你发现当前无法接受某个PO，不要在后台直接拒绝。先核对是否可以协商修改窗口。部分账号支持在PO详情页“Request Change”来修改数量或窗口。如果必须拒绝，使用Discontinue Reason并详细说明原因，但要做好接单率受到影响的准备。</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第十一章 VC产品成本通用计算公式</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PPM（Product Profit Margin）</w:t>
      </w:r>
      <w:r>
        <w:rPr>
          <w:rFonts w:eastAsia="等线" w:ascii="Arial" w:cs="Arial" w:hAnsi="Arial"/>
          <w:sz w:val="22"/>
        </w:rPr>
        <w:t>：</w:t>
      </w:r>
    </w:p>
    <w:p>
      <w:pPr>
        <w:spacing w:before="120" w:after="120" w:line="288" w:lineRule="auto"/>
        <w:ind w:left="0"/>
        <w:jc w:val="left"/>
      </w:pPr>
      <w:r>
        <w:rPr>
          <w:rFonts w:eastAsia="等线" w:ascii="Arial" w:cs="Arial" w:hAnsi="Arial"/>
          <w:sz w:val="22"/>
        </w:rPr>
        <w:t>(零售收入 - 供货价 - 各项津贴 - 退货折损) / 零售收入。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CM（Contribution Margin）</w:t>
      </w:r>
      <w:r>
        <w:rPr>
          <w:rFonts w:eastAsia="等线" w:ascii="Arial" w:cs="Arial" w:hAnsi="Arial"/>
          <w:sz w:val="22"/>
        </w:rPr>
        <w:t xml:space="preserve"> = 净供货收入 - 因产品产生的运营类Chargeback。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你需要掌握每一项扣减，建立动态模型，当Amazon要求降价时，能立即算出新的净利润。</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第十二章 VC的CASE路径及不同团队分类</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在后台右上角“Support”开Case，需选择对应路径：</w:t>
      </w:r>
    </w:p>
    <w:p>
      <w:pPr>
        <w:spacing w:before="120" w:after="120" w:line="288" w:lineRule="auto"/>
        <w:ind w:left="0"/>
        <w:jc w:val="left"/>
      </w:pPr>
    </w:p>
    <w:p>
      <w:pPr>
        <w:numPr>
          <w:numId w:val="32"/>
        </w:numPr>
        <w:spacing w:before="120" w:after="120" w:line="288" w:lineRule="auto"/>
        <w:ind w:left="0"/>
        <w:jc w:val="left"/>
      </w:pPr>
      <w:r>
        <w:rPr>
          <w:rFonts w:eastAsia="等线" w:ascii="Arial" w:cs="Arial" w:hAnsi="Arial"/>
          <w:b w:val="true"/>
          <w:sz w:val="22"/>
        </w:rPr>
        <w:t>PO/发货相关</w:t>
      </w:r>
      <w:r>
        <w:rPr>
          <w:rFonts w:eastAsia="等线" w:ascii="Arial" w:cs="Arial" w:hAnsi="Arial"/>
          <w:sz w:val="22"/>
        </w:rPr>
        <w:t>：选Orders &amp; Fulfillment，细分PO Discrepancy、ASN Issue。</w:t>
      </w:r>
    </w:p>
    <w:p>
      <w:pPr>
        <w:numPr>
          <w:numId w:val="33"/>
        </w:numPr>
        <w:spacing w:before="120" w:after="120" w:line="288" w:lineRule="auto"/>
        <w:ind w:left="0"/>
        <w:jc w:val="left"/>
      </w:pPr>
      <w:r>
        <w:rPr>
          <w:rFonts w:eastAsia="等线" w:ascii="Arial" w:cs="Arial" w:hAnsi="Arial"/>
          <w:b w:val="true"/>
          <w:sz w:val="22"/>
        </w:rPr>
        <w:t>Catalog/Listing</w:t>
      </w:r>
      <w:r>
        <w:rPr>
          <w:rFonts w:eastAsia="等线" w:ascii="Arial" w:cs="Arial" w:hAnsi="Arial"/>
          <w:sz w:val="22"/>
        </w:rPr>
        <w:t>：选Items &amp; Inventory，比如属性修改、合规。</w:t>
      </w:r>
    </w:p>
    <w:p>
      <w:pPr>
        <w:numPr>
          <w:numId w:val="34"/>
        </w:numPr>
        <w:spacing w:before="120" w:after="120" w:line="288" w:lineRule="auto"/>
        <w:ind w:left="0"/>
        <w:jc w:val="left"/>
      </w:pPr>
      <w:r>
        <w:rPr>
          <w:rFonts w:eastAsia="等线" w:ascii="Arial" w:cs="Arial" w:hAnsi="Arial"/>
          <w:b w:val="true"/>
          <w:sz w:val="22"/>
        </w:rPr>
        <w:t>Payment/Invoice</w:t>
      </w:r>
      <w:r>
        <w:rPr>
          <w:rFonts w:eastAsia="等线" w:ascii="Arial" w:cs="Arial" w:hAnsi="Arial"/>
          <w:sz w:val="22"/>
        </w:rPr>
        <w:t>：选Payments，缴纳异议、发票状态咨询。</w:t>
      </w:r>
    </w:p>
    <w:p>
      <w:pPr>
        <w:numPr>
          <w:numId w:val="35"/>
        </w:numPr>
        <w:spacing w:before="120" w:after="120" w:line="288" w:lineRule="auto"/>
        <w:ind w:left="0"/>
        <w:jc w:val="left"/>
      </w:pPr>
      <w:r>
        <w:rPr>
          <w:rFonts w:eastAsia="等线" w:ascii="Arial" w:cs="Arial" w:hAnsi="Arial"/>
          <w:b w:val="true"/>
          <w:sz w:val="22"/>
        </w:rPr>
        <w:t>Technical/Vendor Central bug</w:t>
      </w:r>
      <w:r>
        <w:rPr>
          <w:rFonts w:eastAsia="等线" w:ascii="Arial" w:cs="Arial" w:hAnsi="Arial"/>
          <w:sz w:val="22"/>
        </w:rPr>
        <w:t>：对应 Technical Support。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切忌选错路径，否则案件被转交给错误的团队导致数周延迟。</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后续章节精华摘要（可继续扩展）</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鉴于篇幅，我将剩余章节的关键点以列表形式先给出，如果你需要某一章的完整详细内容，我可以继续编写。</w:t>
      </w:r>
    </w:p>
    <w:p>
      <w:pPr>
        <w:spacing w:before="120" w:after="120" w:line="288" w:lineRule="auto"/>
        <w:ind w:left="0"/>
        <w:jc w:val="left"/>
      </w:pPr>
    </w:p>
    <w:p>
      <w:pPr>
        <w:numPr>
          <w:numId w:val="36"/>
        </w:numPr>
        <w:spacing w:before="120" w:after="120" w:line="288" w:lineRule="auto"/>
        <w:ind w:left="0"/>
        <w:jc w:val="left"/>
      </w:pPr>
      <w:r>
        <w:rPr>
          <w:rFonts w:eastAsia="等线" w:ascii="Arial" w:cs="Arial" w:hAnsi="Arial"/>
          <w:b w:val="true"/>
          <w:sz w:val="22"/>
        </w:rPr>
        <w:t>第十三章 Cost与List Price</w:t>
      </w:r>
      <w:r>
        <w:rPr>
          <w:rFonts w:eastAsia="等线" w:ascii="Arial" w:cs="Arial" w:hAnsi="Arial"/>
          <w:sz w:val="22"/>
        </w:rPr>
        <w:t>：Cost为你给亚马逊的净供货价（不含津贴）；List Price是你的建议零售价，但亚马逊不一定采纳。调整供货价需向VM提交申请或在Items中编辑，List Price可在Item Setup直接修改，但频繁调整会引起Price Protection审查。</w:t>
      </w:r>
    </w:p>
    <w:p>
      <w:pPr>
        <w:numPr>
          <w:numId w:val="37"/>
        </w:numPr>
        <w:spacing w:before="120" w:after="120" w:line="288" w:lineRule="auto"/>
        <w:ind w:left="0"/>
        <w:jc w:val="left"/>
      </w:pPr>
      <w:r>
        <w:rPr>
          <w:rFonts w:eastAsia="等线" w:ascii="Arial" w:cs="Arial" w:hAnsi="Arial"/>
          <w:b w:val="true"/>
          <w:sz w:val="22"/>
        </w:rPr>
        <w:t>第十四章 账单收付款发票</w:t>
      </w:r>
      <w:r>
        <w:rPr>
          <w:rFonts w:eastAsia="等线" w:ascii="Arial" w:cs="Arial" w:hAnsi="Arial"/>
          <w:sz w:val="22"/>
        </w:rPr>
        <w:t>：在Payments &gt; Invoices里可查看每笔发票与付款明细；Short Payment需对应查看Deduction Code，对有异议的扣款在60天内通过Case dispute。</w:t>
      </w:r>
    </w:p>
    <w:p>
      <w:pPr>
        <w:numPr>
          <w:numId w:val="38"/>
        </w:numPr>
        <w:spacing w:before="120" w:after="120" w:line="288" w:lineRule="auto"/>
        <w:ind w:left="0"/>
        <w:jc w:val="left"/>
      </w:pPr>
      <w:r>
        <w:rPr>
          <w:rFonts w:eastAsia="等线" w:ascii="Arial" w:cs="Arial" w:hAnsi="Arial"/>
          <w:b w:val="true"/>
          <w:sz w:val="22"/>
        </w:rPr>
        <w:t>第十五章 PO接单及修改</w:t>
      </w:r>
      <w:r>
        <w:rPr>
          <w:rFonts w:eastAsia="等线" w:ascii="Arial" w:cs="Arial" w:hAnsi="Arial"/>
          <w:sz w:val="22"/>
        </w:rPr>
        <w:t>：提供详细的系统操作截图流程（文字版步骤），说明修改Ship Window、数量限制。</w:t>
      </w:r>
    </w:p>
    <w:p>
      <w:pPr>
        <w:numPr>
          <w:numId w:val="39"/>
        </w:numPr>
        <w:spacing w:before="120" w:after="120" w:line="288" w:lineRule="auto"/>
        <w:ind w:left="0"/>
        <w:jc w:val="left"/>
      </w:pPr>
      <w:r>
        <w:rPr>
          <w:rFonts w:eastAsia="等线" w:ascii="Arial" w:cs="Arial" w:hAnsi="Arial"/>
          <w:b w:val="true"/>
          <w:sz w:val="22"/>
        </w:rPr>
        <w:t>第十六章 账号封禁原因</w:t>
      </w:r>
      <w:r>
        <w:rPr>
          <w:rFonts w:eastAsia="等线" w:ascii="Arial" w:cs="Arial" w:hAnsi="Arial"/>
          <w:sz w:val="22"/>
        </w:rPr>
        <w:t>：严重逾期交付、高Chargeback率、售卖违禁品、合规文件缺失不处理、与VM关系破裂导致关闭协议。</w:t>
      </w:r>
    </w:p>
    <w:p>
      <w:pPr>
        <w:numPr>
          <w:numId w:val="40"/>
        </w:numPr>
        <w:spacing w:before="120" w:after="120" w:line="288" w:lineRule="auto"/>
        <w:ind w:left="0"/>
        <w:jc w:val="left"/>
      </w:pPr>
      <w:r>
        <w:rPr>
          <w:rFonts w:eastAsia="等线" w:ascii="Arial" w:cs="Arial" w:hAnsi="Arial"/>
          <w:b w:val="true"/>
          <w:sz w:val="22"/>
        </w:rPr>
        <w:t>第十七章 财务核算双维度</w:t>
      </w:r>
      <w:r>
        <w:rPr>
          <w:rFonts w:eastAsia="等线" w:ascii="Arial" w:cs="Arial" w:hAnsi="Arial"/>
          <w:sz w:val="22"/>
        </w:rPr>
        <w:t>：PO维度适合以订单为单元计算利润；销售额维度适合从Amazon卖出的零售总额反推净利，两者结合才能看清全貌。</w:t>
      </w:r>
    </w:p>
    <w:p>
      <w:pPr>
        <w:numPr>
          <w:numId w:val="41"/>
        </w:numPr>
        <w:spacing w:before="120" w:after="120" w:line="288" w:lineRule="auto"/>
        <w:ind w:left="0"/>
        <w:jc w:val="left"/>
      </w:pPr>
      <w:r>
        <w:rPr>
          <w:rFonts w:eastAsia="等线" w:ascii="Arial" w:cs="Arial" w:hAnsi="Arial"/>
          <w:b w:val="true"/>
          <w:sz w:val="22"/>
        </w:rPr>
        <w:t>第二十一/二十二章 VC广告及退货</w:t>
      </w:r>
      <w:r>
        <w:rPr>
          <w:rFonts w:eastAsia="等线" w:ascii="Arial" w:cs="Arial" w:hAnsi="Arial"/>
          <w:sz w:val="22"/>
        </w:rPr>
        <w:t>：VC广告可使用SP, SB, SD以及DSP；退货原因报告在Reports &gt; Returns下查看，利用退货原因代码优化产品。</w:t>
      </w:r>
    </w:p>
    <w:p>
      <w:pPr>
        <w:numPr>
          <w:numId w:val="42"/>
        </w:numPr>
        <w:spacing w:before="120" w:after="120" w:line="288" w:lineRule="auto"/>
        <w:ind w:left="0"/>
        <w:jc w:val="left"/>
      </w:pPr>
      <w:r>
        <w:rPr>
          <w:rFonts w:eastAsia="等线" w:ascii="Arial" w:cs="Arial" w:hAnsi="Arial"/>
          <w:b w:val="true"/>
          <w:sz w:val="22"/>
        </w:rPr>
        <w:t>第二十四章 品牌修改</w:t>
      </w:r>
      <w:r>
        <w:rPr>
          <w:rFonts w:eastAsia="等线" w:ascii="Arial" w:cs="Arial" w:hAnsi="Arial"/>
          <w:sz w:val="22"/>
        </w:rPr>
        <w:t>：如品牌锁定且无法通过表格修改，需提交带有商标证书的品牌变更请求case于Brand Registry团队。</w:t>
      </w:r>
    </w:p>
    <w:p>
      <w:pPr>
        <w:numPr>
          <w:numId w:val="43"/>
        </w:numPr>
        <w:spacing w:before="120" w:after="120" w:line="288" w:lineRule="auto"/>
        <w:ind w:left="0"/>
        <w:jc w:val="left"/>
      </w:pPr>
      <w:r>
        <w:rPr>
          <w:rFonts w:eastAsia="等线" w:ascii="Arial" w:cs="Arial" w:hAnsi="Arial"/>
          <w:b w:val="true"/>
          <w:sz w:val="22"/>
        </w:rPr>
        <w:t>第二十九章 2025促销提报</w:t>
      </w:r>
      <w:r>
        <w:rPr>
          <w:rFonts w:eastAsia="等线" w:ascii="Arial" w:cs="Arial" w:hAnsi="Arial"/>
          <w:sz w:val="22"/>
        </w:rPr>
        <w:t>：降价（Price Discount）需在Merchandising &gt; Promotions中创建，注意与Coupon、Deal的叠加；BD提报需VM开放权限，注意提交窗口。</w:t>
      </w:r>
    </w:p>
    <w:p>
      <w:pPr>
        <w:numPr>
          <w:numId w:val="44"/>
        </w:numPr>
        <w:spacing w:before="120" w:after="120" w:line="288" w:lineRule="auto"/>
        <w:ind w:left="0"/>
        <w:jc w:val="left"/>
      </w:pPr>
      <w:r>
        <w:rPr>
          <w:rFonts w:eastAsia="等线" w:ascii="Arial" w:cs="Arial" w:hAnsi="Arial"/>
          <w:b w:val="true"/>
          <w:sz w:val="22"/>
        </w:rPr>
        <w:t>第三十一章 VC能否不发货</w:t>
      </w:r>
      <w:r>
        <w:rPr>
          <w:rFonts w:eastAsia="等线" w:ascii="Arial" w:cs="Arial" w:hAnsi="Arial"/>
          <w:sz w:val="22"/>
        </w:rPr>
        <w:t>：不能。VC协议要求你必须履行接受的PO，若长期只接受PO但不发货或拒单，将导致账号停用。不可将VC当作SC自配送使用。</w:t>
      </w:r>
    </w:p>
    <w:p>
      <w:pPr>
        <w:spacing w:before="120" w:after="120" w:line="288" w:lineRule="auto"/>
        <w:ind w:left="453"/>
        <w:jc w:val="left"/>
      </w:pPr>
    </w:p>
    <w:p>
      <w:pPr>
        <w:spacing w:before="120" w:after="120" w:line="288" w:lineRule="auto"/>
        <w:ind w:left="453"/>
        <w:jc w:val="left"/>
      </w:pPr>
    </w:p>
    <w:p>
      <w:pPr>
        <w:spacing w:before="120" w:after="120" w:line="288" w:lineRule="auto"/>
        <w:ind w:left="0"/>
        <w:jc w:val="left"/>
      </w:pPr>
      <w:r>
        <w:rPr>
          <w:rFonts w:eastAsia="等线" w:ascii="Arial" w:cs="Arial" w:hAnsi="Arial"/>
          <w:sz w:val="22"/>
        </w:rPr>
        <w:t>如果你需要，我可以按上述任意章节继续撰写完整详情，包括嵌入操作步骤、计算公式、截图替代文字、邮件模板和案例。未完部分随时可续写，确保最终成书与你的目录完全对应。</w:t>
      </w:r>
    </w:p>
    <w:p>
      <w:pPr>
        <w:spacing w:before="120" w:after="120" w:line="288" w:lineRule="auto"/>
        <w:ind w:left="0"/>
        <w:jc w:val="left"/>
      </w:pPr>
    </w:p>
    <w:p>
      <w:pPr>
        <w:spacing w:before="120" w:after="120" w:line="288" w:lineRule="auto"/>
        <w:ind w:left="0"/>
        <w:jc w:val="left"/>
      </w:pPr>
      <w:r>
        <w:rPr>
          <w:rFonts w:eastAsia="等线" w:ascii="Arial" w:cs="Arial" w:hAnsi="Arial"/>
          <w:sz w:val="22"/>
        </w:rPr>
        <w:t>NET PPM 我们算过比较准确的公式</w:t>
      </w:r>
    </w:p>
    <w:p>
      <w:pPr>
        <w:spacing w:before="120" w:after="120" w:line="288" w:lineRule="auto"/>
        <w:ind w:left="0"/>
        <w:jc w:val="left"/>
      </w:pPr>
      <w:r>
        <w:rPr>
          <w:rFonts w:eastAsia="等线" w:ascii="Arial" w:cs="Arial" w:hAnsi="Arial"/>
          <w:sz w:val="22"/>
        </w:rPr>
        <w:t>NET PPM（不促销）= (list price-cost price+佣金扣点*cost price) /list price</w:t>
      </w:r>
    </w:p>
    <w:p>
      <w:pPr>
        <w:spacing w:before="120" w:after="120" w:line="288" w:lineRule="auto"/>
        <w:ind w:left="0"/>
        <w:jc w:val="left"/>
      </w:pPr>
      <w:r>
        <w:rPr>
          <w:rFonts w:eastAsia="等线" w:ascii="Arial" w:cs="Arial" w:hAnsi="Arial"/>
          <w:sz w:val="22"/>
        </w:rPr>
        <w:t>NET PPM （BD促销）= (促销后的list price-cost price+促销funding+佣金扣点*cost price) /促销后的list price</w:t>
      </w:r>
    </w:p>
    <w:p>
      <w:pPr>
        <w:spacing w:before="120" w:after="120" w:line="288" w:lineRule="auto"/>
        <w:ind w:left="0"/>
        <w:jc w:val="left"/>
      </w:pPr>
      <w:r>
        <w:rPr>
          <w:rFonts w:eastAsia="等线" w:ascii="Arial" w:cs="Arial" w:hAnsi="Arial"/>
          <w:sz w:val="22"/>
        </w:rPr>
        <w:t>以下按你指定的章节顺序，完整编写后续内容，并将NET PPM准确公式嵌入第十七章。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第十三章 Cost供货价与List Price销售价定义与调整步骤</w:t>
      </w:r>
      <w:bookmarkEnd w:id="31"/>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13.1 Cost供货价</w:t>
      </w:r>
      <w:bookmarkEnd w:id="3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Cost（供货价）</w:t>
      </w:r>
      <w:r>
        <w:rPr>
          <w:rFonts w:eastAsia="等线" w:ascii="Arial" w:cs="Arial" w:hAnsi="Arial"/>
          <w:sz w:val="22"/>
        </w:rPr>
        <w:t xml:space="preserve"> 在VC后台指的是你卖给亚马逊的</w:t>
      </w:r>
      <w:r>
        <w:rPr>
          <w:rFonts w:eastAsia="等线" w:ascii="Arial" w:cs="Arial" w:hAnsi="Arial"/>
          <w:b w:val="true"/>
          <w:sz w:val="22"/>
        </w:rPr>
        <w:t>不含税净批发单价</w:t>
      </w:r>
      <w:r>
        <w:rPr>
          <w:rFonts w:eastAsia="等线" w:ascii="Arial" w:cs="Arial" w:hAnsi="Arial"/>
          <w:sz w:val="22"/>
        </w:rPr>
        <w:t>。注意，这并非亚马逊最终支付给你的金额——最终汇款会在供货价基础上扣减Damage Allowance、Freight Allowance、Co-op/MDF等协议条款百分比，再扣除Chargeback。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供货价必须包含所有成本、利润以及你预期承担的协议扣减。计算公式应当为：</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目标净实收价 = 供货价 × (1 – 破损津贴% – 运费津贴% – 营销基金%)</w:t>
            </w:r>
          </w:p>
          <w:p>
            <w:pPr>
              <w:spacing w:before="120" w:after="120" w:line="288" w:lineRule="auto"/>
              <w:ind w:left="0"/>
              <w:jc w:val="left"/>
            </w:pPr>
            <w:r>
              <w:rPr>
                <w:rFonts w:eastAsia="等线" w:ascii="Arial" w:cs="Arial" w:hAnsi="Arial"/>
                <w:color w:val="646a73"/>
                <w:sz w:val="22"/>
              </w:rPr>
              <w:t>你需要确保目标净实收价 ≥ 你的产品总成本 + 目标利润。</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修改供货价步骤</w:t>
      </w:r>
      <w:r>
        <w:rPr>
          <w:rFonts w:eastAsia="等线" w:ascii="Arial" w:cs="Arial" w:hAnsi="Arial"/>
          <w:sz w:val="22"/>
        </w:rPr>
        <w:t>：</w:t>
      </w:r>
    </w:p>
    <w:p>
      <w:pPr>
        <w:spacing w:before="120" w:after="120" w:line="288" w:lineRule="auto"/>
        <w:ind w:left="0"/>
        <w:jc w:val="left"/>
      </w:pPr>
    </w:p>
    <w:p>
      <w:pPr>
        <w:numPr>
          <w:numId w:val="45"/>
        </w:numPr>
        <w:spacing w:before="120" w:after="120" w:line="288" w:lineRule="auto"/>
        <w:ind w:left="0"/>
        <w:jc w:val="left"/>
      </w:pPr>
      <w:r>
        <w:rPr>
          <w:rFonts w:eastAsia="等线" w:ascii="Arial" w:cs="Arial" w:hAnsi="Arial"/>
          <w:sz w:val="22"/>
        </w:rPr>
        <w:t>进入Vendor Central → Items → Catalog。</w:t>
      </w:r>
    </w:p>
    <w:p>
      <w:pPr>
        <w:numPr>
          <w:numId w:val="46"/>
        </w:numPr>
        <w:spacing w:before="120" w:after="120" w:line="288" w:lineRule="auto"/>
        <w:ind w:left="0"/>
        <w:jc w:val="left"/>
      </w:pPr>
      <w:r>
        <w:rPr>
          <w:rFonts w:eastAsia="等线" w:ascii="Arial" w:cs="Arial" w:hAnsi="Arial"/>
          <w:sz w:val="22"/>
        </w:rPr>
        <w:t>搜索对应ASIN，点击进入产品详情。</w:t>
      </w:r>
    </w:p>
    <w:p>
      <w:pPr>
        <w:numPr>
          <w:numId w:val="47"/>
        </w:numPr>
        <w:spacing w:before="120" w:after="120" w:line="288" w:lineRule="auto"/>
        <w:ind w:left="0"/>
        <w:jc w:val="left"/>
      </w:pPr>
      <w:r>
        <w:rPr>
          <w:rFonts w:eastAsia="等线" w:ascii="Arial" w:cs="Arial" w:hAnsi="Arial"/>
          <w:sz w:val="22"/>
        </w:rPr>
        <w:t>在“Cost”栏目下输入新的供货价。通常需要填写生效日期及调价原因。</w:t>
      </w:r>
    </w:p>
    <w:p>
      <w:pPr>
        <w:numPr>
          <w:numId w:val="48"/>
        </w:numPr>
        <w:spacing w:before="120" w:after="120" w:line="288" w:lineRule="auto"/>
        <w:ind w:left="0"/>
        <w:jc w:val="left"/>
      </w:pPr>
      <w:r>
        <w:rPr>
          <w:rFonts w:eastAsia="等线" w:ascii="Arial" w:cs="Arial" w:hAnsi="Arial"/>
          <w:sz w:val="22"/>
        </w:rPr>
        <w:t>提交后，系统会生成一个价格变更请求，状态可在“Price Change Requests”中追踪。亚马逊VM或系统可能审核通过或拒绝。</w:t>
      </w:r>
    </w:p>
    <w:p>
      <w:pPr>
        <w:numPr>
          <w:numId w:val="49"/>
        </w:numPr>
        <w:spacing w:before="120" w:after="120" w:line="288" w:lineRule="auto"/>
        <w:ind w:left="0"/>
        <w:jc w:val="left"/>
      </w:pPr>
      <w:r>
        <w:rPr>
          <w:rFonts w:eastAsia="等线" w:ascii="Arial" w:cs="Arial" w:hAnsi="Arial"/>
          <w:sz w:val="22"/>
        </w:rPr>
        <w:t>若被拒绝，需联系Vendor Manager协商，提供成本上涨证明或竞品分析。</w:t>
      </w:r>
    </w:p>
    <w:p>
      <w:pPr>
        <w:spacing w:before="120" w:after="120" w:line="288" w:lineRule="auto"/>
        <w:ind w:left="453"/>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注意：频繁上调供货价会引发亚马逊内部“High Cost”警报，可能导致VM要求你降价或下调PO量。每次调价请备份沟通记录。</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13.2 List Price销售价</w:t>
      </w:r>
      <w:bookmarkEnd w:id="3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List Price</w:t>
      </w:r>
      <w:r>
        <w:rPr>
          <w:rFonts w:eastAsia="等线" w:ascii="Arial" w:cs="Arial" w:hAnsi="Arial"/>
          <w:sz w:val="22"/>
        </w:rPr>
        <w:t xml:space="preserve"> 是你建议亚马逊向消费者展示的“市场建议零售价”，显示在商品详情页的划线价位置（例如“List Price: $29.99”）。亚马逊有权完全自行设定实际售价，但你的List Price会影响消费者对折扣幅度的感知。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修改List Price步骤</w:t>
      </w:r>
      <w:r>
        <w:rPr>
          <w:rFonts w:eastAsia="等线" w:ascii="Arial" w:cs="Arial" w:hAnsi="Arial"/>
          <w:sz w:val="22"/>
        </w:rPr>
        <w:t>：</w:t>
      </w:r>
    </w:p>
    <w:p>
      <w:pPr>
        <w:spacing w:before="120" w:after="120" w:line="288" w:lineRule="auto"/>
        <w:ind w:left="0"/>
        <w:jc w:val="left"/>
      </w:pPr>
    </w:p>
    <w:p>
      <w:pPr>
        <w:numPr>
          <w:numId w:val="50"/>
        </w:numPr>
        <w:spacing w:before="120" w:after="120" w:line="288" w:lineRule="auto"/>
        <w:ind w:left="0"/>
        <w:jc w:val="left"/>
      </w:pPr>
      <w:r>
        <w:rPr>
          <w:rFonts w:eastAsia="等线" w:ascii="Arial" w:cs="Arial" w:hAnsi="Arial"/>
          <w:sz w:val="22"/>
        </w:rPr>
        <w:t>在Vendor Central → Items → Item Setup，搜索产品，找到“List Price”字段。</w:t>
      </w:r>
    </w:p>
    <w:p>
      <w:pPr>
        <w:numPr>
          <w:numId w:val="51"/>
        </w:numPr>
        <w:spacing w:before="120" w:after="120" w:line="288" w:lineRule="auto"/>
        <w:ind w:left="0"/>
        <w:jc w:val="left"/>
      </w:pPr>
      <w:r>
        <w:rPr>
          <w:rFonts w:eastAsia="等线" w:ascii="Arial" w:cs="Arial" w:hAnsi="Arial"/>
          <w:sz w:val="22"/>
        </w:rPr>
        <w:t>输入新的List Price。该修改通常立即生效，但若价格波动过大，系统可能触发临时审查，几天内不显示划线价。</w:t>
      </w:r>
    </w:p>
    <w:p>
      <w:pPr>
        <w:numPr>
          <w:numId w:val="52"/>
        </w:numPr>
        <w:spacing w:before="120" w:after="120" w:line="288" w:lineRule="auto"/>
        <w:ind w:left="0"/>
        <w:jc w:val="left"/>
      </w:pPr>
      <w:r>
        <w:rPr>
          <w:rFonts w:eastAsia="等线" w:ascii="Arial" w:cs="Arial" w:hAnsi="Arial"/>
          <w:sz w:val="22"/>
        </w:rPr>
        <w:t>你也可以通过批量表格（Inventory Feed）修改List Price，在“List Price”列填写数值。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重要提醒</w:t>
      </w:r>
      <w:r>
        <w:rPr>
          <w:rFonts w:eastAsia="等线" w:ascii="Arial" w:cs="Arial" w:hAnsi="Arial"/>
          <w:sz w:val="22"/>
        </w:rPr>
        <w:t>：如果你频繁提高List Price，亚马逊可能会启动</w:t>
      </w:r>
      <w:r>
        <w:rPr>
          <w:rFonts w:eastAsia="等线" w:ascii="Arial" w:cs="Arial" w:hAnsi="Arial"/>
          <w:b w:val="true"/>
          <w:sz w:val="22"/>
        </w:rPr>
        <w:t>Price Protection</w:t>
      </w:r>
      <w:r>
        <w:rPr>
          <w:rFonts w:eastAsia="等线" w:ascii="Arial" w:cs="Arial" w:hAnsi="Arial"/>
          <w:sz w:val="22"/>
        </w:rPr>
        <w:t>流程，要求你下调供货价，以维持它认为合理的零售利润空间。所以调整List Price务必结合市场竞争与亚马逊实际售价考量，不要盲目追高。</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第十四章 VC如何检查账单收付款项发票及处理异常</w:t>
      </w:r>
      <w:bookmarkEnd w:id="34"/>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14.1 查看发票与付款明细</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在VC后台，进入 </w:t>
      </w:r>
      <w:r>
        <w:rPr>
          <w:rFonts w:eastAsia="等线" w:ascii="Arial" w:cs="Arial" w:hAnsi="Arial"/>
          <w:b w:val="true"/>
          <w:sz w:val="22"/>
        </w:rPr>
        <w:t>Payments → Invoices</w:t>
      </w:r>
      <w:r>
        <w:rPr>
          <w:rFonts w:eastAsia="等线" w:ascii="Arial" w:cs="Arial" w:hAnsi="Arial"/>
          <w:sz w:val="22"/>
        </w:rPr>
        <w:t>，可以看到所有已经开具给亚马逊的发票列表。每张发票显示发票号、金额、状态（已支付、等待中）、以及对应的汇款净额。</w:t>
      </w:r>
    </w:p>
    <w:p>
      <w:pPr>
        <w:spacing w:before="120" w:after="120" w:line="288" w:lineRule="auto"/>
        <w:ind w:left="0"/>
        <w:jc w:val="left"/>
      </w:pPr>
    </w:p>
    <w:p>
      <w:pPr>
        <w:spacing w:before="120" w:after="120" w:line="288" w:lineRule="auto"/>
        <w:ind w:left="0"/>
        <w:jc w:val="left"/>
      </w:pPr>
      <w:r>
        <w:rPr>
          <w:rFonts w:eastAsia="等线" w:ascii="Arial" w:cs="Arial" w:hAnsi="Arial"/>
          <w:sz w:val="22"/>
        </w:rPr>
        <w:t>点击具体发票，可看到：</w:t>
      </w:r>
    </w:p>
    <w:p>
      <w:pPr>
        <w:spacing w:before="120" w:after="120" w:line="288" w:lineRule="auto"/>
        <w:ind w:left="0"/>
        <w:jc w:val="left"/>
      </w:pPr>
    </w:p>
    <w:p>
      <w:pPr>
        <w:numPr>
          <w:numId w:val="53"/>
        </w:numPr>
        <w:spacing w:before="120" w:after="120" w:line="288" w:lineRule="auto"/>
        <w:ind w:left="0"/>
        <w:jc w:val="left"/>
      </w:pPr>
      <w:r>
        <w:rPr>
          <w:rFonts w:eastAsia="等线" w:ascii="Arial" w:cs="Arial" w:hAnsi="Arial"/>
          <w:sz w:val="22"/>
        </w:rPr>
        <w:t>发票总金额（你开出的金额）</w:t>
      </w:r>
    </w:p>
    <w:p>
      <w:pPr>
        <w:numPr>
          <w:numId w:val="54"/>
        </w:numPr>
        <w:spacing w:before="120" w:after="120" w:line="288" w:lineRule="auto"/>
        <w:ind w:left="0"/>
        <w:jc w:val="left"/>
      </w:pPr>
      <w:r>
        <w:rPr>
          <w:rFonts w:eastAsia="等线" w:ascii="Arial" w:cs="Arial" w:hAnsi="Arial"/>
          <w:sz w:val="22"/>
        </w:rPr>
        <w:t>Deduction明细（各项扣款，如Damage、Freight、Co-op、Chargeback）</w:t>
      </w:r>
    </w:p>
    <w:p>
      <w:pPr>
        <w:numPr>
          <w:numId w:val="55"/>
        </w:numPr>
        <w:spacing w:before="120" w:after="120" w:line="288" w:lineRule="auto"/>
        <w:ind w:left="0"/>
        <w:jc w:val="left"/>
      </w:pPr>
      <w:r>
        <w:rPr>
          <w:rFonts w:eastAsia="等线" w:ascii="Arial" w:cs="Arial" w:hAnsi="Arial"/>
          <w:sz w:val="22"/>
        </w:rPr>
        <w:t>实际汇款金额（Net Payment）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每月财务报表下载路径</w:t>
      </w:r>
      <w:r>
        <w:rPr>
          <w:rFonts w:eastAsia="等线" w:ascii="Arial" w:cs="Arial" w:hAnsi="Arial"/>
          <w:sz w:val="22"/>
        </w:rPr>
        <w:t>（详见附录）：</w:t>
      </w:r>
    </w:p>
    <w:p>
      <w:pPr>
        <w:spacing w:before="120" w:after="120" w:line="288" w:lineRule="auto"/>
        <w:ind w:left="0"/>
        <w:jc w:val="left"/>
      </w:pPr>
    </w:p>
    <w:p>
      <w:pPr>
        <w:numPr>
          <w:numId w:val="56"/>
        </w:numPr>
        <w:spacing w:before="120" w:after="120" w:line="288" w:lineRule="auto"/>
        <w:ind w:left="0"/>
        <w:jc w:val="left"/>
      </w:pPr>
      <w:r>
        <w:rPr>
          <w:rFonts w:eastAsia="等线" w:ascii="Arial" w:cs="Arial" w:hAnsi="Arial"/>
          <w:sz w:val="22"/>
        </w:rPr>
        <w:t>Reports → Retail Analytics → 财务相关报表；</w:t>
      </w:r>
    </w:p>
    <w:p>
      <w:pPr>
        <w:numPr>
          <w:numId w:val="57"/>
        </w:numPr>
        <w:spacing w:before="120" w:after="120" w:line="288" w:lineRule="auto"/>
        <w:ind w:left="0"/>
        <w:jc w:val="left"/>
      </w:pPr>
      <w:r>
        <w:rPr>
          <w:rFonts w:eastAsia="等线" w:ascii="Arial" w:cs="Arial" w:hAnsi="Arial"/>
          <w:sz w:val="22"/>
        </w:rPr>
        <w:t>也可以定期从Payments → Remittance Advice下载汇款通知单，内含扣款明细。</w:t>
      </w:r>
    </w:p>
    <w:p>
      <w:pPr>
        <w:spacing w:before="120" w:after="120" w:line="288" w:lineRule="auto"/>
        <w:ind w:left="453"/>
        <w:jc w:val="left"/>
      </w:pPr>
    </w:p>
    <w:p>
      <w:pPr>
        <w:pStyle w:val="3"/>
        <w:spacing w:before="300" w:after="120" w:line="288" w:lineRule="auto"/>
        <w:ind w:left="0"/>
        <w:jc w:val="left"/>
        <w:outlineLvl w:val="2"/>
      </w:pPr>
      <w:bookmarkStart w:name="heading_36" w:id="36"/>
      <w:r>
        <w:rPr>
          <w:rFonts w:eastAsia="等线" w:ascii="Arial" w:cs="Arial" w:hAnsi="Arial"/>
          <w:b w:val="true"/>
          <w:sz w:val="30"/>
        </w:rPr>
        <w:t>14.2 处理Short Payment（短付）</w:t>
      </w:r>
      <w:bookmarkEnd w:id="36"/>
    </w:p>
    <w:p>
      <w:pPr>
        <w:spacing w:before="120" w:after="120" w:line="288" w:lineRule="auto"/>
        <w:ind w:left="0"/>
        <w:jc w:val="left"/>
      </w:pPr>
    </w:p>
    <w:p>
      <w:pPr>
        <w:spacing w:before="120" w:after="120" w:line="288" w:lineRule="auto"/>
        <w:ind w:left="0"/>
        <w:jc w:val="left"/>
      </w:pPr>
      <w:r>
        <w:rPr>
          <w:rFonts w:eastAsia="等线" w:ascii="Arial" w:cs="Arial" w:hAnsi="Arial"/>
          <w:sz w:val="22"/>
        </w:rPr>
        <w:t>当你发现汇款金额少于发票金额，且系统扣款代码无法识别时，这属于</w:t>
      </w:r>
      <w:r>
        <w:rPr>
          <w:rFonts w:eastAsia="等线" w:ascii="Arial" w:cs="Arial" w:hAnsi="Arial"/>
          <w:b w:val="true"/>
          <w:sz w:val="22"/>
        </w:rPr>
        <w:t>短付</w:t>
      </w:r>
      <w:r>
        <w:rPr>
          <w:rFonts w:eastAsia="等线" w:ascii="Arial" w:cs="Arial" w:hAnsi="Arial"/>
          <w:sz w:val="22"/>
        </w:rPr>
        <w:t>。处理步骤：</w:t>
      </w:r>
    </w:p>
    <w:p>
      <w:pPr>
        <w:spacing w:before="120" w:after="120" w:line="288" w:lineRule="auto"/>
        <w:ind w:left="0"/>
        <w:jc w:val="left"/>
      </w:pPr>
    </w:p>
    <w:p>
      <w:pPr>
        <w:numPr>
          <w:numId w:val="58"/>
        </w:numPr>
        <w:spacing w:before="120" w:after="120" w:line="288" w:lineRule="auto"/>
        <w:ind w:left="0"/>
        <w:jc w:val="left"/>
      </w:pPr>
      <w:r>
        <w:rPr>
          <w:rFonts w:eastAsia="等线" w:ascii="Arial" w:cs="Arial" w:hAnsi="Arial"/>
          <w:sz w:val="22"/>
        </w:rPr>
        <w:t>从Remittance Advice中找出该发票行，记录每一笔Deduction Code。</w:t>
      </w:r>
    </w:p>
    <w:p>
      <w:pPr>
        <w:numPr>
          <w:numId w:val="59"/>
        </w:numPr>
        <w:spacing w:before="120" w:after="120" w:line="288" w:lineRule="auto"/>
        <w:ind w:left="0"/>
        <w:jc w:val="left"/>
      </w:pPr>
      <w:r>
        <w:rPr>
          <w:rFonts w:eastAsia="等线" w:ascii="Arial" w:cs="Arial" w:hAnsi="Arial"/>
          <w:sz w:val="22"/>
        </w:rPr>
        <w:t>对照你的合同条款，验证Damage Allowance等标准扣除是否正确。</w:t>
      </w:r>
    </w:p>
    <w:p>
      <w:pPr>
        <w:numPr>
          <w:numId w:val="60"/>
        </w:numPr>
        <w:spacing w:before="120" w:after="120" w:line="288" w:lineRule="auto"/>
        <w:ind w:left="0"/>
        <w:jc w:val="left"/>
      </w:pPr>
      <w:r>
        <w:rPr>
          <w:rFonts w:eastAsia="等线" w:ascii="Arial" w:cs="Arial" w:hAnsi="Arial"/>
          <w:sz w:val="22"/>
        </w:rPr>
        <w:t xml:space="preserve">对于标注为“Shortage”“No PO”“Price Protection”等Chargeback的扣款，进入 </w:t>
      </w:r>
      <w:r>
        <w:rPr>
          <w:rFonts w:eastAsia="等线" w:ascii="Arial" w:cs="Arial" w:hAnsi="Arial"/>
          <w:b w:val="true"/>
          <w:sz w:val="22"/>
        </w:rPr>
        <w:t>Payments → Dispute</w:t>
      </w:r>
      <w:r>
        <w:rPr>
          <w:rFonts w:eastAsia="等线" w:ascii="Arial" w:cs="Arial" w:hAnsi="Arial"/>
          <w:sz w:val="22"/>
        </w:rPr>
        <w:t xml:space="preserve"> 或开Case。</w:t>
      </w:r>
    </w:p>
    <w:p>
      <w:pPr>
        <w:numPr>
          <w:numId w:val="61"/>
        </w:numPr>
        <w:spacing w:before="120" w:after="120" w:line="288" w:lineRule="auto"/>
        <w:ind w:left="0"/>
        <w:jc w:val="left"/>
      </w:pPr>
      <w:r>
        <w:rPr>
          <w:rFonts w:eastAsia="等线" w:ascii="Arial" w:cs="Arial" w:hAnsi="Arial"/>
          <w:sz w:val="22"/>
        </w:rPr>
        <w:t>提交争议时，需提供：</w:t>
      </w:r>
    </w:p>
    <w:p>
      <w:pPr>
        <w:numPr>
          <w:numId w:val="62"/>
        </w:numPr>
        <w:spacing w:before="120" w:after="120" w:line="288" w:lineRule="auto"/>
        <w:ind w:left="453"/>
        <w:jc w:val="left"/>
      </w:pPr>
      <w:r>
        <w:rPr>
          <w:rFonts w:eastAsia="等线" w:ascii="Arial" w:cs="Arial" w:hAnsi="Arial"/>
          <w:sz w:val="22"/>
        </w:rPr>
        <w:t>发票号码与金额</w:t>
      </w:r>
    </w:p>
    <w:p>
      <w:pPr>
        <w:numPr>
          <w:numId w:val="63"/>
        </w:numPr>
        <w:spacing w:before="120" w:after="120" w:line="288" w:lineRule="auto"/>
        <w:ind w:left="453"/>
        <w:jc w:val="left"/>
      </w:pPr>
      <w:r>
        <w:rPr>
          <w:rFonts w:eastAsia="等线" w:ascii="Arial" w:cs="Arial" w:hAnsi="Arial"/>
          <w:sz w:val="22"/>
        </w:rPr>
        <w:t>发货追踪号、签收证明（如shortage争议）</w:t>
      </w:r>
    </w:p>
    <w:p>
      <w:pPr>
        <w:numPr>
          <w:numId w:val="64"/>
        </w:numPr>
        <w:spacing w:before="120" w:after="120" w:line="288" w:lineRule="auto"/>
        <w:ind w:left="453"/>
        <w:jc w:val="left"/>
      </w:pPr>
      <w:r>
        <w:rPr>
          <w:rFonts w:eastAsia="等线" w:ascii="Arial" w:cs="Arial" w:hAnsi="Arial"/>
          <w:sz w:val="22"/>
        </w:rPr>
        <w:t>PO截图、ASN装箱单（如No PO争议）</w:t>
      </w:r>
    </w:p>
    <w:p>
      <w:pPr>
        <w:numPr>
          <w:numId w:val="65"/>
        </w:numPr>
        <w:spacing w:before="120" w:after="120" w:line="288" w:lineRule="auto"/>
        <w:ind w:left="453"/>
        <w:jc w:val="left"/>
      </w:pPr>
      <w:r>
        <w:rPr>
          <w:rFonts w:eastAsia="等线" w:ascii="Arial" w:cs="Arial" w:hAnsi="Arial"/>
          <w:sz w:val="22"/>
        </w:rPr>
        <w:t>相关沟通记录</w:t>
      </w:r>
    </w:p>
    <w:p>
      <w:pPr>
        <w:numPr>
          <w:numId w:val="66"/>
        </w:numPr>
        <w:spacing w:before="120" w:after="120" w:line="288" w:lineRule="auto"/>
        <w:ind w:left="0"/>
        <w:jc w:val="left"/>
      </w:pPr>
      <w:r>
        <w:rPr>
          <w:rFonts w:eastAsia="等线" w:ascii="Arial" w:cs="Arial" w:hAnsi="Arial"/>
          <w:sz w:val="22"/>
        </w:rPr>
        <w:t>争议必须在</w:t>
      </w:r>
      <w:r>
        <w:rPr>
          <w:rFonts w:eastAsia="等线" w:ascii="Arial" w:cs="Arial" w:hAnsi="Arial"/>
          <w:b w:val="true"/>
          <w:sz w:val="22"/>
        </w:rPr>
        <w:t>扣款发生后60天内</w:t>
      </w:r>
      <w:r>
        <w:rPr>
          <w:rFonts w:eastAsia="等线" w:ascii="Arial" w:cs="Arial" w:hAnsi="Arial"/>
          <w:sz w:val="22"/>
        </w:rPr>
        <w:t>提出，逾期将无法追回。</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建议每月固定时间（例如月初）做一次全量发票对账，确保每一笔收入都与预期相符。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第十五章 PO订单接单及修改</w:t>
      </w:r>
      <w:bookmarkEnd w:id="37"/>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15.1 接单流程图（文字版）</w:t>
      </w:r>
      <w:bookmarkEnd w:id="38"/>
    </w:p>
    <w:p>
      <w:pPr>
        <w:spacing w:before="120" w:after="120" w:line="288" w:lineRule="auto"/>
        <w:ind w:left="0"/>
        <w:jc w:val="left"/>
      </w:pPr>
    </w:p>
    <w:p>
      <w:pPr>
        <w:spacing w:before="120" w:after="120" w:line="288" w:lineRule="auto"/>
        <w:ind w:left="0"/>
        <w:jc w:val="left"/>
      </w:pPr>
      <w:r>
        <w:rPr>
          <w:rFonts w:eastAsia="等线" w:ascii="Arial" w:cs="Arial" w:hAnsi="Arial"/>
          <w:sz w:val="22"/>
        </w:rPr>
        <w:t>① 登录VC → Orders → Purchase Orders</w:t>
      </w:r>
    </w:p>
    <w:p>
      <w:pPr>
        <w:spacing w:before="120" w:after="120" w:line="288" w:lineRule="auto"/>
        <w:ind w:left="0"/>
        <w:jc w:val="left"/>
      </w:pPr>
      <w:r>
        <w:rPr>
          <w:rFonts w:eastAsia="等线" w:ascii="Arial" w:cs="Arial" w:hAnsi="Arial"/>
          <w:sz w:val="22"/>
        </w:rPr>
        <w:t>② 查看状态为“Open”或“Submitted”的PO，记录Ship Window、FC地址、SKU与数量</w:t>
      </w:r>
    </w:p>
    <w:p>
      <w:pPr>
        <w:spacing w:before="120" w:after="120" w:line="288" w:lineRule="auto"/>
        <w:ind w:left="0"/>
        <w:jc w:val="left"/>
      </w:pPr>
      <w:r>
        <w:rPr>
          <w:rFonts w:eastAsia="等线" w:ascii="Arial" w:cs="Arial" w:hAnsi="Arial"/>
          <w:sz w:val="22"/>
        </w:rPr>
        <w:t>③ 评估库存与产能，决定是否可接受</w:t>
      </w:r>
    </w:p>
    <w:p>
      <w:pPr>
        <w:spacing w:before="120" w:after="120" w:line="288" w:lineRule="auto"/>
        <w:ind w:left="0"/>
        <w:jc w:val="left"/>
      </w:pPr>
      <w:r>
        <w:rPr>
          <w:rFonts w:eastAsia="等线" w:ascii="Arial" w:cs="Arial" w:hAnsi="Arial"/>
          <w:sz w:val="22"/>
        </w:rPr>
        <w:t xml:space="preserve">④ 若接受，点击PO编号进入详情 → 点击 </w:t>
      </w:r>
      <w:r>
        <w:rPr>
          <w:rFonts w:eastAsia="等线" w:ascii="Arial" w:cs="Arial" w:hAnsi="Arial"/>
          <w:b w:val="true"/>
          <w:sz w:val="22"/>
        </w:rPr>
        <w:t>“Accept Order”</w:t>
      </w:r>
    </w:p>
    <w:p>
      <w:pPr>
        <w:spacing w:before="120" w:after="120" w:line="288" w:lineRule="auto"/>
        <w:ind w:left="0"/>
        <w:jc w:val="left"/>
      </w:pPr>
      <w:r>
        <w:rPr>
          <w:rFonts w:eastAsia="等线" w:ascii="Arial" w:cs="Arial" w:hAnsi="Arial"/>
          <w:sz w:val="22"/>
        </w:rPr>
        <w:t>⑤ 设置发货计划，创建ASN（Advanced Shipment Notification）</w:t>
      </w:r>
    </w:p>
    <w:p>
      <w:pPr>
        <w:spacing w:before="120" w:after="120" w:line="288" w:lineRule="auto"/>
        <w:ind w:left="0"/>
        <w:jc w:val="left"/>
      </w:pPr>
      <w:r>
        <w:rPr>
          <w:rFonts w:eastAsia="等线" w:ascii="Arial" w:cs="Arial" w:hAnsi="Arial"/>
          <w:sz w:val="22"/>
        </w:rPr>
        <w:t>⑥ 打印箱贴和托盘标签，安排运输</w:t>
      </w:r>
    </w:p>
    <w:p>
      <w:pPr>
        <w:spacing w:before="120" w:after="120" w:line="288" w:lineRule="auto"/>
        <w:ind w:left="0"/>
        <w:jc w:val="left"/>
      </w:pPr>
      <w:r>
        <w:rPr>
          <w:rFonts w:eastAsia="等线" w:ascii="Arial" w:cs="Arial" w:hAnsi="Arial"/>
          <w:sz w:val="22"/>
        </w:rPr>
        <w:t>⑦ 在Ship Window内交付，并确保ASN在货件揽收后及时提交</w:t>
      </w:r>
    </w:p>
    <w:p>
      <w:pPr>
        <w:spacing w:before="120" w:after="120" w:line="288" w:lineRule="auto"/>
        <w:ind w:left="0"/>
        <w:jc w:val="left"/>
      </w:pPr>
      <w:r>
        <w:rPr>
          <w:rFonts w:eastAsia="等线" w:ascii="Arial" w:cs="Arial" w:hAnsi="Arial"/>
          <w:sz w:val="22"/>
        </w:rPr>
        <w:t xml:space="preserve">⑧ 若无法全部接受，可点击 </w:t>
      </w:r>
      <w:r>
        <w:rPr>
          <w:rFonts w:eastAsia="等线" w:ascii="Arial" w:cs="Arial" w:hAnsi="Arial"/>
          <w:b w:val="true"/>
          <w:sz w:val="22"/>
        </w:rPr>
        <w:t>“Request Change”</w:t>
      </w:r>
      <w:r>
        <w:rPr>
          <w:rFonts w:eastAsia="等线" w:ascii="Arial" w:cs="Arial" w:hAnsi="Arial"/>
          <w:sz w:val="22"/>
        </w:rPr>
        <w:t xml:space="preserve"> 调整数量或窗口，等待亚马逊回复</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15.2 注意事项与操作要点</w:t>
      </w:r>
      <w:bookmarkEnd w:id="39"/>
    </w:p>
    <w:p>
      <w:pPr>
        <w:spacing w:before="120" w:after="120" w:line="288" w:lineRule="auto"/>
        <w:ind w:left="0"/>
        <w:jc w:val="left"/>
      </w:pPr>
    </w:p>
    <w:p>
      <w:pPr>
        <w:numPr>
          <w:numId w:val="67"/>
        </w:numPr>
        <w:spacing w:before="120" w:after="120" w:line="288" w:lineRule="auto"/>
        <w:ind w:left="0"/>
        <w:jc w:val="left"/>
      </w:pPr>
      <w:r>
        <w:rPr>
          <w:rFonts w:eastAsia="等线" w:ascii="Arial" w:cs="Arial" w:hAnsi="Arial"/>
          <w:b w:val="true"/>
          <w:sz w:val="22"/>
        </w:rPr>
        <w:t>确认时限</w:t>
      </w:r>
      <w:r>
        <w:rPr>
          <w:rFonts w:eastAsia="等线" w:ascii="Arial" w:cs="Arial" w:hAnsi="Arial"/>
          <w:sz w:val="22"/>
        </w:rPr>
        <w:t>：系统会设定确认截止时间（通常48-72小时），超时PO会被自动拒绝，严重影响接单率。务必每日查阅待处理PO。</w:t>
      </w:r>
    </w:p>
    <w:p>
      <w:pPr>
        <w:numPr>
          <w:numId w:val="68"/>
        </w:numPr>
        <w:spacing w:before="120" w:after="120" w:line="288" w:lineRule="auto"/>
        <w:ind w:left="0"/>
        <w:jc w:val="left"/>
      </w:pPr>
      <w:r>
        <w:rPr>
          <w:rFonts w:eastAsia="等线" w:ascii="Arial" w:cs="Arial" w:hAnsi="Arial"/>
          <w:b w:val="true"/>
          <w:sz w:val="22"/>
        </w:rPr>
        <w:t>修改Ship Window</w:t>
      </w:r>
      <w:r>
        <w:rPr>
          <w:rFonts w:eastAsia="等线" w:ascii="Arial" w:cs="Arial" w:hAnsi="Arial"/>
          <w:sz w:val="22"/>
        </w:rPr>
        <w:t>：如你预计无法在原始窗口内送达，可通过“Request Change”请求延长窗口或推迟发货日期。请求需写明合理原因，如工厂延误、船期变化。亚马逊并非每次都会批准，但主动沟通优于直接拒绝。</w:t>
      </w:r>
    </w:p>
    <w:p>
      <w:pPr>
        <w:numPr>
          <w:numId w:val="69"/>
        </w:numPr>
        <w:spacing w:before="120" w:after="120" w:line="288" w:lineRule="auto"/>
        <w:ind w:left="0"/>
        <w:jc w:val="left"/>
      </w:pPr>
      <w:r>
        <w:rPr>
          <w:rFonts w:eastAsia="等线" w:ascii="Arial" w:cs="Arial" w:hAnsi="Arial"/>
          <w:b w:val="true"/>
          <w:sz w:val="22"/>
        </w:rPr>
        <w:t>数量限制</w:t>
      </w:r>
      <w:r>
        <w:rPr>
          <w:rFonts w:eastAsia="等线" w:ascii="Arial" w:cs="Arial" w:hAnsi="Arial"/>
          <w:sz w:val="22"/>
        </w:rPr>
        <w:t>：系统一般允许</w:t>
      </w:r>
      <w:r>
        <w:rPr>
          <w:rFonts w:eastAsia="等线" w:ascii="Arial" w:cs="Arial" w:hAnsi="Arial"/>
          <w:b w:val="true"/>
          <w:sz w:val="22"/>
        </w:rPr>
        <w:t>5%超量</w:t>
      </w:r>
      <w:r>
        <w:rPr>
          <w:rFonts w:eastAsia="等线" w:ascii="Arial" w:cs="Arial" w:hAnsi="Arial"/>
          <w:sz w:val="22"/>
        </w:rPr>
        <w:t>发货，即实际发货量可以比PO多5%，多余部分可能按正常价接收或拒收。</w:t>
      </w:r>
      <w:r>
        <w:rPr>
          <w:rFonts w:eastAsia="等线" w:ascii="Arial" w:cs="Arial" w:hAnsi="Arial"/>
          <w:b w:val="true"/>
          <w:sz w:val="22"/>
        </w:rPr>
        <w:t>短缺</w:t>
      </w:r>
      <w:r>
        <w:rPr>
          <w:rFonts w:eastAsia="等线" w:ascii="Arial" w:cs="Arial" w:hAnsi="Arial"/>
          <w:sz w:val="22"/>
        </w:rPr>
        <w:t>则会直接生成Chargeback，因此宁可少发也不要无理由超发，且短缺必须合理解释。</w:t>
      </w:r>
    </w:p>
    <w:p>
      <w:pPr>
        <w:numPr>
          <w:numId w:val="70"/>
        </w:numPr>
        <w:spacing w:before="120" w:after="120" w:line="288" w:lineRule="auto"/>
        <w:ind w:left="0"/>
        <w:jc w:val="left"/>
      </w:pPr>
      <w:r>
        <w:rPr>
          <w:rFonts w:eastAsia="等线" w:ascii="Arial" w:cs="Arial" w:hAnsi="Arial"/>
          <w:b w:val="true"/>
          <w:sz w:val="22"/>
        </w:rPr>
        <w:t>混装限制</w:t>
      </w:r>
      <w:r>
        <w:rPr>
          <w:rFonts w:eastAsia="等线" w:ascii="Arial" w:cs="Arial" w:hAnsi="Arial"/>
          <w:sz w:val="22"/>
        </w:rPr>
        <w:t>：同一PO的不同SKU必须装在对应PO号的箱内，切勿把两个PO的货混在同一箱或托盘，否则仓库扫描会触发No PO Chargeback。</w:t>
      </w:r>
    </w:p>
    <w:p>
      <w:pPr>
        <w:numPr>
          <w:numId w:val="71"/>
        </w:numPr>
        <w:spacing w:before="120" w:after="120" w:line="288" w:lineRule="auto"/>
        <w:ind w:left="0"/>
        <w:jc w:val="left"/>
      </w:pPr>
      <w:r>
        <w:rPr>
          <w:rFonts w:eastAsia="等线" w:ascii="Arial" w:cs="Arial" w:hAnsi="Arial"/>
          <w:b w:val="true"/>
          <w:sz w:val="22"/>
        </w:rPr>
        <w:t>紧急取消</w:t>
      </w:r>
      <w:r>
        <w:rPr>
          <w:rFonts w:eastAsia="等线" w:ascii="Arial" w:cs="Arial" w:hAnsi="Arial"/>
          <w:sz w:val="22"/>
        </w:rPr>
        <w:t>：若Amazon主动取消PO，你会收到通知，此时已发出的货可能被拒收。需要立即联系VM或开Case协调。</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操作要点总结表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操作情景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推荐动作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可完全按PO发货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确认订单，准时发运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接单率提升，稳定供货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数量可满足但窗口太紧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接受PO，同时请求修改Ship Window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减少迟交风险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库存无法满足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请求降低数量，或接受部分并申请修改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避免短缺Chargeback</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完全无法接受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联系VM说明，由VM取消；避免直接拒绝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减少接单率扣分</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第十六章 分析VC账号被封的原因</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VC账号与SC不同，不存在明显的“小红旗”绩效分数，但一旦触发以下红线，亚马逊可能直接暂停或终止供应商协议：</w:t>
      </w:r>
    </w:p>
    <w:p>
      <w:pPr>
        <w:spacing w:before="120" w:after="120" w:line="288" w:lineRule="auto"/>
        <w:ind w:left="0"/>
        <w:jc w:val="left"/>
      </w:pPr>
    </w:p>
    <w:p>
      <w:pPr>
        <w:numPr>
          <w:numId w:val="72"/>
        </w:numPr>
        <w:spacing w:before="120" w:after="120" w:line="288" w:lineRule="auto"/>
        <w:ind w:left="0"/>
        <w:jc w:val="left"/>
      </w:pPr>
      <w:r>
        <w:rPr>
          <w:rFonts w:eastAsia="等线" w:ascii="Arial" w:cs="Arial" w:hAnsi="Arial"/>
          <w:b w:val="true"/>
          <w:sz w:val="22"/>
        </w:rPr>
        <w:t>严重逾期交付（Late Delivery Rate过高）</w:t>
      </w:r>
    </w:p>
    <w:p>
      <w:pPr>
        <w:spacing w:before="120" w:after="120" w:line="288" w:lineRule="auto"/>
        <w:ind w:left="0"/>
        <w:jc w:val="left"/>
      </w:pPr>
      <w:r>
        <w:rPr>
          <w:rFonts w:eastAsia="等线" w:ascii="Arial" w:cs="Arial" w:hAnsi="Arial"/>
          <w:sz w:val="22"/>
        </w:rPr>
        <w:t>持续无法在Ship Window内送达，导致仓促补货困难，亚马逊将认定你为不可靠供应商，分批减少PO直至停止合作。</w:t>
      </w:r>
    </w:p>
    <w:p>
      <w:pPr>
        <w:spacing w:before="120" w:after="120" w:line="288" w:lineRule="auto"/>
        <w:ind w:left="453"/>
        <w:jc w:val="left"/>
      </w:pPr>
    </w:p>
    <w:p>
      <w:pPr>
        <w:numPr>
          <w:numId w:val="73"/>
        </w:numPr>
        <w:spacing w:before="120" w:after="120" w:line="288" w:lineRule="auto"/>
        <w:ind w:left="0"/>
        <w:jc w:val="left"/>
      </w:pPr>
      <w:r>
        <w:rPr>
          <w:rFonts w:eastAsia="等线" w:ascii="Arial" w:cs="Arial" w:hAnsi="Arial"/>
          <w:b w:val="true"/>
          <w:sz w:val="22"/>
        </w:rPr>
        <w:t>高Chargeback率</w:t>
      </w:r>
    </w:p>
    <w:p>
      <w:pPr>
        <w:spacing w:before="120" w:after="120" w:line="288" w:lineRule="auto"/>
        <w:ind w:left="0"/>
        <w:jc w:val="left"/>
      </w:pPr>
      <w:r>
        <w:rPr>
          <w:rFonts w:eastAsia="等线" w:ascii="Arial" w:cs="Arial" w:hAnsi="Arial"/>
          <w:sz w:val="22"/>
        </w:rPr>
        <w:t>如果连续多个月Chargeback金额占发货金额超过5%-10%（因品类而异），会被判定协同成本过高。必须系统性根治Shortage、ASN错误等问题。</w:t>
      </w:r>
    </w:p>
    <w:p>
      <w:pPr>
        <w:spacing w:before="120" w:after="120" w:line="288" w:lineRule="auto"/>
        <w:ind w:left="453"/>
        <w:jc w:val="left"/>
      </w:pPr>
    </w:p>
    <w:p>
      <w:pPr>
        <w:numPr>
          <w:numId w:val="74"/>
        </w:numPr>
        <w:spacing w:before="120" w:after="120" w:line="288" w:lineRule="auto"/>
        <w:ind w:left="0"/>
        <w:jc w:val="left"/>
      </w:pPr>
      <w:r>
        <w:rPr>
          <w:rFonts w:eastAsia="等线" w:ascii="Arial" w:cs="Arial" w:hAnsi="Arial"/>
          <w:b w:val="true"/>
          <w:sz w:val="22"/>
        </w:rPr>
        <w:t>合规文件缺失或不处理</w:t>
      </w:r>
    </w:p>
    <w:p>
      <w:pPr>
        <w:spacing w:before="120" w:after="120" w:line="288" w:lineRule="auto"/>
        <w:ind w:left="0"/>
        <w:jc w:val="left"/>
      </w:pPr>
      <w:r>
        <w:rPr>
          <w:rFonts w:eastAsia="等线" w:ascii="Arial" w:cs="Arial" w:hAnsi="Arial"/>
          <w:sz w:val="22"/>
        </w:rPr>
        <w:t>收到合规要求（如Safety Data Sheet、FCC、510K）后，长期不上传或上传无效文件，导致库存被冻结、listing被下架，多次警告后可直接终止协议。</w:t>
      </w:r>
    </w:p>
    <w:p>
      <w:pPr>
        <w:spacing w:before="120" w:after="120" w:line="288" w:lineRule="auto"/>
        <w:ind w:left="453"/>
        <w:jc w:val="left"/>
      </w:pPr>
    </w:p>
    <w:p>
      <w:pPr>
        <w:numPr>
          <w:numId w:val="75"/>
        </w:numPr>
        <w:spacing w:before="120" w:after="120" w:line="288" w:lineRule="auto"/>
        <w:ind w:left="0"/>
        <w:jc w:val="left"/>
      </w:pPr>
      <w:r>
        <w:rPr>
          <w:rFonts w:eastAsia="等线" w:ascii="Arial" w:cs="Arial" w:hAnsi="Arial"/>
          <w:b w:val="true"/>
          <w:sz w:val="22"/>
        </w:rPr>
        <w:t>产品质量安全问题导致大量客户退货或投诉</w:t>
      </w:r>
    </w:p>
    <w:p>
      <w:pPr>
        <w:spacing w:before="120" w:after="120" w:line="288" w:lineRule="auto"/>
        <w:ind w:left="0"/>
        <w:jc w:val="left"/>
      </w:pPr>
      <w:r>
        <w:rPr>
          <w:rFonts w:eastAsia="等线" w:ascii="Arial" w:cs="Arial" w:hAnsi="Arial"/>
          <w:sz w:val="22"/>
        </w:rPr>
        <w:t>如果退货原因集中在“Defective”“Safety Issue”，且你不加以改进，亚马逊会强制下架并可能永久散伙。</w:t>
      </w:r>
    </w:p>
    <w:p>
      <w:pPr>
        <w:spacing w:before="120" w:after="120" w:line="288" w:lineRule="auto"/>
        <w:ind w:left="453"/>
        <w:jc w:val="left"/>
      </w:pPr>
    </w:p>
    <w:p>
      <w:pPr>
        <w:numPr>
          <w:numId w:val="76"/>
        </w:numPr>
        <w:spacing w:before="120" w:after="120" w:line="288" w:lineRule="auto"/>
        <w:ind w:left="0"/>
        <w:jc w:val="left"/>
      </w:pPr>
      <w:r>
        <w:rPr>
          <w:rFonts w:eastAsia="等线" w:ascii="Arial" w:cs="Arial" w:hAnsi="Arial"/>
          <w:b w:val="true"/>
          <w:sz w:val="22"/>
        </w:rPr>
        <w:t>与VM关系破裂</w:t>
      </w:r>
    </w:p>
    <w:p>
      <w:pPr>
        <w:spacing w:before="120" w:after="120" w:line="288" w:lineRule="auto"/>
        <w:ind w:left="0"/>
        <w:jc w:val="left"/>
      </w:pPr>
      <w:r>
        <w:rPr>
          <w:rFonts w:eastAsia="等线" w:ascii="Arial" w:cs="Arial" w:hAnsi="Arial"/>
          <w:sz w:val="22"/>
        </w:rPr>
        <w:t>虽然系统化决策为主，但VM有权发起对供应商的重新评估。若你反复无视运营问题、拒绝合理调价、或存在欺诈行为，VM可推动关闭账号。</w:t>
      </w:r>
    </w:p>
    <w:p>
      <w:pPr>
        <w:spacing w:before="120" w:after="120" w:line="288" w:lineRule="auto"/>
        <w:ind w:left="453"/>
        <w:jc w:val="left"/>
      </w:pPr>
    </w:p>
    <w:p>
      <w:pPr>
        <w:numPr>
          <w:numId w:val="77"/>
        </w:numPr>
        <w:spacing w:before="120" w:after="120" w:line="288" w:lineRule="auto"/>
        <w:ind w:left="0"/>
        <w:jc w:val="left"/>
      </w:pPr>
      <w:r>
        <w:rPr>
          <w:rFonts w:eastAsia="等线" w:ascii="Arial" w:cs="Arial" w:hAnsi="Arial"/>
          <w:b w:val="true"/>
          <w:sz w:val="22"/>
        </w:rPr>
        <w:t>售卖违禁品或侵犯知识产权</w:t>
      </w:r>
    </w:p>
    <w:p>
      <w:pPr>
        <w:spacing w:before="120" w:after="120" w:line="288" w:lineRule="auto"/>
        <w:ind w:left="0"/>
        <w:jc w:val="left"/>
      </w:pPr>
      <w:r>
        <w:rPr>
          <w:rFonts w:eastAsia="等线" w:ascii="Arial" w:cs="Arial" w:hAnsi="Arial"/>
          <w:sz w:val="22"/>
        </w:rPr>
        <w:t>与SC相同，VC一旦涉及假货、侵权，会立即冻结账号且无申诉余地。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预防策略</w:t>
      </w:r>
      <w:r>
        <w:rPr>
          <w:rFonts w:eastAsia="等线" w:ascii="Arial" w:cs="Arial" w:hAnsi="Arial"/>
          <w:sz w:val="22"/>
        </w:rPr>
        <w:t>：定期查收VC后台的“Performance”相关报表，主动降低Chargeback，及时响应合规要求，并与VM保持季度业务回顾（QBR）沟通。</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第十七章 亚马逊VC账号财务核算双维度解析（含NET PPM精确计算公式）</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本章将VC财务核算彻底拆解成两个实用维度，并给出经实测有效的NET PPM计算公式，直接对应亚马逊对你的评价体系。</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17.1 PO维度核算：PO订单精细化管理</w:t>
      </w:r>
      <w:bookmarkEnd w:id="42"/>
    </w:p>
    <w:p>
      <w:pPr>
        <w:spacing w:before="120" w:after="120" w:line="288" w:lineRule="auto"/>
        <w:ind w:left="0"/>
        <w:jc w:val="left"/>
      </w:pPr>
    </w:p>
    <w:p>
      <w:pPr>
        <w:spacing w:before="120" w:after="120" w:line="288" w:lineRule="auto"/>
        <w:ind w:left="0"/>
        <w:jc w:val="left"/>
      </w:pPr>
      <w:r>
        <w:rPr>
          <w:rFonts w:eastAsia="等线" w:ascii="Arial" w:cs="Arial" w:hAnsi="Arial"/>
          <w:sz w:val="22"/>
        </w:rPr>
        <w:t>以每一个Purchase Order为单位进行利润计算，适合运营团队追踪单笔订单的交付质量和利润。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计算模型</w:t>
      </w:r>
      <w:r>
        <w:rPr>
          <w:rFonts w:eastAsia="等线" w:ascii="Arial" w:cs="Arial" w:hAnsi="Arial"/>
          <w:sz w:val="22"/>
        </w:rPr>
        <w:t>：</w:t>
      </w:r>
    </w:p>
    <w:p>
      <w:pPr>
        <w:spacing w:before="120" w:after="120" w:line="288" w:lineRule="auto"/>
        <w:ind w:left="0"/>
        <w:jc w:val="left"/>
      </w:pPr>
      <w:r>
        <w:rPr>
          <w:rFonts w:eastAsia="等线" w:ascii="Arial" w:cs="Arial" w:hAnsi="Arial"/>
          <w:sz w:val="22"/>
        </w:rPr>
        <w:t>PO收入 = 供货价 × 发货数量</w:t>
      </w:r>
    </w:p>
    <w:p>
      <w:pPr>
        <w:spacing w:before="120" w:after="120" w:line="288" w:lineRule="auto"/>
        <w:ind w:left="0"/>
        <w:jc w:val="left"/>
      </w:pPr>
      <w:r>
        <w:rPr>
          <w:rFonts w:eastAsia="等线" w:ascii="Arial" w:cs="Arial" w:hAnsi="Arial"/>
          <w:sz w:val="22"/>
        </w:rPr>
        <w:t>PO扣款 = 破损津贴 + 运费津贴 + 营销基金（按协议比例） + 实际Chargeback金额</w:t>
      </w:r>
    </w:p>
    <w:p>
      <w:pPr>
        <w:spacing w:before="120" w:after="120" w:line="288" w:lineRule="auto"/>
        <w:ind w:left="0"/>
        <w:jc w:val="left"/>
      </w:pPr>
      <w:r>
        <w:rPr>
          <w:rFonts w:eastAsia="等线" w:ascii="Arial" w:cs="Arial" w:hAnsi="Arial"/>
          <w:sz w:val="22"/>
        </w:rPr>
        <w:t>PO净收入 = PO收入 – 扣款</w:t>
      </w:r>
    </w:p>
    <w:p>
      <w:pPr>
        <w:spacing w:before="120" w:after="120" w:line="288" w:lineRule="auto"/>
        <w:ind w:left="0"/>
        <w:jc w:val="left"/>
      </w:pPr>
      <w:r>
        <w:rPr>
          <w:rFonts w:eastAsia="等线" w:ascii="Arial" w:cs="Arial" w:hAnsi="Arial"/>
          <w:sz w:val="22"/>
        </w:rPr>
        <w:t>PO毛利 = PO净收入 – 产品成本 – 头程物流费 – 其他分摊</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这一维度的优势是可以清晰看到哪些PO赚钱、哪些亏钱，并定位Chargeback吞噬利润的程度。</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17.2 销售额维度核算：全局汇总式管理</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从亚马逊最终零售出去的金额出发，反推你获得的净批发收入及亚马逊所获得的Net PPM（对你关系的评价指标）。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这是真正与亚马逊VM对话的视角，重点计算以下公式：</w:t>
      </w: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NET PPM定义（亚马逊视角）</w:t>
      </w:r>
      <w:bookmarkEnd w:id="44"/>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NET PPM = （亚马逊零售毛利润 + 你支付给亚马逊的各类津贴） / 零售价格</w:t>
            </w:r>
          </w:p>
          <w:p>
            <w:pPr>
              <w:spacing w:before="120" w:after="120" w:line="288" w:lineRule="auto"/>
              <w:ind w:left="0"/>
              <w:jc w:val="left"/>
            </w:pPr>
            <w:r>
              <w:rPr>
                <w:rFonts w:eastAsia="等线" w:ascii="Arial" w:cs="Arial" w:hAnsi="Arial"/>
                <w:color w:val="646a73"/>
                <w:sz w:val="22"/>
              </w:rPr>
              <w:t>即反映亚马逊每卖出1美元，能获得的实际净利润率贡献。</w:t>
            </w:r>
          </w:p>
        </w:tc>
      </w:tr>
    </w:tbl>
    <w:p>
      <w:pPr>
        <w:spacing w:before="120" w:after="120" w:line="288" w:lineRule="auto"/>
        <w:ind w:left="0"/>
        <w:jc w:val="left"/>
      </w:pPr>
    </w:p>
    <w:p>
      <w:pPr>
        <w:pStyle w:val="4"/>
        <w:spacing w:before="260" w:after="120" w:line="288" w:lineRule="auto"/>
        <w:ind w:left="0"/>
        <w:jc w:val="left"/>
        <w:outlineLvl w:val="3"/>
      </w:pPr>
      <w:bookmarkStart w:name="heading_45" w:id="45"/>
      <w:r>
        <w:rPr>
          <w:rFonts w:eastAsia="等线" w:ascii="Arial" w:cs="Arial" w:hAnsi="Arial"/>
          <w:b w:val="true"/>
          <w:sz w:val="28"/>
        </w:rPr>
        <w:t>我们实测准确的NET PPM计算公式</w:t>
      </w:r>
      <w:bookmarkEnd w:id="4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不促销情况下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PPM（不促销）= (List Price - Cost Price + 佣金扣点 × Cost Price) / List Price</w:t>
            </w:r>
          </w:p>
        </w:tc>
      </w:tr>
    </w:tbl>
    <w:p>
      <w:pPr>
        <w:spacing w:before="120" w:after="120" w:line="288" w:lineRule="auto"/>
        <w:ind w:left="0"/>
        <w:jc w:val="left"/>
      </w:pPr>
      <w:r>
        <w:rPr>
          <w:rFonts w:eastAsia="等线" w:ascii="Arial" w:cs="Arial" w:hAnsi="Arial"/>
          <w:sz w:val="22"/>
        </w:rPr>
        <w:t>其中“佣金扣点”是指Damage Allowance、Freight Allowance、Co-op等所有按供货价百分比扣除的协议条款总和（以小数表示）。例如若总扣点10%，则佣金扣点为0.10，该项为0.10 × Cost Price。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BD促销情况</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PPM（BD促销）= (促销后的List Price - Cost Price + 促销Funding + 佣金扣点 × Cost Price) / 促销后的List Price</w:t>
            </w:r>
          </w:p>
        </w:tc>
      </w:tr>
    </w:tbl>
    <w:p>
      <w:pPr>
        <w:spacing w:before="120" w:after="120" w:line="288" w:lineRule="auto"/>
        <w:ind w:left="0"/>
        <w:jc w:val="left"/>
      </w:pPr>
      <w:r>
        <w:rPr>
          <w:rFonts w:eastAsia="等线" w:ascii="Arial" w:cs="Arial" w:hAnsi="Arial"/>
          <w:sz w:val="22"/>
        </w:rPr>
        <w:t>促销Funding是你提供的用于促销折扣的资金，通常以每件固定金额或百分比形式扣减。此Funding会被亚马逊算作额外利润贡献，因此加到分子。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公式验证示例</w:t>
      </w:r>
      <w:r>
        <w:rPr>
          <w:rFonts w:eastAsia="等线" w:ascii="Arial" w:cs="Arial" w:hAnsi="Arial"/>
          <w:sz w:val="22"/>
        </w:rPr>
        <w:t>：</w:t>
      </w:r>
    </w:p>
    <w:p>
      <w:pPr>
        <w:spacing w:before="120" w:after="120" w:line="288" w:lineRule="auto"/>
        <w:ind w:left="0"/>
        <w:jc w:val="left"/>
      </w:pPr>
      <w:r>
        <w:rPr>
          <w:rFonts w:eastAsia="等线" w:ascii="Arial" w:cs="Arial" w:hAnsi="Arial"/>
          <w:sz w:val="22"/>
        </w:rPr>
        <w:t>假设Cost = $10，List Price = $25，总扣点=8%，即0.08，则</w:t>
      </w:r>
    </w:p>
    <w:p>
      <w:pPr>
        <w:spacing w:before="120" w:after="120" w:line="288" w:lineRule="auto"/>
        <w:ind w:left="0"/>
        <w:jc w:val="left"/>
      </w:pPr>
      <w:r>
        <w:rPr>
          <w:rFonts w:eastAsia="等线" w:ascii="Arial" w:cs="Arial" w:hAnsi="Arial"/>
          <w:sz w:val="22"/>
        </w:rPr>
        <w:t>NET PPM = (25 - 10 + 0.08×10) / 25 = (15 + 0.8) / 25 = 15.8/25 = 63.2%</w:t>
      </w:r>
    </w:p>
    <w:p>
      <w:pPr>
        <w:spacing w:before="120" w:after="120" w:line="288" w:lineRule="auto"/>
        <w:ind w:left="0"/>
        <w:jc w:val="left"/>
      </w:pPr>
      <w:r>
        <w:rPr>
          <w:rFonts w:eastAsia="等线" w:ascii="Arial" w:cs="Arial" w:hAnsi="Arial"/>
          <w:sz w:val="22"/>
        </w:rPr>
        <w:t>若进行BD，促销后List Price = $19，你提供的Funding每件$1，则</w:t>
      </w:r>
    </w:p>
    <w:p>
      <w:pPr>
        <w:spacing w:before="120" w:after="120" w:line="288" w:lineRule="auto"/>
        <w:ind w:left="0"/>
        <w:jc w:val="left"/>
      </w:pPr>
      <w:r>
        <w:rPr>
          <w:rFonts w:eastAsia="等线" w:ascii="Arial" w:cs="Arial" w:hAnsi="Arial"/>
          <w:sz w:val="22"/>
        </w:rPr>
        <w:t>NET PPM = (19 - 10 + 1 + 0.8) / 19 = 10.8 / 19 ≈ 56.8%</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可见促销会稀释NET PPM，但提供了Funding能部分补偿。VM期望你的NET PPM不低于类目平均值（通常35%-45%），高于均值可获取更多PO和推广资源。</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17.3 核心差异与选择建议</w:t>
      </w:r>
      <w:bookmarkEnd w:id="46"/>
    </w:p>
    <w:p>
      <w:pPr>
        <w:spacing w:before="120" w:after="120" w:line="288" w:lineRule="auto"/>
        <w:ind w:left="0"/>
        <w:jc w:val="left"/>
      </w:pPr>
    </w:p>
    <w:p>
      <w:pPr>
        <w:numPr>
          <w:numId w:val="78"/>
        </w:numPr>
        <w:spacing w:before="120" w:after="120" w:line="288" w:lineRule="auto"/>
        <w:ind w:left="0"/>
        <w:jc w:val="left"/>
      </w:pPr>
      <w:r>
        <w:rPr>
          <w:rFonts w:eastAsia="等线" w:ascii="Arial" w:cs="Arial" w:hAnsi="Arial"/>
          <w:b w:val="true"/>
          <w:sz w:val="22"/>
        </w:rPr>
        <w:t>PO维度</w:t>
      </w:r>
      <w:r>
        <w:rPr>
          <w:rFonts w:eastAsia="等线" w:ascii="Arial" w:cs="Arial" w:hAnsi="Arial"/>
          <w:sz w:val="22"/>
        </w:rPr>
        <w:t>用于内部运营控制，盯紧每笔订单的隐性扣款；</w:t>
      </w:r>
    </w:p>
    <w:p>
      <w:pPr>
        <w:numPr>
          <w:numId w:val="79"/>
        </w:numPr>
        <w:spacing w:before="120" w:after="120" w:line="288" w:lineRule="auto"/>
        <w:ind w:left="0"/>
        <w:jc w:val="left"/>
      </w:pPr>
      <w:r>
        <w:rPr>
          <w:rFonts w:eastAsia="等线" w:ascii="Arial" w:cs="Arial" w:hAnsi="Arial"/>
          <w:b w:val="true"/>
          <w:sz w:val="22"/>
        </w:rPr>
        <w:t>销售额维度</w:t>
      </w:r>
      <w:r>
        <w:rPr>
          <w:rFonts w:eastAsia="等线" w:ascii="Arial" w:cs="Arial" w:hAnsi="Arial"/>
          <w:sz w:val="22"/>
        </w:rPr>
        <w:t>用于与亚马逊策略沟通，了解你的战略价值；</w:t>
      </w:r>
    </w:p>
    <w:p>
      <w:pPr>
        <w:numPr>
          <w:numId w:val="80"/>
        </w:numPr>
        <w:spacing w:before="120" w:after="120" w:line="288" w:lineRule="auto"/>
        <w:ind w:left="0"/>
        <w:jc w:val="left"/>
      </w:pPr>
      <w:r>
        <w:rPr>
          <w:rFonts w:eastAsia="等线" w:ascii="Arial" w:cs="Arial" w:hAnsi="Arial"/>
          <w:sz w:val="22"/>
        </w:rPr>
        <w:t>每月必须做一次双维度对账：PO总净收入是否与汇款金额吻合，同时用零售数据反算实际NET PPM，预警异常波动。</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第二十一章 VC与SC广告的差异与优先级</w:t>
      </w:r>
      <w:bookmarkEnd w:id="47"/>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What are the differences and priorities between VC advertising and SC advertising?</w:t>
      </w:r>
      <w:bookmarkEnd w:id="4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广告类型</w:t>
      </w:r>
      <w:r>
        <w:rPr>
          <w:rFonts w:eastAsia="等线" w:ascii="Arial" w:cs="Arial" w:hAnsi="Arial"/>
          <w:sz w:val="22"/>
        </w:rPr>
        <w:t>：VC账户同样可以使用Sponsored Products（SP）、Sponsored Brands（SB）、Sponsored Display（SD），并且相比SC，VC更容易获得DSP（Demand-Side Platform）自助或管理式服务的开户权限。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核心差异</w:t>
      </w:r>
      <w:r>
        <w:rPr>
          <w:rFonts w:eastAsia="等线" w:ascii="Arial" w:cs="Arial" w:hAnsi="Arial"/>
          <w:sz w:val="22"/>
        </w:rPr>
        <w:t>：</w:t>
      </w:r>
    </w:p>
    <w:p>
      <w:pPr>
        <w:spacing w:before="120" w:after="120" w:line="288" w:lineRule="auto"/>
        <w:ind w:left="0"/>
        <w:jc w:val="left"/>
      </w:pPr>
    </w:p>
    <w:p>
      <w:pPr>
        <w:numPr>
          <w:numId w:val="81"/>
        </w:numPr>
        <w:spacing w:before="120" w:after="120" w:line="288" w:lineRule="auto"/>
        <w:ind w:left="0"/>
        <w:jc w:val="left"/>
      </w:pPr>
      <w:r>
        <w:rPr>
          <w:rFonts w:eastAsia="等线" w:ascii="Arial" w:cs="Arial" w:hAnsi="Arial"/>
          <w:b w:val="true"/>
          <w:sz w:val="22"/>
        </w:rPr>
        <w:t>广告控制台</w:t>
      </w:r>
      <w:r>
        <w:rPr>
          <w:rFonts w:eastAsia="等线" w:ascii="Arial" w:cs="Arial" w:hAnsi="Arial"/>
          <w:sz w:val="22"/>
        </w:rPr>
        <w:t>：VC的广告管理与SC并无太大区别（现已整合进统一广告平台），但部分VC账号会保留AMS入口。功能相同，但VC广告报表可结合Retail Analytics数据深入分析。</w:t>
      </w:r>
    </w:p>
    <w:p>
      <w:pPr>
        <w:numPr>
          <w:numId w:val="82"/>
        </w:numPr>
        <w:spacing w:before="120" w:after="120" w:line="288" w:lineRule="auto"/>
        <w:ind w:left="0"/>
        <w:jc w:val="left"/>
      </w:pPr>
      <w:r>
        <w:rPr>
          <w:rFonts w:eastAsia="等线" w:ascii="Arial" w:cs="Arial" w:hAnsi="Arial"/>
          <w:b w:val="true"/>
          <w:sz w:val="22"/>
        </w:rPr>
        <w:t>优先级</w:t>
      </w:r>
      <w:r>
        <w:rPr>
          <w:rFonts w:eastAsia="等线" w:ascii="Arial" w:cs="Arial" w:hAnsi="Arial"/>
          <w:sz w:val="22"/>
        </w:rPr>
        <w:t>：VC自营产品在广告投放时，往往享有更高的竞价权重隐性加成，因为亚马逊倾向于推广自营商品以提高整体利润。相同竞价下，VC广告获得展示的机会可能略优于SC。</w:t>
      </w:r>
    </w:p>
    <w:p>
      <w:pPr>
        <w:numPr>
          <w:numId w:val="83"/>
        </w:numPr>
        <w:spacing w:before="120" w:after="120" w:line="288" w:lineRule="auto"/>
        <w:ind w:left="0"/>
        <w:jc w:val="left"/>
      </w:pPr>
      <w:r>
        <w:rPr>
          <w:rFonts w:eastAsia="等线" w:ascii="Arial" w:cs="Arial" w:hAnsi="Arial"/>
          <w:b w:val="true"/>
          <w:sz w:val="22"/>
        </w:rPr>
        <w:t>DSP独家</w:t>
      </w:r>
      <w:r>
        <w:rPr>
          <w:rFonts w:eastAsia="等线" w:ascii="Arial" w:cs="Arial" w:hAnsi="Arial"/>
          <w:sz w:val="22"/>
        </w:rPr>
        <w:t>：VC供应商可直接在DSP上创建Awareness和再营销广告，使用Amazon的庞大受众数据，甚至可以锁定竞品ASIN，这个是VC推广的核心优势。</w:t>
      </w:r>
    </w:p>
    <w:p>
      <w:pPr>
        <w:numPr>
          <w:numId w:val="84"/>
        </w:numPr>
        <w:spacing w:before="120" w:after="120" w:line="288" w:lineRule="auto"/>
        <w:ind w:left="0"/>
        <w:jc w:val="left"/>
      </w:pPr>
      <w:r>
        <w:rPr>
          <w:rFonts w:eastAsia="等线" w:ascii="Arial" w:cs="Arial" w:hAnsi="Arial"/>
          <w:b w:val="true"/>
          <w:sz w:val="22"/>
        </w:rPr>
        <w:t>推广从哪开始</w:t>
      </w:r>
      <w:r>
        <w:rPr>
          <w:rFonts w:eastAsia="等线" w:ascii="Arial" w:cs="Arial" w:hAnsi="Arial"/>
          <w:sz w:val="22"/>
        </w:rPr>
        <w:t>：建议先用SP自动广告跑出关键词，配合SB视频广告做品牌曝光，同时开启SD的ASIN定位防御。待稳定后，利用DSP做站外引流和竞品截流。</w:t>
      </w:r>
    </w:p>
    <w:p>
      <w:pPr>
        <w:spacing w:before="120" w:after="120" w:line="288" w:lineRule="auto"/>
        <w:ind w:left="453"/>
        <w:jc w:val="left"/>
      </w:pPr>
    </w:p>
    <w:p>
      <w:pPr>
        <w:pStyle w:val="3"/>
        <w:spacing w:before="300" w:after="120" w:line="288" w:lineRule="auto"/>
        <w:ind w:left="0"/>
        <w:jc w:val="left"/>
        <w:outlineLvl w:val="2"/>
      </w:pPr>
      <w:bookmarkStart w:name="heading_49" w:id="49"/>
      <w:r>
        <w:rPr>
          <w:rFonts w:eastAsia="等线" w:ascii="Arial" w:cs="Arial" w:hAnsi="Arial"/>
          <w:b w:val="true"/>
          <w:sz w:val="30"/>
        </w:rPr>
        <w:t>第二十二章 查看VC买家退货及相关退货原因</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在VC后台，进入 </w:t>
      </w:r>
      <w:r>
        <w:rPr>
          <w:rFonts w:eastAsia="等线" w:ascii="Arial" w:cs="Arial" w:hAnsi="Arial"/>
          <w:b w:val="true"/>
          <w:sz w:val="22"/>
        </w:rPr>
        <w:t>Reports → Operational Reports → Returns</w:t>
      </w:r>
      <w:r>
        <w:rPr>
          <w:rFonts w:eastAsia="等线" w:ascii="Arial" w:cs="Arial" w:hAnsi="Arial"/>
          <w:sz w:val="22"/>
        </w:rPr>
        <w:t>，可下载退货报告。其中“Return Reason”字段会显示买家退货时选择的理由，例如：</w:t>
      </w:r>
    </w:p>
    <w:p>
      <w:pPr>
        <w:spacing w:before="120" w:after="120" w:line="288" w:lineRule="auto"/>
        <w:ind w:left="0"/>
        <w:jc w:val="left"/>
      </w:pPr>
    </w:p>
    <w:p>
      <w:pPr>
        <w:numPr>
          <w:numId w:val="85"/>
        </w:numPr>
        <w:spacing w:before="120" w:after="120" w:line="288" w:lineRule="auto"/>
        <w:ind w:left="0"/>
        <w:jc w:val="left"/>
      </w:pPr>
      <w:r>
        <w:rPr>
          <w:rFonts w:eastAsia="等线" w:ascii="Arial" w:cs="Arial" w:hAnsi="Arial"/>
          <w:sz w:val="22"/>
        </w:rPr>
        <w:t>Defective（产品缺陷）</w:t>
      </w:r>
    </w:p>
    <w:p>
      <w:pPr>
        <w:numPr>
          <w:numId w:val="86"/>
        </w:numPr>
        <w:spacing w:before="120" w:after="120" w:line="288" w:lineRule="auto"/>
        <w:ind w:left="0"/>
        <w:jc w:val="left"/>
      </w:pPr>
      <w:r>
        <w:rPr>
          <w:rFonts w:eastAsia="等线" w:ascii="Arial" w:cs="Arial" w:hAnsi="Arial"/>
          <w:sz w:val="22"/>
        </w:rPr>
        <w:t>Item not as described（与描述不符）</w:t>
      </w:r>
    </w:p>
    <w:p>
      <w:pPr>
        <w:numPr>
          <w:numId w:val="87"/>
        </w:numPr>
        <w:spacing w:before="120" w:after="120" w:line="288" w:lineRule="auto"/>
        <w:ind w:left="0"/>
        <w:jc w:val="left"/>
      </w:pPr>
      <w:r>
        <w:rPr>
          <w:rFonts w:eastAsia="等线" w:ascii="Arial" w:cs="Arial" w:hAnsi="Arial"/>
          <w:sz w:val="22"/>
        </w:rPr>
        <w:t>No longer needed（不再需要）</w:t>
      </w:r>
    </w:p>
    <w:p>
      <w:pPr>
        <w:numPr>
          <w:numId w:val="88"/>
        </w:numPr>
        <w:spacing w:before="120" w:after="120" w:line="288" w:lineRule="auto"/>
        <w:ind w:left="0"/>
        <w:jc w:val="left"/>
      </w:pPr>
      <w:r>
        <w:rPr>
          <w:rFonts w:eastAsia="等线" w:ascii="Arial" w:cs="Arial" w:hAnsi="Arial"/>
          <w:sz w:val="22"/>
        </w:rPr>
        <w:t>Damaged upon arrival（到货即损）</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xml:space="preserve">你需要特别关注 </w:t>
      </w:r>
      <w:r>
        <w:rPr>
          <w:rFonts w:eastAsia="等线" w:ascii="Arial" w:cs="Arial" w:hAnsi="Arial"/>
          <w:b w:val="true"/>
          <w:sz w:val="22"/>
        </w:rPr>
        <w:t>Defective和Damaged</w:t>
      </w:r>
      <w:r>
        <w:rPr>
          <w:rFonts w:eastAsia="等线" w:ascii="Arial" w:cs="Arial" w:hAnsi="Arial"/>
          <w:sz w:val="22"/>
        </w:rPr>
        <w:t xml:space="preserve"> 这两项的占比。如果某ASIN的缺陷退货率超过类目平均，亚马逊可能会主动下架并要求你提供改善计划。利用这些数据优化产品质量、包装和listing描述，是降低退货率和提高Net PPM的直接手段。</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第二十四章 如果在VC账号后台品牌栏被锁定且通过表格也无法修改品牌，怎么操作才能更改？</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VC品牌修改比SC更严格。如果你的产品品牌字段在后台呈灰色锁定状态，且用Inventory Feed也无法覆盖，需要走以下流程：</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sz w:val="22"/>
        </w:rPr>
        <w:t>确保该品牌已在Amazon Brand Registry中完成注册，且你的VC账户是品牌授权方或被邀请为管理员。</w:t>
      </w:r>
    </w:p>
    <w:p>
      <w:pPr>
        <w:numPr>
          <w:numId w:val="90"/>
        </w:numPr>
        <w:spacing w:before="120" w:after="120" w:line="288" w:lineRule="auto"/>
        <w:ind w:left="0"/>
        <w:jc w:val="left"/>
      </w:pPr>
      <w:r>
        <w:rPr>
          <w:rFonts w:eastAsia="等线" w:ascii="Arial" w:cs="Arial" w:hAnsi="Arial"/>
          <w:sz w:val="22"/>
        </w:rPr>
        <w:t>在Brand Registry后台，确认该ASIN归属于此品牌。如未关联，需提交关联请求。</w:t>
      </w:r>
    </w:p>
    <w:p>
      <w:pPr>
        <w:numPr>
          <w:numId w:val="91"/>
        </w:numPr>
        <w:spacing w:before="120" w:after="120" w:line="288" w:lineRule="auto"/>
        <w:ind w:left="0"/>
        <w:jc w:val="left"/>
      </w:pPr>
      <w:r>
        <w:rPr>
          <w:rFonts w:eastAsia="等线" w:ascii="Arial" w:cs="Arial" w:hAnsi="Arial"/>
          <w:sz w:val="22"/>
        </w:rPr>
        <w:t xml:space="preserve">在VC开后，开Case给 </w:t>
      </w:r>
      <w:r>
        <w:rPr>
          <w:rFonts w:eastAsia="等线" w:ascii="Arial" w:cs="Arial" w:hAnsi="Arial"/>
          <w:b w:val="true"/>
          <w:sz w:val="22"/>
        </w:rPr>
        <w:t>“Catalog”</w:t>
      </w:r>
      <w:r>
        <w:rPr>
          <w:rFonts w:eastAsia="等线" w:ascii="Arial" w:cs="Arial" w:hAnsi="Arial"/>
          <w:sz w:val="22"/>
        </w:rPr>
        <w:t xml:space="preserve"> 团队，提供：</w:t>
      </w:r>
    </w:p>
    <w:p>
      <w:pPr>
        <w:numPr>
          <w:numId w:val="92"/>
        </w:numPr>
        <w:spacing w:before="120" w:after="120" w:line="288" w:lineRule="auto"/>
        <w:ind w:left="453"/>
        <w:jc w:val="left"/>
      </w:pPr>
      <w:r>
        <w:rPr>
          <w:rFonts w:eastAsia="等线" w:ascii="Arial" w:cs="Arial" w:hAnsi="Arial"/>
          <w:sz w:val="22"/>
        </w:rPr>
        <w:t>正确的品牌名称</w:t>
      </w:r>
    </w:p>
    <w:p>
      <w:pPr>
        <w:numPr>
          <w:numId w:val="93"/>
        </w:numPr>
        <w:spacing w:before="120" w:after="120" w:line="288" w:lineRule="auto"/>
        <w:ind w:left="453"/>
        <w:jc w:val="left"/>
      </w:pPr>
      <w:r>
        <w:rPr>
          <w:rFonts w:eastAsia="等线" w:ascii="Arial" w:cs="Arial" w:hAnsi="Arial"/>
          <w:sz w:val="22"/>
        </w:rPr>
        <w:t>商标证书（USPTO注册号）</w:t>
      </w:r>
    </w:p>
    <w:p>
      <w:pPr>
        <w:numPr>
          <w:numId w:val="94"/>
        </w:numPr>
        <w:spacing w:before="120" w:after="120" w:line="288" w:lineRule="auto"/>
        <w:ind w:left="453"/>
        <w:jc w:val="left"/>
      </w:pPr>
      <w:r>
        <w:rPr>
          <w:rFonts w:eastAsia="等线" w:ascii="Arial" w:cs="Arial" w:hAnsi="Arial"/>
          <w:sz w:val="22"/>
        </w:rPr>
        <w:t>产品包装图片（显示品牌名）</w:t>
      </w:r>
    </w:p>
    <w:p>
      <w:pPr>
        <w:numPr>
          <w:numId w:val="95"/>
        </w:numPr>
        <w:spacing w:before="120" w:after="120" w:line="288" w:lineRule="auto"/>
        <w:ind w:left="453"/>
        <w:jc w:val="left"/>
      </w:pPr>
      <w:r>
        <w:rPr>
          <w:rFonts w:eastAsia="等线" w:ascii="Arial" w:cs="Arial" w:hAnsi="Arial"/>
          <w:sz w:val="22"/>
        </w:rPr>
        <w:t>解释为何需要修改（如之前的品牌录入错误）</w:t>
      </w:r>
    </w:p>
    <w:p>
      <w:pPr>
        <w:numPr>
          <w:numId w:val="96"/>
        </w:numPr>
        <w:spacing w:before="120" w:after="120" w:line="288" w:lineRule="auto"/>
        <w:ind w:left="0"/>
        <w:jc w:val="left"/>
      </w:pPr>
      <w:r>
        <w:rPr>
          <w:rFonts w:eastAsia="等线" w:ascii="Arial" w:cs="Arial" w:hAnsi="Arial"/>
          <w:sz w:val="22"/>
        </w:rPr>
        <w:t>若Case被驳回或长时间无响应，直接联系你的Vendor Manager，由VM内部推动品牌变更。</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注意：切勿自行创建一个新的ASIN来规避，会违反“Duplicate ASIN”政策。</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第二十九章 2025提报促销活动及相关注意事项</w:t>
      </w:r>
      <w:bookmarkEnd w:id="51"/>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29.1 降价Price Discount及7天促销Best Deal提报步骤</w:t>
      </w:r>
      <w:bookmarkEnd w:id="5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Price Discount（降价）</w:t>
      </w:r>
      <w:r>
        <w:rPr>
          <w:rFonts w:eastAsia="等线" w:ascii="Arial" w:cs="Arial" w:hAnsi="Arial"/>
          <w:sz w:val="22"/>
        </w:rPr>
        <w:t>：</w:t>
      </w:r>
    </w:p>
    <w:p>
      <w:pPr>
        <w:spacing w:before="120" w:after="120" w:line="288" w:lineRule="auto"/>
        <w:ind w:left="0"/>
        <w:jc w:val="left"/>
      </w:pPr>
    </w:p>
    <w:p>
      <w:pPr>
        <w:numPr>
          <w:numId w:val="97"/>
        </w:numPr>
        <w:spacing w:before="120" w:after="120" w:line="288" w:lineRule="auto"/>
        <w:ind w:left="0"/>
        <w:jc w:val="left"/>
      </w:pPr>
      <w:r>
        <w:rPr>
          <w:rFonts w:eastAsia="等线" w:ascii="Arial" w:cs="Arial" w:hAnsi="Arial"/>
          <w:sz w:val="22"/>
        </w:rPr>
        <w:t>进入Vendor Central → Merchandising → Promotions。</w:t>
      </w:r>
    </w:p>
    <w:p>
      <w:pPr>
        <w:numPr>
          <w:numId w:val="98"/>
        </w:numPr>
        <w:spacing w:before="120" w:after="120" w:line="288" w:lineRule="auto"/>
        <w:ind w:left="0"/>
        <w:jc w:val="left"/>
      </w:pPr>
      <w:r>
        <w:rPr>
          <w:rFonts w:eastAsia="等线" w:ascii="Arial" w:cs="Arial" w:hAnsi="Arial"/>
          <w:sz w:val="22"/>
        </w:rPr>
        <w:t>选择“Create a Price Discount”或类似选项。</w:t>
      </w:r>
    </w:p>
    <w:p>
      <w:pPr>
        <w:numPr>
          <w:numId w:val="99"/>
        </w:numPr>
        <w:spacing w:before="120" w:after="120" w:line="288" w:lineRule="auto"/>
        <w:ind w:left="0"/>
        <w:jc w:val="left"/>
      </w:pPr>
      <w:r>
        <w:rPr>
          <w:rFonts w:eastAsia="等线" w:ascii="Arial" w:cs="Arial" w:hAnsi="Arial"/>
          <w:sz w:val="22"/>
        </w:rPr>
        <w:t>选择ASIN，填写折扣类型（百分比或固定金额）、促销开始及结束时间。</w:t>
      </w:r>
    </w:p>
    <w:p>
      <w:pPr>
        <w:numPr>
          <w:numId w:val="100"/>
        </w:numPr>
        <w:spacing w:before="120" w:after="120" w:line="288" w:lineRule="auto"/>
        <w:ind w:left="0"/>
        <w:jc w:val="left"/>
      </w:pPr>
      <w:r>
        <w:rPr>
          <w:rFonts w:eastAsia="等线" w:ascii="Arial" w:cs="Arial" w:hAnsi="Arial"/>
          <w:sz w:val="22"/>
        </w:rPr>
        <w:t>提交后，亚马逊会审核，一般24-48小时后生效，在前台显示划线价和折扣标签。</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Best Deal（BD 7天促销）</w:t>
      </w:r>
      <w:r>
        <w:rPr>
          <w:rFonts w:eastAsia="等线" w:ascii="Arial" w:cs="Arial" w:hAnsi="Arial"/>
          <w:sz w:val="22"/>
        </w:rPr>
        <w:t>：</w:t>
      </w:r>
    </w:p>
    <w:p>
      <w:pPr>
        <w:spacing w:before="120" w:after="120" w:line="288" w:lineRule="auto"/>
        <w:ind w:left="0"/>
        <w:jc w:val="left"/>
      </w:pPr>
      <w:r>
        <w:rPr>
          <w:rFonts w:eastAsia="等线" w:ascii="Arial" w:cs="Arial" w:hAnsi="Arial"/>
          <w:sz w:val="22"/>
        </w:rPr>
        <w:t>BD的提报权限需由Vendor Manager开放。如果后台没有直接入口，那代表当前没有提报资格。如果有入口：</w:t>
      </w:r>
    </w:p>
    <w:p>
      <w:pPr>
        <w:spacing w:before="120" w:after="120" w:line="288" w:lineRule="auto"/>
        <w:ind w:left="0"/>
        <w:jc w:val="left"/>
      </w:pPr>
    </w:p>
    <w:p>
      <w:pPr>
        <w:numPr>
          <w:numId w:val="101"/>
        </w:numPr>
        <w:spacing w:before="120" w:after="120" w:line="288" w:lineRule="auto"/>
        <w:ind w:left="0"/>
        <w:jc w:val="left"/>
      </w:pPr>
      <w:r>
        <w:rPr>
          <w:rFonts w:eastAsia="等线" w:ascii="Arial" w:cs="Arial" w:hAnsi="Arial"/>
          <w:sz w:val="22"/>
        </w:rPr>
        <w:t>在Merchandising → Deals下搜索可用窗口。</w:t>
      </w:r>
    </w:p>
    <w:p>
      <w:pPr>
        <w:numPr>
          <w:numId w:val="102"/>
        </w:numPr>
        <w:spacing w:before="120" w:after="120" w:line="288" w:lineRule="auto"/>
        <w:ind w:left="0"/>
        <w:jc w:val="left"/>
      </w:pPr>
      <w:r>
        <w:rPr>
          <w:rFonts w:eastAsia="等线" w:ascii="Arial" w:cs="Arial" w:hAnsi="Arial"/>
          <w:sz w:val="22"/>
        </w:rPr>
        <w:t>选择BD推荐时间段，输入促销价格及每件Funding金额。</w:t>
      </w:r>
    </w:p>
    <w:p>
      <w:pPr>
        <w:numPr>
          <w:numId w:val="103"/>
        </w:numPr>
        <w:spacing w:before="120" w:after="120" w:line="288" w:lineRule="auto"/>
        <w:ind w:left="0"/>
        <w:jc w:val="left"/>
      </w:pPr>
      <w:r>
        <w:rPr>
          <w:rFonts w:eastAsia="等线" w:ascii="Arial" w:cs="Arial" w:hAnsi="Arial"/>
          <w:sz w:val="22"/>
        </w:rPr>
        <w:t>确认预估费用。BD通常要求数量门槛且Funding会直接从汇款中扣除。</w:t>
      </w:r>
    </w:p>
    <w:p>
      <w:pPr>
        <w:numPr>
          <w:numId w:val="104"/>
        </w:numPr>
        <w:spacing w:before="120" w:after="120" w:line="288" w:lineRule="auto"/>
        <w:ind w:left="0"/>
        <w:jc w:val="left"/>
      </w:pPr>
      <w:r>
        <w:rPr>
          <w:rFonts w:eastAsia="等线" w:ascii="Arial" w:cs="Arial" w:hAnsi="Arial"/>
          <w:sz w:val="22"/>
        </w:rPr>
        <w:t>一旦提交不可随意取消，不执行会导致高额罚金和VM不满。</w:t>
      </w:r>
    </w:p>
    <w:p>
      <w:pPr>
        <w:spacing w:before="120" w:after="120" w:line="288" w:lineRule="auto"/>
        <w:ind w:left="453"/>
        <w:jc w:val="left"/>
      </w:pPr>
    </w:p>
    <w:p>
      <w:pPr>
        <w:pStyle w:val="3"/>
        <w:spacing w:before="300" w:after="120" w:line="288" w:lineRule="auto"/>
        <w:ind w:left="0"/>
        <w:jc w:val="left"/>
        <w:outlineLvl w:val="2"/>
      </w:pPr>
      <w:bookmarkStart w:name="heading_53" w:id="53"/>
      <w:r>
        <w:rPr>
          <w:rFonts w:eastAsia="等线" w:ascii="Arial" w:cs="Arial" w:hAnsi="Arial"/>
          <w:b w:val="true"/>
          <w:sz w:val="30"/>
        </w:rPr>
        <w:t>29.2 LD、BD、划线价促销过程中常见问题与解决方法</w:t>
      </w:r>
      <w:bookmarkEnd w:id="53"/>
    </w:p>
    <w:p>
      <w:pPr>
        <w:spacing w:before="120" w:after="120" w:line="288" w:lineRule="auto"/>
        <w:ind w:left="0"/>
        <w:jc w:val="left"/>
      </w:pPr>
    </w:p>
    <w:p>
      <w:pPr>
        <w:numPr>
          <w:numId w:val="105"/>
        </w:numPr>
        <w:spacing w:before="120" w:after="120" w:line="288" w:lineRule="auto"/>
        <w:ind w:left="0"/>
        <w:jc w:val="left"/>
      </w:pPr>
      <w:r>
        <w:rPr>
          <w:rFonts w:eastAsia="等线" w:ascii="Arial" w:cs="Arial" w:hAnsi="Arial"/>
          <w:b w:val="true"/>
          <w:sz w:val="22"/>
        </w:rPr>
        <w:t>促销后划线价消失</w:t>
      </w:r>
      <w:r>
        <w:rPr>
          <w:rFonts w:eastAsia="等线" w:ascii="Arial" w:cs="Arial" w:hAnsi="Arial"/>
          <w:sz w:val="22"/>
        </w:rPr>
        <w:t>：因List Price与促销价差异过大，或提报的List Price在活动后突然调回原位识别为价格异常。解决：保持稳定的List Price，避免促销前后剧烈调整。</w:t>
      </w:r>
    </w:p>
    <w:p>
      <w:pPr>
        <w:numPr>
          <w:numId w:val="106"/>
        </w:numPr>
        <w:spacing w:before="120" w:after="120" w:line="288" w:lineRule="auto"/>
        <w:ind w:left="0"/>
        <w:jc w:val="left"/>
      </w:pPr>
      <w:r>
        <w:rPr>
          <w:rFonts w:eastAsia="等线" w:ascii="Arial" w:cs="Arial" w:hAnsi="Arial"/>
          <w:b w:val="true"/>
          <w:sz w:val="22"/>
        </w:rPr>
        <w:t>BD/LD无法提交</w:t>
      </w:r>
      <w:r>
        <w:rPr>
          <w:rFonts w:eastAsia="等线" w:ascii="Arial" w:cs="Arial" w:hAnsi="Arial"/>
          <w:sz w:val="22"/>
        </w:rPr>
        <w:t>：可能是账号未达到最低绩效要求，或VM尚未分配时段。联系VM清理Chargeback并展示良好销售记录。</w:t>
      </w:r>
    </w:p>
    <w:p>
      <w:pPr>
        <w:numPr>
          <w:numId w:val="107"/>
        </w:numPr>
        <w:spacing w:before="120" w:after="120" w:line="288" w:lineRule="auto"/>
        <w:ind w:left="0"/>
        <w:jc w:val="left"/>
      </w:pPr>
      <w:r>
        <w:rPr>
          <w:rFonts w:eastAsia="等线" w:ascii="Arial" w:cs="Arial" w:hAnsi="Arial"/>
          <w:b w:val="true"/>
          <w:sz w:val="22"/>
        </w:rPr>
        <w:t>折扣叠加</w:t>
      </w:r>
      <w:r>
        <w:rPr>
          <w:rFonts w:eastAsia="等线" w:ascii="Arial" w:cs="Arial" w:hAnsi="Arial"/>
          <w:sz w:val="22"/>
        </w:rPr>
        <w:t>：如果你的VC产品同时有Coupon、Price Discount和Deal，亚马逊会按照一定逻辑叠加，可能导致超低价。务必提前在促销矩阵中测试，并参阅附录折扣叠加说明表。</w:t>
      </w:r>
    </w:p>
    <w:p>
      <w:pPr>
        <w:spacing w:before="120" w:after="120" w:line="288" w:lineRule="auto"/>
        <w:ind w:left="453"/>
        <w:jc w:val="left"/>
      </w:pPr>
    </w:p>
    <w:p>
      <w:pPr>
        <w:pStyle w:val="3"/>
        <w:spacing w:before="300" w:after="120" w:line="288" w:lineRule="auto"/>
        <w:ind w:left="0"/>
        <w:jc w:val="left"/>
        <w:outlineLvl w:val="2"/>
      </w:pPr>
      <w:bookmarkStart w:name="heading_54" w:id="54"/>
      <w:r>
        <w:rPr>
          <w:rFonts w:eastAsia="等线" w:ascii="Arial" w:cs="Arial" w:hAnsi="Arial"/>
          <w:b w:val="true"/>
          <w:sz w:val="30"/>
        </w:rPr>
        <w:t>2025全流程提报促销与检查时间管理</w:t>
      </w:r>
      <w:bookmarkEnd w:id="54"/>
    </w:p>
    <w:p>
      <w:pPr>
        <w:spacing w:before="120" w:after="120" w:line="288" w:lineRule="auto"/>
        <w:ind w:left="0"/>
        <w:jc w:val="left"/>
      </w:pPr>
    </w:p>
    <w:p>
      <w:pPr>
        <w:spacing w:before="120" w:after="120" w:line="288" w:lineRule="auto"/>
        <w:ind w:left="0"/>
        <w:jc w:val="left"/>
      </w:pPr>
      <w:r>
        <w:rPr>
          <w:rFonts w:eastAsia="等线" w:ascii="Arial" w:cs="Arial" w:hAnsi="Arial"/>
          <w:sz w:val="22"/>
        </w:rPr>
        <w:t>建议建立促销日历：活动前8周确定选品和库存；前6周与VM确认BD名额；前4周提交Price Discount或Coupon；前2周复核定价和库存；活动期间每日监控收费和订单。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sz w:val="32"/>
        </w:rPr>
        <w:t>第三十一章 VC账号后是否可自行定价将VC作为SC账号用不向亚马逊供货？</w:t>
      </w:r>
      <w:bookmarkEnd w:id="5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明确答案：不可以。</w:t>
      </w:r>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VC账号与亚马逊有有效的供应商协议，你必须严格遵守已接受的Purchase Order，并按时交货。如果不履行PO，将构成违约，导致：</w:t>
      </w:r>
    </w:p>
    <w:p>
      <w:pPr>
        <w:spacing w:before="120" w:after="120" w:line="288" w:lineRule="auto"/>
        <w:ind w:left="0"/>
        <w:jc w:val="left"/>
      </w:pPr>
    </w:p>
    <w:p>
      <w:pPr>
        <w:numPr>
          <w:numId w:val="108"/>
        </w:numPr>
        <w:spacing w:before="120" w:after="120" w:line="288" w:lineRule="auto"/>
        <w:ind w:left="0"/>
        <w:jc w:val="left"/>
      </w:pPr>
      <w:r>
        <w:rPr>
          <w:rFonts w:eastAsia="等线" w:ascii="Arial" w:cs="Arial" w:hAnsi="Arial"/>
          <w:sz w:val="22"/>
        </w:rPr>
        <w:t>亚马逊停止下达新PO；</w:t>
      </w:r>
    </w:p>
    <w:p>
      <w:pPr>
        <w:numPr>
          <w:numId w:val="109"/>
        </w:numPr>
        <w:spacing w:before="120" w:after="120" w:line="288" w:lineRule="auto"/>
        <w:ind w:left="0"/>
        <w:jc w:val="left"/>
      </w:pPr>
      <w:r>
        <w:rPr>
          <w:rFonts w:eastAsia="等线" w:ascii="Arial" w:cs="Arial" w:hAnsi="Arial"/>
          <w:sz w:val="22"/>
        </w:rPr>
        <w:t>已交付货物的应收账款被冻结；</w:t>
      </w:r>
    </w:p>
    <w:p>
      <w:pPr>
        <w:numPr>
          <w:numId w:val="110"/>
        </w:numPr>
        <w:spacing w:before="120" w:after="120" w:line="288" w:lineRule="auto"/>
        <w:ind w:left="0"/>
        <w:jc w:val="left"/>
      </w:pPr>
      <w:r>
        <w:rPr>
          <w:rFonts w:eastAsia="等线" w:ascii="Arial" w:cs="Arial" w:hAnsi="Arial"/>
          <w:sz w:val="22"/>
        </w:rPr>
        <w:t>账号被暂停或永久关闭。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能否自己设定零售价格且不卖给亚马逊？</w:t>
      </w:r>
    </w:p>
    <w:p>
      <w:pPr>
        <w:spacing w:before="120" w:after="120" w:line="288" w:lineRule="auto"/>
        <w:ind w:left="0"/>
        <w:jc w:val="left"/>
      </w:pPr>
      <w:r>
        <w:rPr>
          <w:rFonts w:eastAsia="等线" w:ascii="Arial" w:cs="Arial" w:hAnsi="Arial"/>
          <w:sz w:val="22"/>
        </w:rPr>
        <w:t>你可以在后台建议List Price，但实际售价完全由亚马逊决定，你不能干涉。而且即便你不上传任何供货价，如果已经签署协议，亚马逊仍可能下发PO。若你持续不接或不发，等同于自我终止合作。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VC和SC互补用法</w:t>
      </w:r>
      <w:r>
        <w:rPr>
          <w:rFonts w:eastAsia="等线" w:ascii="Arial" w:cs="Arial" w:hAnsi="Arial"/>
          <w:sz w:val="22"/>
        </w:rPr>
        <w:t>：可以利用SC账号跟卖同一个ASIN（需有品牌授权且无排他条款），以抓住VC无法覆盖的长尾利润。但VC本身不能当作SC自配送来用，你必须以批发供应商身份履行订单。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VC可以自己定价list price不发货？</w:t>
      </w:r>
    </w:p>
    <w:p>
      <w:pPr>
        <w:spacing w:before="120" w:after="120" w:line="288" w:lineRule="auto"/>
        <w:ind w:left="0"/>
        <w:jc w:val="left"/>
      </w:pPr>
      <w:r>
        <w:rPr>
          <w:rFonts w:eastAsia="等线" w:ascii="Arial" w:cs="Arial" w:hAnsi="Arial"/>
          <w:sz w:val="22"/>
        </w:rPr>
        <w:t>可以调List Price，但不发货直接导致违约。你唯一不供货的情形是：没有有效的PO，或不接受PO。但要维持VC账号健康，必须保持一定程度的供货量和低拒单率。</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是所有指定章节的扩展内容。整书现已有完整覆盖，可直接按此组织成书，并辅以实际截图、表格和补充模板。若还需要补齐其他章节（如第十章细节、第十八章财务发票类型、第二十章等），我可以继续撰写。</w:t>
      </w:r>
    </w:p>
    <w:p>
      <w:pPr>
        <w:spacing w:before="120" w:after="120" w:line="288" w:lineRule="auto"/>
        <w:ind w:left="0"/>
        <w:jc w:val="left"/>
      </w:pPr>
      <w:r>
        <w:rPr>
          <w:rFonts w:eastAsia="等线" w:ascii="Arial" w:cs="Arial" w:hAnsi="Arial"/>
          <w:sz w:val="22"/>
        </w:rPr>
        <w:t xml:space="preserve">好的，我们单独把 </w:t>
      </w:r>
      <w:r>
        <w:rPr>
          <w:rFonts w:eastAsia="等线" w:ascii="Arial" w:cs="Arial" w:hAnsi="Arial"/>
          <w:b w:val="true"/>
          <w:sz w:val="22"/>
        </w:rPr>
        <w:t>PPM、CM 和 NET PPM</w:t>
      </w:r>
      <w:r>
        <w:rPr>
          <w:rFonts w:eastAsia="等线" w:ascii="Arial" w:cs="Arial" w:hAnsi="Arial"/>
          <w:sz w:val="22"/>
        </w:rPr>
        <w:t xml:space="preserve"> 这几个容易混淆却至关重要的利润指标拎出来，并结合你已验证的准确公式，做一次透彻的细节拆解。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一、先厘清三个基础概念：PPM、CM、NET PPM</w:t>
      </w:r>
      <w:bookmarkEnd w:id="56"/>
    </w:p>
    <w:p>
      <w:pPr>
        <w:spacing w:before="120" w:after="120" w:line="288" w:lineRule="auto"/>
        <w:ind w:left="0"/>
        <w:jc w:val="left"/>
      </w:pPr>
    </w:p>
    <w:p>
      <w:pPr>
        <w:spacing w:before="120" w:after="120" w:line="288" w:lineRule="auto"/>
        <w:ind w:left="0"/>
        <w:jc w:val="left"/>
      </w:pPr>
      <w:r>
        <w:rPr>
          <w:rFonts w:eastAsia="等线" w:ascii="Arial" w:cs="Arial" w:hAnsi="Arial"/>
          <w:sz w:val="22"/>
        </w:rPr>
        <w:t>在亚马逊VC体系里，这三个词出现在财务对账、VM沟通、年度谈判等各个环节，但很多人只知其名，不解其意。</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1. PPM – Product Profit Margin（产品利润率）</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通常指的是 </w:t>
      </w:r>
      <w:r>
        <w:rPr>
          <w:rFonts w:eastAsia="等线" w:ascii="Arial" w:cs="Arial" w:hAnsi="Arial"/>
          <w:b w:val="true"/>
          <w:sz w:val="22"/>
        </w:rPr>
        <w:t>亚马逊从你这件商品上能够获得的产品级毛利率</w:t>
      </w:r>
      <w:r>
        <w:rPr>
          <w:rFonts w:eastAsia="等线" w:ascii="Arial" w:cs="Arial" w:hAnsi="Arial"/>
          <w:sz w:val="22"/>
        </w:rPr>
        <w:t>，并不扣除运营杂费。一个简化的不完整公式是：</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PPM = (零售价 - 供货价) / 零售价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但这个PPM严重失真，因为它没有算上你给亚马逊的各类“津贴返点”（Damage Allowance, Freight Allowance, Co-op），也没有计算退货损耗、货损以及Chargeback。因此，PPM只是一个</w:t>
      </w:r>
      <w:r>
        <w:rPr>
          <w:rFonts w:eastAsia="等线" w:ascii="Arial" w:cs="Arial" w:hAnsi="Arial"/>
          <w:b w:val="true"/>
          <w:sz w:val="22"/>
        </w:rPr>
        <w:t>起点值</w:t>
      </w:r>
      <w:r>
        <w:rPr>
          <w:rFonts w:eastAsia="等线" w:ascii="Arial" w:cs="Arial" w:hAnsi="Arial"/>
          <w:sz w:val="22"/>
        </w:rPr>
        <w:t>，VC内部几乎不会用它来做关键决策。</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2. CM – Contribution Margin（贡献利润）</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CM在亚马逊内部有多种定义，比较多见的一种是：</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CM = 零售价 - 供货价 - 直接可变成本（包括运费、仓储操作费、退货处理费等）</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在供应商视角，CM更常用的意思是你“实际落入自己口袋”的单位产品净收入：</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你的CM = 净实收价 - 产品成本 - 头程物流 - 其他分摊</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CM的计算能让你知道卖一个产品自己到底赚不赚钱，但不能直接告诉你亚马逊对你满不满意。因为亚马逊评估你用的是 </w:t>
      </w:r>
      <w:r>
        <w:rPr>
          <w:rFonts w:eastAsia="等线" w:ascii="Arial" w:cs="Arial" w:hAnsi="Arial"/>
          <w:b w:val="true"/>
          <w:sz w:val="22"/>
        </w:rPr>
        <w:t>NET PPM</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3. NET PPM – Net Pure Product Margin（净纯产品利润率）</w:t>
      </w:r>
      <w:bookmarkEnd w:id="59"/>
    </w:p>
    <w:p>
      <w:pPr>
        <w:spacing w:before="120" w:after="120" w:line="288" w:lineRule="auto"/>
        <w:ind w:left="0"/>
        <w:jc w:val="left"/>
      </w:pPr>
    </w:p>
    <w:p>
      <w:pPr>
        <w:spacing w:before="120" w:after="120" w:line="288" w:lineRule="auto"/>
        <w:ind w:left="0"/>
        <w:jc w:val="left"/>
      </w:pPr>
      <w:r>
        <w:rPr>
          <w:rFonts w:eastAsia="等线" w:ascii="Arial" w:cs="Arial" w:hAnsi="Arial"/>
          <w:sz w:val="22"/>
        </w:rPr>
        <w:t>这是</w:t>
      </w:r>
      <w:r>
        <w:rPr>
          <w:rFonts w:eastAsia="等线" w:ascii="Arial" w:cs="Arial" w:hAnsi="Arial"/>
          <w:b w:val="true"/>
          <w:sz w:val="22"/>
        </w:rPr>
        <w:t>亚马逊考核供应商最核心的指标</w:t>
      </w:r>
      <w:r>
        <w:rPr>
          <w:rFonts w:eastAsia="等线" w:ascii="Arial" w:cs="Arial" w:hAnsi="Arial"/>
          <w:sz w:val="22"/>
        </w:rPr>
        <w:t>，也是VM的KPI。它综合了供货价、所有合同扣点、促销资金、退货折损等，算出亚马逊每销售1美元你的产品，能获得的全部净回报率。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你提供的公式正是基于亚马逊视角计算的，下面我们彻底拆解。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二、你验证过的准确公式，逐字详解</w:t>
      </w:r>
      <w:bookmarkEnd w:id="60"/>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公式一：不促销状态下的NET PPM</w:t>
      </w:r>
      <w:bookmarkEnd w:id="6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PPM（不促销）= (list price - cost price + 佣金扣点 × cost price) / list price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变量定义：</w:t>
      </w:r>
    </w:p>
    <w:p>
      <w:pPr>
        <w:numPr>
          <w:numId w:val="111"/>
        </w:numPr>
        <w:spacing w:before="120" w:after="120" w:line="288" w:lineRule="auto"/>
        <w:ind w:left="0"/>
        <w:jc w:val="left"/>
      </w:pPr>
      <w:r>
        <w:rPr>
          <w:rFonts w:eastAsia="等线" w:ascii="Arial" w:cs="Arial" w:hAnsi="Arial"/>
          <w:b w:val="true"/>
          <w:sz w:val="22"/>
        </w:rPr>
        <w:t>list price</w:t>
      </w:r>
      <w:r>
        <w:rPr>
          <w:rFonts w:eastAsia="等线" w:ascii="Arial" w:cs="Arial" w:hAnsi="Arial"/>
          <w:sz w:val="22"/>
        </w:rPr>
        <w:t>：亚马逊在商品页面展示的建议零售价/划线价。注意，不是实际售价，而是你提交的那个list price。亚马逊用这个值作为“满价”基准，来评估理论利润空间。实际售价如果偏低，亚马逊还会启动Price Protection让你返还利润，所以它默认list price就是计算基准。</w:t>
      </w:r>
    </w:p>
    <w:p>
      <w:pPr>
        <w:numPr>
          <w:numId w:val="112"/>
        </w:numPr>
        <w:spacing w:before="120" w:after="120" w:line="288" w:lineRule="auto"/>
        <w:ind w:left="0"/>
        <w:jc w:val="left"/>
      </w:pPr>
      <w:r>
        <w:rPr>
          <w:rFonts w:eastAsia="等线" w:ascii="Arial" w:cs="Arial" w:hAnsi="Arial"/>
          <w:b w:val="true"/>
          <w:sz w:val="22"/>
        </w:rPr>
        <w:t>cost price</w:t>
      </w:r>
      <w:r>
        <w:rPr>
          <w:rFonts w:eastAsia="等线" w:ascii="Arial" w:cs="Arial" w:hAnsi="Arial"/>
          <w:sz w:val="22"/>
        </w:rPr>
        <w:t>：你的供货价（不含税，未扣津贴前的单价）。</w:t>
      </w:r>
    </w:p>
    <w:p>
      <w:pPr>
        <w:numPr>
          <w:numId w:val="113"/>
        </w:numPr>
        <w:spacing w:before="120" w:after="120" w:line="288" w:lineRule="auto"/>
        <w:ind w:left="0"/>
        <w:jc w:val="left"/>
      </w:pPr>
      <w:r>
        <w:rPr>
          <w:rFonts w:eastAsia="等线" w:ascii="Arial" w:cs="Arial" w:hAnsi="Arial"/>
          <w:b w:val="true"/>
          <w:sz w:val="22"/>
        </w:rPr>
        <w:t>佣金扣点</w:t>
      </w:r>
      <w:r>
        <w:rPr>
          <w:rFonts w:eastAsia="等线" w:ascii="Arial" w:cs="Arial" w:hAnsi="Arial"/>
          <w:sz w:val="22"/>
        </w:rPr>
        <w:t xml:space="preserve">：你的Trade Agreement里 </w:t>
      </w:r>
      <w:r>
        <w:rPr>
          <w:rFonts w:eastAsia="等线" w:ascii="Arial" w:cs="Arial" w:hAnsi="Arial"/>
          <w:b w:val="true"/>
          <w:sz w:val="22"/>
        </w:rPr>
        <w:t>所有按cost price百分比扣款的津贴总和</w:t>
      </w:r>
      <w:r>
        <w:rPr>
          <w:rFonts w:eastAsia="等线" w:ascii="Arial" w:cs="Arial" w:hAnsi="Arial"/>
          <w:sz w:val="22"/>
        </w:rPr>
        <w:t>，以小数形式表示。比如你的合同里：</w:t>
      </w:r>
    </w:p>
    <w:p>
      <w:pPr>
        <w:numPr>
          <w:numId w:val="114"/>
        </w:numPr>
        <w:spacing w:before="120" w:after="120" w:line="288" w:lineRule="auto"/>
        <w:ind w:left="453"/>
        <w:jc w:val="left"/>
      </w:pPr>
      <w:r>
        <w:rPr>
          <w:rFonts w:eastAsia="等线" w:ascii="Arial" w:cs="Arial" w:hAnsi="Arial"/>
          <w:sz w:val="22"/>
        </w:rPr>
        <w:t>Damage Allowance = 3%</w:t>
      </w:r>
    </w:p>
    <w:p>
      <w:pPr>
        <w:numPr>
          <w:numId w:val="115"/>
        </w:numPr>
        <w:spacing w:before="120" w:after="120" w:line="288" w:lineRule="auto"/>
        <w:ind w:left="453"/>
        <w:jc w:val="left"/>
      </w:pPr>
      <w:r>
        <w:rPr>
          <w:rFonts w:eastAsia="等线" w:ascii="Arial" w:cs="Arial" w:hAnsi="Arial"/>
          <w:sz w:val="22"/>
        </w:rPr>
        <w:t>Freight Allowance = 4%</w:t>
      </w:r>
    </w:p>
    <w:p>
      <w:pPr>
        <w:numPr>
          <w:numId w:val="116"/>
        </w:numPr>
        <w:spacing w:before="120" w:after="120" w:line="288" w:lineRule="auto"/>
        <w:ind w:left="453"/>
        <w:jc w:val="left"/>
      </w:pPr>
      <w:r>
        <w:rPr>
          <w:rFonts w:eastAsia="等线" w:ascii="Arial" w:cs="Arial" w:hAnsi="Arial"/>
          <w:sz w:val="22"/>
        </w:rPr>
        <w:t>Co-op/MDF = 5%</w:t>
      </w:r>
    </w:p>
    <w:p>
      <w:pPr>
        <w:numPr>
          <w:numId w:val="117"/>
        </w:numPr>
        <w:spacing w:before="120" w:after="120" w:line="288" w:lineRule="auto"/>
        <w:ind w:left="453"/>
        <w:jc w:val="left"/>
      </w:pPr>
      <w:r>
        <w:rPr>
          <w:rFonts w:eastAsia="等线" w:ascii="Arial" w:cs="Arial" w:hAnsi="Arial"/>
          <w:sz w:val="22"/>
        </w:rPr>
        <w:t xml:space="preserve">那么佣金扣点 = 0.03 + 0.04 + 0.05 = </w:t>
      </w:r>
      <w:r>
        <w:rPr>
          <w:rFonts w:eastAsia="等线" w:ascii="Arial" w:cs="Arial" w:hAnsi="Arial"/>
          <w:b w:val="true"/>
          <w:sz w:val="22"/>
        </w:rPr>
        <w:t>0.12</w:t>
      </w:r>
      <w:r>
        <w:rPr>
          <w:rFonts w:eastAsia="等线" w:ascii="Arial" w:cs="Arial" w:hAnsi="Arial"/>
          <w:sz w:val="22"/>
        </w:rPr>
        <w:t>（即12%）</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分子解释</w:t>
      </w:r>
      <w:r>
        <w:rPr>
          <w:rFonts w:eastAsia="等线" w:ascii="Arial" w:cs="Arial" w:hAnsi="Arial"/>
          <w:sz w:val="22"/>
        </w:rPr>
        <w:t>：</w:t>
      </w:r>
      <w:r>
        <w:rPr>
          <w:rFonts w:eastAsia="Consolas" w:ascii="Consolas" w:cs="Consolas" w:hAnsi="Consolas"/>
          <w:sz w:val="22"/>
          <w:shd w:fill="EFF0F1"/>
        </w:rPr>
        <w:t>list price - cost price</w:t>
      </w:r>
      <w:r>
        <w:rPr>
          <w:rFonts w:eastAsia="等线" w:ascii="Arial" w:cs="Arial" w:hAnsi="Arial"/>
          <w:sz w:val="22"/>
        </w:rPr>
        <w:t xml:space="preserve"> 是亚马逊的毛利润；再加上 </w:t>
      </w:r>
      <w:r>
        <w:rPr>
          <w:rFonts w:eastAsia="Consolas" w:ascii="Consolas" w:cs="Consolas" w:hAnsi="Consolas"/>
          <w:sz w:val="22"/>
          <w:shd w:fill="EFF0F1"/>
        </w:rPr>
        <w:t>佣金扣点 × cost price</w:t>
      </w:r>
      <w:r>
        <w:rPr>
          <w:rFonts w:eastAsia="等线" w:ascii="Arial" w:cs="Arial" w:hAnsi="Arial"/>
          <w:sz w:val="22"/>
        </w:rPr>
        <w:t>，这部分实际上是亚马逊从你身上额外扣走的返点，所以也要算进亚马逊的利润贡献里。</w:t>
      </w:r>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举例计算：</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假设：</w:t>
      </w:r>
    </w:p>
    <w:p>
      <w:pPr>
        <w:numPr>
          <w:numId w:val="118"/>
        </w:numPr>
        <w:spacing w:before="120" w:after="120" w:line="288" w:lineRule="auto"/>
        <w:ind w:left="0"/>
        <w:jc w:val="left"/>
      </w:pPr>
      <w:r>
        <w:rPr>
          <w:rFonts w:eastAsia="等线" w:ascii="Arial" w:cs="Arial" w:hAnsi="Arial"/>
          <w:sz w:val="22"/>
        </w:rPr>
        <w:t>list price = $50</w:t>
      </w:r>
    </w:p>
    <w:p>
      <w:pPr>
        <w:numPr>
          <w:numId w:val="119"/>
        </w:numPr>
        <w:spacing w:before="120" w:after="120" w:line="288" w:lineRule="auto"/>
        <w:ind w:left="0"/>
        <w:jc w:val="left"/>
      </w:pPr>
      <w:r>
        <w:rPr>
          <w:rFonts w:eastAsia="等线" w:ascii="Arial" w:cs="Arial" w:hAnsi="Arial"/>
          <w:sz w:val="22"/>
        </w:rPr>
        <w:t>cost price = $20</w:t>
      </w:r>
    </w:p>
    <w:p>
      <w:pPr>
        <w:numPr>
          <w:numId w:val="120"/>
        </w:numPr>
        <w:spacing w:before="120" w:after="120" w:line="288" w:lineRule="auto"/>
        <w:ind w:left="0"/>
        <w:jc w:val="left"/>
      </w:pPr>
      <w:r>
        <w:rPr>
          <w:rFonts w:eastAsia="等线" w:ascii="Arial" w:cs="Arial" w:hAnsi="Arial"/>
          <w:sz w:val="22"/>
        </w:rPr>
        <w:t>总佣金扣点 = 10%（0.10）</w:t>
      </w:r>
    </w:p>
    <w:p>
      <w:pPr>
        <w:spacing w:before="120" w:after="120" w:line="288" w:lineRule="auto"/>
        <w:ind w:left="453"/>
        <w:jc w:val="left"/>
      </w:pPr>
    </w:p>
    <w:p>
      <w:pPr>
        <w:spacing w:before="120" w:after="120" w:line="288" w:lineRule="auto"/>
        <w:ind w:left="0"/>
        <w:jc w:val="left"/>
      </w:pPr>
      <w:r>
        <w:rPr>
          <w:rFonts w:eastAsia="等线" w:ascii="Arial" w:cs="Arial" w:hAnsi="Arial"/>
          <w:sz w:val="22"/>
        </w:rPr>
        <w:t>NET PPM = (50 - 20 + 0.10 × 20) / 50</w:t>
      </w:r>
    </w:p>
    <w:p>
      <w:pPr>
        <w:spacing w:before="120" w:after="120" w:line="288" w:lineRule="auto"/>
        <w:ind w:left="0"/>
        <w:jc w:val="left"/>
      </w:pPr>
      <w:r>
        <w:rPr>
          <w:rFonts w:eastAsia="等线" w:ascii="Arial" w:cs="Arial" w:hAnsi="Arial"/>
          <w:sz w:val="22"/>
        </w:rPr>
        <w:t>= (30 + 2) / 50</w:t>
      </w:r>
    </w:p>
    <w:p>
      <w:pPr>
        <w:spacing w:before="120" w:after="120" w:line="288" w:lineRule="auto"/>
        <w:ind w:left="0"/>
        <w:jc w:val="left"/>
      </w:pPr>
      <w:r>
        <w:rPr>
          <w:rFonts w:eastAsia="等线" w:ascii="Arial" w:cs="Arial" w:hAnsi="Arial"/>
          <w:sz w:val="22"/>
        </w:rPr>
        <w:t>= 32 / 50</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64%</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这意味着亚马逊每卖出这个产品，理论上能获得64%的净贡献率，相当高的数字，VM会很喜欢。</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sz w:val="30"/>
        </w:rPr>
        <w:t>公式二：BD（Best Deal）促销状态下的NET PPM</w:t>
      </w:r>
      <w:bookmarkEnd w:id="6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PPM（BD促销）= (促销后的list price - cost price + 促销funding + 佣金扣点 × cost price) / 促销后的list price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新增变量：</w:t>
      </w:r>
    </w:p>
    <w:p>
      <w:pPr>
        <w:numPr>
          <w:numId w:val="121"/>
        </w:numPr>
        <w:spacing w:before="120" w:after="120" w:line="288" w:lineRule="auto"/>
        <w:ind w:left="0"/>
        <w:jc w:val="left"/>
      </w:pPr>
      <w:r>
        <w:rPr>
          <w:rFonts w:eastAsia="等线" w:ascii="Arial" w:cs="Arial" w:hAnsi="Arial"/>
          <w:b w:val="true"/>
          <w:sz w:val="22"/>
        </w:rPr>
        <w:t>促销后的list price</w:t>
      </w:r>
      <w:r>
        <w:rPr>
          <w:rFonts w:eastAsia="等线" w:ascii="Arial" w:cs="Arial" w:hAnsi="Arial"/>
          <w:sz w:val="22"/>
        </w:rPr>
        <w:t>：BD活动期间你设置的促销价（也是买家实际看到的价格）。比如原list price $50，BD活动折后卖 $35。</w:t>
      </w:r>
    </w:p>
    <w:p>
      <w:pPr>
        <w:numPr>
          <w:numId w:val="122"/>
        </w:numPr>
        <w:spacing w:before="120" w:after="120" w:line="288" w:lineRule="auto"/>
        <w:ind w:left="0"/>
        <w:jc w:val="left"/>
      </w:pPr>
      <w:r>
        <w:rPr>
          <w:rFonts w:eastAsia="等线" w:ascii="Arial" w:cs="Arial" w:hAnsi="Arial"/>
          <w:b w:val="true"/>
          <w:sz w:val="22"/>
        </w:rPr>
        <w:t>促销funding</w:t>
      </w:r>
      <w:r>
        <w:rPr>
          <w:rFonts w:eastAsia="等线" w:ascii="Arial" w:cs="Arial" w:hAnsi="Arial"/>
          <w:sz w:val="22"/>
        </w:rPr>
        <w:t>：你为BD额外提供的单位产品费用减免。比如你承诺每卖一件给亚马逊$2的funding，这个钱会被亚马逊视为你补偿它因促销损失的利润，所以加到分子的利润里。</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逻辑</w:t>
      </w:r>
      <w:r>
        <w:rPr>
          <w:rFonts w:eastAsia="等线" w:ascii="Arial" w:cs="Arial" w:hAnsi="Arial"/>
          <w:sz w:val="22"/>
        </w:rPr>
        <w:t>：亚马逊在促销期间只能拿到较低的零售收入，但你会通过funding再贴补它一部分，这部分funding直接转化为它的净贡献。</w:t>
      </w:r>
    </w:p>
    <w:p>
      <w:pPr>
        <w:spacing w:before="120" w:after="120" w:line="288" w:lineRule="auto"/>
        <w:ind w:left="0"/>
        <w:jc w:val="left"/>
      </w:pPr>
    </w:p>
    <w:p>
      <w:pPr>
        <w:pStyle w:val="4"/>
        <w:spacing w:before="260" w:after="120" w:line="288" w:lineRule="auto"/>
        <w:ind w:left="0"/>
        <w:jc w:val="left"/>
        <w:outlineLvl w:val="3"/>
      </w:pPr>
      <w:bookmarkStart w:name="heading_64" w:id="64"/>
      <w:r>
        <w:rPr>
          <w:rFonts w:eastAsia="等线" w:ascii="Arial" w:cs="Arial" w:hAnsi="Arial"/>
          <w:b w:val="true"/>
          <w:sz w:val="28"/>
        </w:rPr>
        <w:t>举例计算（接上例）：</w:t>
      </w:r>
      <w:bookmarkEnd w:id="64"/>
    </w:p>
    <w:p>
      <w:pPr>
        <w:spacing w:before="120" w:after="120" w:line="288" w:lineRule="auto"/>
        <w:ind w:left="0"/>
        <w:jc w:val="left"/>
      </w:pPr>
    </w:p>
    <w:p>
      <w:pPr>
        <w:numPr>
          <w:numId w:val="123"/>
        </w:numPr>
        <w:spacing w:before="120" w:after="120" w:line="288" w:lineRule="auto"/>
        <w:ind w:left="0"/>
        <w:jc w:val="left"/>
      </w:pPr>
      <w:r>
        <w:rPr>
          <w:rFonts w:eastAsia="等线" w:ascii="Arial" w:cs="Arial" w:hAnsi="Arial"/>
          <w:sz w:val="22"/>
        </w:rPr>
        <w:t>原list price $50，BD促销后list price = $35</w:t>
      </w:r>
    </w:p>
    <w:p>
      <w:pPr>
        <w:numPr>
          <w:numId w:val="124"/>
        </w:numPr>
        <w:spacing w:before="120" w:after="120" w:line="288" w:lineRule="auto"/>
        <w:ind w:left="0"/>
        <w:jc w:val="left"/>
      </w:pPr>
      <w:r>
        <w:rPr>
          <w:rFonts w:eastAsia="等线" w:ascii="Arial" w:cs="Arial" w:hAnsi="Arial"/>
          <w:sz w:val="22"/>
        </w:rPr>
        <w:t>cost price = $20</w:t>
      </w:r>
    </w:p>
    <w:p>
      <w:pPr>
        <w:numPr>
          <w:numId w:val="125"/>
        </w:numPr>
        <w:spacing w:before="120" w:after="120" w:line="288" w:lineRule="auto"/>
        <w:ind w:left="0"/>
        <w:jc w:val="left"/>
      </w:pPr>
      <w:r>
        <w:rPr>
          <w:rFonts w:eastAsia="等线" w:ascii="Arial" w:cs="Arial" w:hAnsi="Arial"/>
          <w:sz w:val="22"/>
        </w:rPr>
        <w:t>总佣金扣点 = 0.10</w:t>
      </w:r>
    </w:p>
    <w:p>
      <w:pPr>
        <w:numPr>
          <w:numId w:val="126"/>
        </w:numPr>
        <w:spacing w:before="120" w:after="120" w:line="288" w:lineRule="auto"/>
        <w:ind w:left="0"/>
        <w:jc w:val="left"/>
      </w:pPr>
      <w:r>
        <w:rPr>
          <w:rFonts w:eastAsia="等线" w:ascii="Arial" w:cs="Arial" w:hAnsi="Arial"/>
          <w:sz w:val="22"/>
        </w:rPr>
        <w:t>每件促销funding = $1.5</w:t>
      </w:r>
    </w:p>
    <w:p>
      <w:pPr>
        <w:spacing w:before="120" w:after="120" w:line="288" w:lineRule="auto"/>
        <w:ind w:left="453"/>
        <w:jc w:val="left"/>
      </w:pPr>
    </w:p>
    <w:p>
      <w:pPr>
        <w:spacing w:before="120" w:after="120" w:line="288" w:lineRule="auto"/>
        <w:ind w:left="0"/>
        <w:jc w:val="left"/>
      </w:pPr>
      <w:r>
        <w:rPr>
          <w:rFonts w:eastAsia="等线" w:ascii="Arial" w:cs="Arial" w:hAnsi="Arial"/>
          <w:sz w:val="22"/>
        </w:rPr>
        <w:t>NET PPM = (35 - 20 + 1.5 + 0.10 × 20) / 35</w:t>
      </w:r>
    </w:p>
    <w:p>
      <w:pPr>
        <w:spacing w:before="120" w:after="120" w:line="288" w:lineRule="auto"/>
        <w:ind w:left="0"/>
        <w:jc w:val="left"/>
      </w:pPr>
      <w:r>
        <w:rPr>
          <w:rFonts w:eastAsia="等线" w:ascii="Arial" w:cs="Arial" w:hAnsi="Arial"/>
          <w:sz w:val="22"/>
        </w:rPr>
        <w:t>= (15 + 1.5 + 2) / 35</w:t>
      </w:r>
    </w:p>
    <w:p>
      <w:pPr>
        <w:spacing w:before="120" w:after="120" w:line="288" w:lineRule="auto"/>
        <w:ind w:left="0"/>
        <w:jc w:val="left"/>
      </w:pPr>
      <w:r>
        <w:rPr>
          <w:rFonts w:eastAsia="等线" w:ascii="Arial" w:cs="Arial" w:hAnsi="Arial"/>
          <w:sz w:val="22"/>
        </w:rPr>
        <w:t>= 18.5 / 35</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52.86%</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可以看到，即使促销价降低了，因为funding和扣点还存在，NET PPM并没有崩塌，保持在50%以上仍然相当不错。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5" w:id="65"/>
      <w:r>
        <w:rPr>
          <w:rFonts w:eastAsia="等线" w:ascii="Arial" w:cs="Arial" w:hAnsi="Arial"/>
          <w:b w:val="true"/>
          <w:sz w:val="32"/>
        </w:rPr>
        <w:t>三、NET PPM背后的深层逻辑：亚马逊到底用它来干什么？</w:t>
      </w:r>
      <w:bookmarkEnd w:id="65"/>
    </w:p>
    <w:p>
      <w:pPr>
        <w:spacing w:before="120" w:after="120" w:line="288" w:lineRule="auto"/>
        <w:ind w:left="0"/>
        <w:jc w:val="left"/>
      </w:pPr>
    </w:p>
    <w:p>
      <w:pPr>
        <w:numPr>
          <w:numId w:val="127"/>
        </w:numPr>
        <w:spacing w:before="120" w:after="120" w:line="288" w:lineRule="auto"/>
        <w:ind w:left="0"/>
        <w:jc w:val="left"/>
      </w:pPr>
      <w:r>
        <w:rPr>
          <w:rFonts w:eastAsia="等线" w:ascii="Arial" w:cs="Arial" w:hAnsi="Arial"/>
          <w:b w:val="true"/>
          <w:sz w:val="22"/>
        </w:rPr>
        <w:t>供应商排名和资源分配</w:t>
      </w:r>
    </w:p>
    <w:p>
      <w:pPr>
        <w:spacing w:before="120" w:after="120" w:line="288" w:lineRule="auto"/>
        <w:ind w:left="0"/>
        <w:jc w:val="left"/>
      </w:pPr>
      <w:r>
        <w:rPr>
          <w:rFonts w:eastAsia="等线" w:ascii="Arial" w:cs="Arial" w:hAnsi="Arial"/>
          <w:sz w:val="22"/>
        </w:rPr>
        <w:t>VM每个月都会审视所有供应商的NET PPM。如果你的NET PPM低于类目平均（很多品类要求&gt;30%~40%），你会被系统标记为“Low Net PPM Vendor”，VM将被迫减少PO、取消营销资源、甚至在年度谈判中要求你提高扣点或降价。</w:t>
      </w:r>
    </w:p>
    <w:p>
      <w:pPr>
        <w:spacing w:before="120" w:after="120" w:line="288" w:lineRule="auto"/>
        <w:ind w:left="453"/>
        <w:jc w:val="left"/>
      </w:pPr>
    </w:p>
    <w:p>
      <w:pPr>
        <w:numPr>
          <w:numId w:val="128"/>
        </w:numPr>
        <w:spacing w:before="120" w:after="120" w:line="288" w:lineRule="auto"/>
        <w:ind w:left="0"/>
        <w:jc w:val="left"/>
      </w:pPr>
      <w:r>
        <w:rPr>
          <w:rFonts w:eastAsia="等线" w:ascii="Arial" w:cs="Arial" w:hAnsi="Arial"/>
          <w:b w:val="true"/>
          <w:sz w:val="22"/>
        </w:rPr>
        <w:t>决定是否下达更多PO</w:t>
      </w:r>
    </w:p>
    <w:p>
      <w:pPr>
        <w:spacing w:before="120" w:after="120" w:line="288" w:lineRule="auto"/>
        <w:ind w:left="0"/>
        <w:jc w:val="left"/>
      </w:pPr>
      <w:r>
        <w:rPr>
          <w:rFonts w:eastAsia="等线" w:ascii="Arial" w:cs="Arial" w:hAnsi="Arial"/>
          <w:sz w:val="22"/>
        </w:rPr>
        <w:t>高NET PPM意味着亚马逊卖你的产品赚得多，系统会放心地把流量和订单倾斜给你。这就是为什么有些VC供应商销量不大，但PO源源不断，因为他们的产品能帮亚马逊完成利润目标。</w:t>
      </w:r>
    </w:p>
    <w:p>
      <w:pPr>
        <w:spacing w:before="120" w:after="120" w:line="288" w:lineRule="auto"/>
        <w:ind w:left="453"/>
        <w:jc w:val="left"/>
      </w:pPr>
    </w:p>
    <w:p>
      <w:pPr>
        <w:numPr>
          <w:numId w:val="129"/>
        </w:numPr>
        <w:spacing w:before="120" w:after="120" w:line="288" w:lineRule="auto"/>
        <w:ind w:left="0"/>
        <w:jc w:val="left"/>
      </w:pPr>
      <w:r>
        <w:rPr>
          <w:rFonts w:eastAsia="等线" w:ascii="Arial" w:cs="Arial" w:hAnsi="Arial"/>
          <w:b w:val="true"/>
          <w:sz w:val="22"/>
        </w:rPr>
        <w:t>年度谈判的硬通货</w:t>
      </w:r>
    </w:p>
    <w:p>
      <w:pPr>
        <w:spacing w:before="120" w:after="120" w:line="288" w:lineRule="auto"/>
        <w:ind w:left="0"/>
        <w:jc w:val="left"/>
      </w:pPr>
      <w:r>
        <w:rPr>
          <w:rFonts w:eastAsia="等线" w:ascii="Arial" w:cs="Arial" w:hAnsi="Arial"/>
          <w:sz w:val="22"/>
        </w:rPr>
        <w:t>当你带着NET PPM数据走向谈判桌时，你完全可以这样说：“我的NET PPM比同类目供应商高出8个百分点，过去一年给亚马逊贡献了xx万美元额外净利，因此我希望将Co-op从5%降至3%。” 这种谈判才有力量。</w:t>
      </w:r>
    </w:p>
    <w:p>
      <w:pPr>
        <w:spacing w:before="120" w:after="120" w:line="288" w:lineRule="auto"/>
        <w:ind w:left="453"/>
        <w:jc w:val="left"/>
      </w:pPr>
    </w:p>
    <w:p>
      <w:pPr>
        <w:numPr>
          <w:numId w:val="130"/>
        </w:numPr>
        <w:spacing w:before="120" w:after="120" w:line="288" w:lineRule="auto"/>
        <w:ind w:left="0"/>
        <w:jc w:val="left"/>
      </w:pPr>
      <w:r>
        <w:rPr>
          <w:rFonts w:eastAsia="等线" w:ascii="Arial" w:cs="Arial" w:hAnsi="Arial"/>
          <w:b w:val="true"/>
          <w:sz w:val="22"/>
        </w:rPr>
        <w:t>促销活动的批准依据</w:t>
      </w:r>
    </w:p>
    <w:p>
      <w:pPr>
        <w:spacing w:before="120" w:after="120" w:line="288" w:lineRule="auto"/>
        <w:ind w:left="0"/>
        <w:jc w:val="left"/>
      </w:pPr>
      <w:r>
        <w:rPr>
          <w:rFonts w:eastAsia="等线" w:ascii="Arial" w:cs="Arial" w:hAnsi="Arial"/>
          <w:sz w:val="22"/>
        </w:rPr>
        <w:t>VM在审批BD、DOTD申请时，会先看你的NET PPM。如果基础NET PPM就不高，再打折加上funding后可能直接变成负数或太低，活动就会被拒。</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6" w:id="66"/>
      <w:r>
        <w:rPr>
          <w:rFonts w:eastAsia="等线" w:ascii="Arial" w:cs="Arial" w:hAnsi="Arial"/>
          <w:b w:val="true"/>
          <w:sz w:val="32"/>
        </w:rPr>
        <w:t>四、CM（你的实际贡献利润）应该怎么算，才能不亏？</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虽然NET PPM是亚马逊的尺子，但</w:t>
      </w:r>
      <w:r>
        <w:rPr>
          <w:rFonts w:eastAsia="等线" w:ascii="Arial" w:cs="Arial" w:hAnsi="Arial"/>
          <w:b w:val="true"/>
          <w:sz w:val="22"/>
        </w:rPr>
        <w:t>你的CM才是你自己的命根子</w:t>
      </w:r>
      <w:r>
        <w:rPr>
          <w:rFonts w:eastAsia="等线" w:ascii="Arial" w:cs="Arial" w:hAnsi="Arial"/>
          <w:sz w:val="22"/>
        </w:rPr>
        <w:t>。建议用下面的公式算清楚：</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你的单位CM = 净实收单价 - 出厂成本 - 头程物流 - 分摊管理费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其中净实收单价 = cost price × (1 - 佣金扣点) - 平均每件Chargeback金额。</w:t>
      </w:r>
    </w:p>
    <w:p>
      <w:pPr>
        <w:spacing w:before="120" w:after="120" w:line="288" w:lineRule="auto"/>
        <w:ind w:left="0"/>
        <w:jc w:val="left"/>
      </w:pPr>
    </w:p>
    <w:p>
      <w:pPr>
        <w:spacing w:before="120" w:after="120" w:line="288" w:lineRule="auto"/>
        <w:ind w:left="0"/>
        <w:jc w:val="left"/>
      </w:pPr>
      <w:r>
        <w:rPr>
          <w:rFonts w:eastAsia="等线" w:ascii="Arial" w:cs="Arial" w:hAnsi="Arial"/>
          <w:sz w:val="22"/>
        </w:rPr>
        <w:t>继续上面的例子：</w:t>
      </w:r>
    </w:p>
    <w:p>
      <w:pPr>
        <w:numPr>
          <w:numId w:val="131"/>
        </w:numPr>
        <w:spacing w:before="120" w:after="120" w:line="288" w:lineRule="auto"/>
        <w:ind w:left="0"/>
        <w:jc w:val="left"/>
      </w:pPr>
      <w:r>
        <w:rPr>
          <w:rFonts w:eastAsia="等线" w:ascii="Arial" w:cs="Arial" w:hAnsi="Arial"/>
          <w:sz w:val="22"/>
        </w:rPr>
        <w:t>cost price = $20</w:t>
      </w:r>
    </w:p>
    <w:p>
      <w:pPr>
        <w:numPr>
          <w:numId w:val="132"/>
        </w:numPr>
        <w:spacing w:before="120" w:after="120" w:line="288" w:lineRule="auto"/>
        <w:ind w:left="0"/>
        <w:jc w:val="left"/>
      </w:pPr>
      <w:r>
        <w:rPr>
          <w:rFonts w:eastAsia="等线" w:ascii="Arial" w:cs="Arial" w:hAnsi="Arial"/>
          <w:sz w:val="22"/>
        </w:rPr>
        <w:t>佣金扣点12%，则扣款 = 2.4，所以净实收 = $17.6</w:t>
      </w:r>
    </w:p>
    <w:p>
      <w:pPr>
        <w:numPr>
          <w:numId w:val="133"/>
        </w:numPr>
        <w:spacing w:before="120" w:after="120" w:line="288" w:lineRule="auto"/>
        <w:ind w:left="0"/>
        <w:jc w:val="left"/>
      </w:pPr>
      <w:r>
        <w:rPr>
          <w:rFonts w:eastAsia="等线" w:ascii="Arial" w:cs="Arial" w:hAnsi="Arial"/>
          <w:sz w:val="22"/>
        </w:rPr>
        <w:t>假设过去同类产品平均每件Chargeback（短缺、无PO等） = $0.5</w:t>
      </w:r>
    </w:p>
    <w:p>
      <w:pPr>
        <w:numPr>
          <w:numId w:val="134"/>
        </w:numPr>
        <w:spacing w:before="120" w:after="120" w:line="288" w:lineRule="auto"/>
        <w:ind w:left="0"/>
        <w:jc w:val="left"/>
      </w:pPr>
      <w:r>
        <w:rPr>
          <w:rFonts w:eastAsia="等线" w:ascii="Arial" w:cs="Arial" w:hAnsi="Arial"/>
          <w:sz w:val="22"/>
        </w:rPr>
        <w:t>最终净实收 = $17.1</w:t>
      </w:r>
    </w:p>
    <w:p>
      <w:pPr>
        <w:numPr>
          <w:numId w:val="135"/>
        </w:numPr>
        <w:spacing w:before="120" w:after="120" w:line="288" w:lineRule="auto"/>
        <w:ind w:left="0"/>
        <w:jc w:val="left"/>
      </w:pPr>
      <w:r>
        <w:rPr>
          <w:rFonts w:eastAsia="等线" w:ascii="Arial" w:cs="Arial" w:hAnsi="Arial"/>
          <w:sz w:val="22"/>
        </w:rPr>
        <w:t>出厂成本$8，头程$1.5，分摊$0.6 → 合计成本$10.1</w:t>
      </w:r>
    </w:p>
    <w:p>
      <w:pPr>
        <w:numPr>
          <w:numId w:val="136"/>
        </w:numPr>
        <w:spacing w:before="120" w:after="120" w:line="288" w:lineRule="auto"/>
        <w:ind w:left="0"/>
        <w:jc w:val="left"/>
      </w:pPr>
      <w:r>
        <w:rPr>
          <w:rFonts w:eastAsia="等线" w:ascii="Arial" w:cs="Arial" w:hAnsi="Arial"/>
          <w:sz w:val="22"/>
        </w:rPr>
        <w:t xml:space="preserve">你的CM = 17.1 - 10.1 = </w:t>
      </w:r>
      <w:r>
        <w:rPr>
          <w:rFonts w:eastAsia="等线" w:ascii="Arial" w:cs="Arial" w:hAnsi="Arial"/>
          <w:b w:val="true"/>
          <w:sz w:val="22"/>
        </w:rPr>
        <w:t>$7.0/件</w:t>
      </w:r>
    </w:p>
    <w:p>
      <w:pPr>
        <w:spacing w:before="120" w:after="120" w:line="288" w:lineRule="auto"/>
        <w:ind w:left="453"/>
        <w:jc w:val="left"/>
      </w:pPr>
    </w:p>
    <w:p>
      <w:pPr>
        <w:spacing w:before="120" w:after="120" w:line="288" w:lineRule="auto"/>
        <w:ind w:left="0"/>
        <w:jc w:val="left"/>
      </w:pPr>
      <w:r>
        <w:rPr>
          <w:rFonts w:eastAsia="等线" w:ascii="Arial" w:cs="Arial" w:hAnsi="Arial"/>
          <w:sz w:val="22"/>
        </w:rPr>
        <w:t>也就是说，虽然亚马逊那边看到NET PPM有64%，很欢喜，但你每件也只赚7美元。你需要确保这个CM乘以数量，能覆盖固定开支并有盈余。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五、三个指标的应用协同</w:t>
      </w:r>
      <w:bookmarkEnd w:id="6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PPM（粗算）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快速筛选产品利润空间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内部选品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PPM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优化与亚马逊的关系、争取资源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VM，你的谈判策略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你的CM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决定产品线存亡、控制运营成本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你自己</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你给的NET PPM公式非常实用，尤其是把“佣金扣点×cost price”加回去这一步，已经抓住了亚马逊财务模型的核心。只要坚持每月用不促销和BD两套公式回测，你就能精准预测VM的满意度，并提前调整供货价或争取降低扣点。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如果在实际运算中发现NET PPM低于25%，建议立刻复盘是否cost price定太高、扣点太狠，或者list price立得太低。很多时候只需小幅调整list price（即使亚马逊不采纳），也能源头提升这个数字，因为分母增大带来的直接效果比在条款上苦苦撕扯来得更快。</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希望这次单独详解能让你彻底吃透这三个利润指标，并能熟练地运用在自己的VC经营决策里。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插入邮件模板（如与VM沟通Bulk Buy、申诉Chargeback等）</w:t>
      </w:r>
    </w:p>
    <w:p>
      <w:pPr>
        <w:spacing w:before="120" w:after="120" w:line="288" w:lineRule="auto"/>
        <w:ind w:left="0"/>
        <w:jc w:val="left"/>
      </w:pPr>
      <w:r>
        <w:rPr>
          <w:rFonts w:eastAsia="等线" w:ascii="Arial" w:cs="Arial" w:hAnsi="Arial"/>
          <w:sz w:val="22"/>
        </w:rPr>
        <w:t>好的，下面补充</w:t>
      </w:r>
      <w:r>
        <w:rPr>
          <w:rFonts w:eastAsia="等线" w:ascii="Arial" w:cs="Arial" w:hAnsi="Arial"/>
          <w:b w:val="true"/>
          <w:sz w:val="22"/>
        </w:rPr>
        <w:t>审核与合规专题</w:t>
      </w:r>
      <w:r>
        <w:rPr>
          <w:rFonts w:eastAsia="等线" w:ascii="Arial" w:cs="Arial" w:hAnsi="Arial"/>
          <w:sz w:val="22"/>
        </w:rPr>
        <w:t>，包含SIOC包装认证、危险品审核、SDS、其他审核流程，并附上通用POA模板以及实用的邮件模板（与VM沟通Bulk Buy、申诉Chargeback等），你可以直接复制使用或按需修改。</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8" w:id="68"/>
      <w:r>
        <w:rPr>
          <w:rFonts w:eastAsia="等线" w:ascii="Arial" w:cs="Arial" w:hAnsi="Arial"/>
          <w:b w:val="true"/>
          <w:sz w:val="32"/>
        </w:rPr>
        <w:t>第三十二章 VC账号的合规审核与申诉模板汇总</w:t>
      </w:r>
      <w:bookmarkEnd w:id="68"/>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32.1 SIOC包装认证（Ships in Own Container）</w:t>
      </w:r>
      <w:bookmarkEnd w:id="69"/>
    </w:p>
    <w:p>
      <w:pPr>
        <w:spacing w:before="120" w:after="120" w:line="288" w:lineRule="auto"/>
        <w:ind w:left="0"/>
        <w:jc w:val="left"/>
      </w:pPr>
    </w:p>
    <w:p>
      <w:pPr>
        <w:pStyle w:val="4"/>
        <w:spacing w:before="260" w:after="120" w:line="288" w:lineRule="auto"/>
        <w:ind w:left="0"/>
        <w:jc w:val="left"/>
        <w:outlineLvl w:val="3"/>
      </w:pPr>
      <w:bookmarkStart w:name="heading_70" w:id="70"/>
      <w:r>
        <w:rPr>
          <w:rFonts w:eastAsia="等线" w:ascii="Arial" w:cs="Arial" w:hAnsi="Arial"/>
          <w:b w:val="true"/>
          <w:sz w:val="28"/>
        </w:rPr>
        <w:t>什么是SIOC？</w:t>
      </w:r>
      <w:bookmarkEnd w:id="70"/>
    </w:p>
    <w:p>
      <w:pPr>
        <w:spacing w:before="120" w:after="120" w:line="288" w:lineRule="auto"/>
        <w:ind w:left="0"/>
        <w:jc w:val="left"/>
      </w:pPr>
    </w:p>
    <w:p>
      <w:pPr>
        <w:spacing w:before="120" w:after="120" w:line="288" w:lineRule="auto"/>
        <w:ind w:left="0"/>
        <w:jc w:val="left"/>
      </w:pPr>
      <w:r>
        <w:rPr>
          <w:rFonts w:eastAsia="等线" w:ascii="Arial" w:cs="Arial" w:hAnsi="Arial"/>
          <w:sz w:val="22"/>
        </w:rPr>
        <w:t>SIOC是指产品使用自己的包装箱即可直接发货，不需要亚马逊再额外套一个外箱。获得SIOC认证的好处：</w:t>
      </w:r>
    </w:p>
    <w:p>
      <w:pPr>
        <w:spacing w:before="120" w:after="120" w:line="288" w:lineRule="auto"/>
        <w:ind w:left="0"/>
        <w:jc w:val="left"/>
      </w:pPr>
    </w:p>
    <w:p>
      <w:pPr>
        <w:numPr>
          <w:numId w:val="137"/>
        </w:numPr>
        <w:spacing w:before="120" w:after="120" w:line="288" w:lineRule="auto"/>
        <w:ind w:left="0"/>
        <w:jc w:val="left"/>
      </w:pPr>
      <w:r>
        <w:rPr>
          <w:rFonts w:eastAsia="等线" w:ascii="Arial" w:cs="Arial" w:hAnsi="Arial"/>
          <w:sz w:val="22"/>
        </w:rPr>
        <w:t>节省包装材料费（亚马逊对非SIOC商品会加收额外包装成本）</w:t>
      </w:r>
    </w:p>
    <w:p>
      <w:pPr>
        <w:numPr>
          <w:numId w:val="138"/>
        </w:numPr>
        <w:spacing w:before="120" w:after="120" w:line="288" w:lineRule="auto"/>
        <w:ind w:left="0"/>
        <w:jc w:val="left"/>
      </w:pPr>
      <w:r>
        <w:rPr>
          <w:rFonts w:eastAsia="等线" w:ascii="Arial" w:cs="Arial" w:hAnsi="Arial"/>
          <w:sz w:val="22"/>
        </w:rPr>
        <w:t>减少包装浪费导致的Negative Feedback</w:t>
      </w:r>
    </w:p>
    <w:p>
      <w:pPr>
        <w:numPr>
          <w:numId w:val="139"/>
        </w:numPr>
        <w:spacing w:before="120" w:after="120" w:line="288" w:lineRule="auto"/>
        <w:ind w:left="0"/>
        <w:jc w:val="left"/>
      </w:pPr>
      <w:r>
        <w:rPr>
          <w:rFonts w:eastAsia="等线" w:ascii="Arial" w:cs="Arial" w:hAnsi="Arial"/>
          <w:sz w:val="22"/>
        </w:rPr>
        <w:t>部分品类强制要求SIOC才能通过Frustration-Free Packaging（FFP）认证</w:t>
      </w:r>
    </w:p>
    <w:p>
      <w:pPr>
        <w:spacing w:before="120" w:after="120" w:line="288" w:lineRule="auto"/>
        <w:ind w:left="453"/>
        <w:jc w:val="left"/>
      </w:pPr>
    </w:p>
    <w:p>
      <w:pPr>
        <w:pStyle w:val="4"/>
        <w:spacing w:before="260" w:after="120" w:line="288" w:lineRule="auto"/>
        <w:ind w:left="0"/>
        <w:jc w:val="left"/>
        <w:outlineLvl w:val="3"/>
      </w:pPr>
      <w:bookmarkStart w:name="heading_71" w:id="71"/>
      <w:r>
        <w:rPr>
          <w:rFonts w:eastAsia="等线" w:ascii="Arial" w:cs="Arial" w:hAnsi="Arial"/>
          <w:b w:val="true"/>
          <w:sz w:val="28"/>
        </w:rPr>
        <w:t>VC申请SIOC流程</w:t>
      </w:r>
      <w:bookmarkEnd w:id="71"/>
    </w:p>
    <w:p>
      <w:pPr>
        <w:spacing w:before="120" w:after="120" w:line="288" w:lineRule="auto"/>
        <w:ind w:left="0"/>
        <w:jc w:val="left"/>
      </w:pPr>
    </w:p>
    <w:p>
      <w:pPr>
        <w:numPr>
          <w:numId w:val="140"/>
        </w:numPr>
        <w:spacing w:before="120" w:after="120" w:line="288" w:lineRule="auto"/>
        <w:ind w:left="0"/>
        <w:jc w:val="left"/>
      </w:pPr>
      <w:r>
        <w:rPr>
          <w:rFonts w:eastAsia="等线" w:ascii="Arial" w:cs="Arial" w:hAnsi="Arial"/>
          <w:b w:val="true"/>
          <w:sz w:val="22"/>
        </w:rPr>
        <w:t>登录包装认证平台</w:t>
      </w:r>
      <w:r>
        <w:rPr>
          <w:rFonts w:eastAsia="等线" w:ascii="Arial" w:cs="Arial" w:hAnsi="Arial"/>
          <w:sz w:val="22"/>
        </w:rPr>
        <w:t>：通过 Vendor Central → Packaging → Certification 进入亚马逊的包装认证工具（或直接访问</w:t>
      </w:r>
      <w:r>
        <w:rPr>
          <w:rFonts w:eastAsia="等线" w:ascii="Arial" w:cs="Arial" w:hAnsi="Arial"/>
          <w:sz w:val="22"/>
        </w:rPr>
        <w:t>https://sellercentral.amazon.com/sioc</w:t>
      </w:r>
      <w:r>
        <w:rPr>
          <w:rFonts w:eastAsia="等线" w:ascii="Arial" w:cs="Arial" w:hAnsi="Arial"/>
          <w:sz w:val="22"/>
        </w:rPr>
        <w:t>）。</w:t>
      </w:r>
    </w:p>
    <w:p>
      <w:pPr>
        <w:numPr>
          <w:numId w:val="141"/>
        </w:numPr>
        <w:spacing w:before="120" w:after="120" w:line="288" w:lineRule="auto"/>
        <w:ind w:left="0"/>
        <w:jc w:val="left"/>
      </w:pPr>
      <w:r>
        <w:rPr>
          <w:rFonts w:eastAsia="等线" w:ascii="Arial" w:cs="Arial" w:hAnsi="Arial"/>
          <w:b w:val="true"/>
          <w:sz w:val="22"/>
        </w:rPr>
        <w:t>提交包装测试申请</w:t>
      </w:r>
      <w:r>
        <w:rPr>
          <w:rFonts w:eastAsia="等线" w:ascii="Arial" w:cs="Arial" w:hAnsi="Arial"/>
          <w:sz w:val="22"/>
        </w:rPr>
        <w:t>：</w:t>
      </w:r>
    </w:p>
    <w:p>
      <w:pPr>
        <w:numPr>
          <w:numId w:val="142"/>
        </w:numPr>
        <w:spacing w:before="120" w:after="120" w:line="288" w:lineRule="auto"/>
        <w:ind w:left="453"/>
        <w:jc w:val="left"/>
      </w:pPr>
      <w:r>
        <w:rPr>
          <w:rFonts w:eastAsia="等线" w:ascii="Arial" w:cs="Arial" w:hAnsi="Arial"/>
          <w:sz w:val="22"/>
        </w:rPr>
        <w:t>选择需要认证的ASIN。</w:t>
      </w:r>
    </w:p>
    <w:p>
      <w:pPr>
        <w:numPr>
          <w:numId w:val="143"/>
        </w:numPr>
        <w:spacing w:before="120" w:after="120" w:line="288" w:lineRule="auto"/>
        <w:ind w:left="453"/>
        <w:jc w:val="left"/>
      </w:pPr>
      <w:r>
        <w:rPr>
          <w:rFonts w:eastAsia="等线" w:ascii="Arial" w:cs="Arial" w:hAnsi="Arial"/>
          <w:sz w:val="22"/>
        </w:rPr>
        <w:t>填写包装尺寸、重量、材质等。</w:t>
      </w:r>
    </w:p>
    <w:p>
      <w:pPr>
        <w:numPr>
          <w:numId w:val="144"/>
        </w:numPr>
        <w:spacing w:before="120" w:after="120" w:line="288" w:lineRule="auto"/>
        <w:ind w:left="453"/>
        <w:jc w:val="left"/>
      </w:pPr>
      <w:r>
        <w:rPr>
          <w:rFonts w:eastAsia="等线" w:ascii="Arial" w:cs="Arial" w:hAnsi="Arial"/>
          <w:sz w:val="22"/>
        </w:rPr>
        <w:t>亚马逊系统会给出是否需要实物测试的建议。</w:t>
      </w:r>
    </w:p>
    <w:p>
      <w:pPr>
        <w:numPr>
          <w:numId w:val="145"/>
        </w:numPr>
        <w:spacing w:before="120" w:after="120" w:line="288" w:lineRule="auto"/>
        <w:ind w:left="0"/>
        <w:jc w:val="left"/>
      </w:pPr>
      <w:r>
        <w:rPr>
          <w:rFonts w:eastAsia="等线" w:ascii="Arial" w:cs="Arial" w:hAnsi="Arial"/>
          <w:b w:val="true"/>
          <w:sz w:val="22"/>
        </w:rPr>
        <w:t>实物测试（如要求）</w:t>
      </w:r>
      <w:r>
        <w:rPr>
          <w:rFonts w:eastAsia="等线" w:ascii="Arial" w:cs="Arial" w:hAnsi="Arial"/>
          <w:sz w:val="22"/>
        </w:rPr>
        <w:t>：</w:t>
      </w:r>
    </w:p>
    <w:p>
      <w:pPr>
        <w:numPr>
          <w:numId w:val="146"/>
        </w:numPr>
        <w:spacing w:before="120" w:after="120" w:line="288" w:lineRule="auto"/>
        <w:ind w:left="453"/>
        <w:jc w:val="left"/>
      </w:pPr>
      <w:r>
        <w:rPr>
          <w:rFonts w:eastAsia="等线" w:ascii="Arial" w:cs="Arial" w:hAnsi="Arial"/>
          <w:sz w:val="22"/>
        </w:rPr>
        <w:t xml:space="preserve">你将样品寄送到亚马逊指定的实验室进行跌落、振动等测试（ISTA </w:t>
      </w:r>
      <w:r>
        <w:rPr>
          <w:rFonts w:eastAsia="等线" w:ascii="Arial" w:cs="Arial" w:hAnsi="Arial"/>
          <w:sz w:val="22"/>
        </w:rPr>
        <w:t>6-Amazon.com</w:t>
      </w:r>
      <w:r>
        <w:rPr>
          <w:rFonts w:eastAsia="等线" w:ascii="Arial" w:cs="Arial" w:hAnsi="Arial"/>
          <w:sz w:val="22"/>
        </w:rPr>
        <w:t>-SIOC标准）。</w:t>
      </w:r>
    </w:p>
    <w:p>
      <w:pPr>
        <w:numPr>
          <w:numId w:val="147"/>
        </w:numPr>
        <w:spacing w:before="120" w:after="120" w:line="288" w:lineRule="auto"/>
        <w:ind w:left="453"/>
        <w:jc w:val="left"/>
      </w:pPr>
      <w:r>
        <w:rPr>
          <w:rFonts w:eastAsia="等线" w:ascii="Arial" w:cs="Arial" w:hAnsi="Arial"/>
          <w:sz w:val="22"/>
        </w:rPr>
        <w:t>测试通过后，ASIN会被标记为SIOC合规。</w:t>
      </w:r>
    </w:p>
    <w:p>
      <w:pPr>
        <w:numPr>
          <w:numId w:val="148"/>
        </w:numPr>
        <w:spacing w:before="120" w:after="120" w:line="288" w:lineRule="auto"/>
        <w:ind w:left="0"/>
        <w:jc w:val="left"/>
      </w:pPr>
      <w:r>
        <w:rPr>
          <w:rFonts w:eastAsia="等线" w:ascii="Arial" w:cs="Arial" w:hAnsi="Arial"/>
          <w:b w:val="true"/>
          <w:sz w:val="22"/>
        </w:rPr>
        <w:t>虚拟测试（部分轻小件）</w:t>
      </w:r>
      <w:r>
        <w:rPr>
          <w:rFonts w:eastAsia="等线" w:ascii="Arial" w:cs="Arial" w:hAnsi="Arial"/>
          <w:sz w:val="22"/>
        </w:rPr>
        <w:t>：根据你提交的包装参数，系统可能直接通过虚拟评估授予SIOC认证，无需寄样。</w:t>
      </w:r>
    </w:p>
    <w:p>
      <w:pPr>
        <w:numPr>
          <w:numId w:val="149"/>
        </w:numPr>
        <w:spacing w:before="120" w:after="120" w:line="288" w:lineRule="auto"/>
        <w:ind w:left="0"/>
        <w:jc w:val="left"/>
      </w:pPr>
      <w:r>
        <w:rPr>
          <w:rFonts w:eastAsia="等线" w:ascii="Arial" w:cs="Arial" w:hAnsi="Arial"/>
          <w:b w:val="true"/>
          <w:sz w:val="22"/>
        </w:rPr>
        <w:t>状态追踪</w:t>
      </w:r>
      <w:r>
        <w:rPr>
          <w:rFonts w:eastAsia="等线" w:ascii="Arial" w:cs="Arial" w:hAnsi="Arial"/>
          <w:sz w:val="22"/>
        </w:rPr>
        <w:t>：在Packaging Dashboard中可看到每个ASIN的认证状态。</w:t>
      </w:r>
    </w:p>
    <w:p>
      <w:pPr>
        <w:spacing w:before="120" w:after="120" w:line="288" w:lineRule="auto"/>
        <w:ind w:left="453"/>
        <w:jc w:val="left"/>
      </w:pPr>
    </w:p>
    <w:p>
      <w:pPr>
        <w:pStyle w:val="4"/>
        <w:spacing w:before="260" w:after="120" w:line="288" w:lineRule="auto"/>
        <w:ind w:left="0"/>
        <w:jc w:val="left"/>
        <w:outlineLvl w:val="3"/>
      </w:pPr>
      <w:bookmarkStart w:name="heading_72" w:id="72"/>
      <w:r>
        <w:rPr>
          <w:rFonts w:eastAsia="等线" w:ascii="Arial" w:cs="Arial" w:hAnsi="Arial"/>
          <w:b w:val="true"/>
          <w:sz w:val="28"/>
        </w:rPr>
        <w:t>注意事项</w:t>
      </w:r>
      <w:bookmarkEnd w:id="72"/>
    </w:p>
    <w:p>
      <w:pPr>
        <w:spacing w:before="120" w:after="120" w:line="288" w:lineRule="auto"/>
        <w:ind w:left="0"/>
        <w:jc w:val="left"/>
      </w:pPr>
    </w:p>
    <w:p>
      <w:pPr>
        <w:numPr>
          <w:numId w:val="150"/>
        </w:numPr>
        <w:spacing w:before="120" w:after="120" w:line="288" w:lineRule="auto"/>
        <w:ind w:left="0"/>
        <w:jc w:val="left"/>
      </w:pPr>
      <w:r>
        <w:rPr>
          <w:rFonts w:eastAsia="等线" w:ascii="Arial" w:cs="Arial" w:hAnsi="Arial"/>
          <w:sz w:val="22"/>
        </w:rPr>
        <w:t>更改包装设计或材质后需重新认证。</w:t>
      </w:r>
    </w:p>
    <w:p>
      <w:pPr>
        <w:numPr>
          <w:numId w:val="151"/>
        </w:numPr>
        <w:spacing w:before="120" w:after="120" w:line="288" w:lineRule="auto"/>
        <w:ind w:left="0"/>
        <w:jc w:val="left"/>
      </w:pPr>
      <w:r>
        <w:rPr>
          <w:rFonts w:eastAsia="等线" w:ascii="Arial" w:cs="Arial" w:hAnsi="Arial"/>
          <w:sz w:val="22"/>
        </w:rPr>
        <w:t>SIOC认证有时效性，过期需更新。</w:t>
      </w:r>
    </w:p>
    <w:p>
      <w:pPr>
        <w:numPr>
          <w:numId w:val="152"/>
        </w:numPr>
        <w:spacing w:before="120" w:after="120" w:line="288" w:lineRule="auto"/>
        <w:ind w:left="0"/>
        <w:jc w:val="left"/>
      </w:pPr>
      <w:r>
        <w:rPr>
          <w:rFonts w:eastAsia="等线" w:ascii="Arial" w:cs="Arial" w:hAnsi="Arial"/>
          <w:sz w:val="22"/>
        </w:rPr>
        <w:t>如果你的产品被要求SIOC但未通过，可能会被限制入库或收取额外费用。</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32.2 危险品审核及SDS上传</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VC与SC一样，所有含有化学成分、锂电池、易燃气体/液体等的产品都需通过危险品审核（Hazmat Review），并上传</w:t>
      </w:r>
      <w:r>
        <w:rPr>
          <w:rFonts w:eastAsia="等线" w:ascii="Arial" w:cs="Arial" w:hAnsi="Arial"/>
          <w:b w:val="true"/>
          <w:sz w:val="22"/>
        </w:rPr>
        <w:t>SDS（安全数据表）或Exemption Sheet</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74" w:id="74"/>
      <w:r>
        <w:rPr>
          <w:rFonts w:eastAsia="等线" w:ascii="Arial" w:cs="Arial" w:hAnsi="Arial"/>
          <w:b w:val="true"/>
          <w:sz w:val="28"/>
        </w:rPr>
        <w:t>VC危险品审核流程</w:t>
      </w:r>
      <w:bookmarkEnd w:id="74"/>
    </w:p>
    <w:p>
      <w:pPr>
        <w:spacing w:before="120" w:after="120" w:line="288" w:lineRule="auto"/>
        <w:ind w:left="0"/>
        <w:jc w:val="left"/>
      </w:pPr>
    </w:p>
    <w:p>
      <w:pPr>
        <w:numPr>
          <w:numId w:val="153"/>
        </w:numPr>
        <w:spacing w:before="120" w:after="120" w:line="288" w:lineRule="auto"/>
        <w:ind w:left="0"/>
        <w:jc w:val="left"/>
      </w:pPr>
      <w:r>
        <w:rPr>
          <w:rFonts w:eastAsia="等线" w:ascii="Arial" w:cs="Arial" w:hAnsi="Arial"/>
          <w:b w:val="true"/>
          <w:sz w:val="22"/>
        </w:rPr>
        <w:t>识别触发商品</w:t>
      </w:r>
      <w:r>
        <w:rPr>
          <w:rFonts w:eastAsia="等线" w:ascii="Arial" w:cs="Arial" w:hAnsi="Arial"/>
          <w:sz w:val="22"/>
        </w:rPr>
        <w:t>：当你添加ASIN时，系统如果识别到潜在危险品，会自动触发审核，并在Items → Compliance → Dangerous Goods (Hazmat)下生成待处理Case。</w:t>
      </w:r>
    </w:p>
    <w:p>
      <w:pPr>
        <w:numPr>
          <w:numId w:val="154"/>
        </w:numPr>
        <w:spacing w:before="120" w:after="120" w:line="288" w:lineRule="auto"/>
        <w:ind w:left="0"/>
        <w:jc w:val="left"/>
      </w:pPr>
      <w:r>
        <w:rPr>
          <w:rFonts w:eastAsia="等线" w:ascii="Arial" w:cs="Arial" w:hAnsi="Arial"/>
          <w:b w:val="true"/>
          <w:sz w:val="22"/>
        </w:rPr>
        <w:t>上传SDS</w:t>
      </w:r>
      <w:r>
        <w:rPr>
          <w:rFonts w:eastAsia="等线" w:ascii="Arial" w:cs="Arial" w:hAnsi="Arial"/>
          <w:sz w:val="22"/>
        </w:rPr>
        <w:t>：</w:t>
      </w:r>
    </w:p>
    <w:p>
      <w:pPr>
        <w:numPr>
          <w:numId w:val="155"/>
        </w:numPr>
        <w:spacing w:before="120" w:after="120" w:line="288" w:lineRule="auto"/>
        <w:ind w:left="453"/>
        <w:jc w:val="left"/>
      </w:pPr>
      <w:r>
        <w:rPr>
          <w:rFonts w:eastAsia="等线" w:ascii="Arial" w:cs="Arial" w:hAnsi="Arial"/>
          <w:sz w:val="22"/>
        </w:rPr>
        <w:t>进入VC后台 → Items → Compliance → Dangerous Goods (Hazmat)</w:t>
      </w:r>
    </w:p>
    <w:p>
      <w:pPr>
        <w:numPr>
          <w:numId w:val="156"/>
        </w:numPr>
        <w:spacing w:before="120" w:after="120" w:line="288" w:lineRule="auto"/>
        <w:ind w:left="453"/>
        <w:jc w:val="left"/>
      </w:pPr>
      <w:r>
        <w:rPr>
          <w:rFonts w:eastAsia="等线" w:ascii="Arial" w:cs="Arial" w:hAnsi="Arial"/>
          <w:sz w:val="22"/>
        </w:rPr>
        <w:t>选择对应的ASIN，点击“Upload SDS”</w:t>
      </w:r>
    </w:p>
    <w:p>
      <w:pPr>
        <w:numPr>
          <w:numId w:val="157"/>
        </w:numPr>
        <w:spacing w:before="120" w:after="120" w:line="288" w:lineRule="auto"/>
        <w:ind w:left="453"/>
        <w:jc w:val="left"/>
      </w:pPr>
      <w:r>
        <w:rPr>
          <w:rFonts w:eastAsia="等线" w:ascii="Arial" w:cs="Arial" w:hAnsi="Arial"/>
          <w:sz w:val="22"/>
        </w:rPr>
        <w:t>上传符合GHS标准的16部分SDS文件（由制造商提供）</w:t>
      </w:r>
    </w:p>
    <w:p>
      <w:pPr>
        <w:numPr>
          <w:numId w:val="158"/>
        </w:numPr>
        <w:spacing w:before="120" w:after="120" w:line="288" w:lineRule="auto"/>
        <w:ind w:left="0"/>
        <w:jc w:val="left"/>
      </w:pPr>
      <w:r>
        <w:rPr>
          <w:rFonts w:eastAsia="等线" w:ascii="Arial" w:cs="Arial" w:hAnsi="Arial"/>
          <w:b w:val="true"/>
          <w:sz w:val="22"/>
        </w:rPr>
        <w:t>填写危险品信息</w:t>
      </w:r>
      <w:r>
        <w:rPr>
          <w:rFonts w:eastAsia="等线" w:ascii="Arial" w:cs="Arial" w:hAnsi="Arial"/>
          <w:sz w:val="22"/>
        </w:rPr>
        <w:t>：对于锂电池产品或无需完整SDS的商品，需下载危险品豁免表（Exemption Sheet），准确填写电池类型、瓦时数、化学成分等，并上传。</w:t>
      </w:r>
    </w:p>
    <w:p>
      <w:pPr>
        <w:numPr>
          <w:numId w:val="159"/>
        </w:numPr>
        <w:spacing w:before="120" w:after="120" w:line="288" w:lineRule="auto"/>
        <w:ind w:left="0"/>
        <w:jc w:val="left"/>
      </w:pPr>
      <w:r>
        <w:rPr>
          <w:rFonts w:eastAsia="等线" w:ascii="Arial" w:cs="Arial" w:hAnsi="Arial"/>
          <w:b w:val="true"/>
          <w:sz w:val="22"/>
        </w:rPr>
        <w:t>等待审核</w:t>
      </w:r>
      <w:r>
        <w:rPr>
          <w:rFonts w:eastAsia="等线" w:ascii="Arial" w:cs="Arial" w:hAnsi="Arial"/>
          <w:sz w:val="22"/>
        </w:rPr>
        <w:t>：审核周期通常为3-7个工作日。审核通过后，ASIN会获得危险品状态“Not Dangerous”或“Dangerous – Transport Only”（仅运输危险），前者可正常进FC，后者需戴高能发至特殊仓。</w:t>
      </w:r>
    </w:p>
    <w:p>
      <w:pPr>
        <w:numPr>
          <w:numId w:val="160"/>
        </w:numPr>
        <w:spacing w:before="120" w:after="120" w:line="288" w:lineRule="auto"/>
        <w:ind w:left="0"/>
        <w:jc w:val="left"/>
      </w:pPr>
      <w:r>
        <w:rPr>
          <w:rFonts w:eastAsia="等线" w:ascii="Arial" w:cs="Arial" w:hAnsi="Arial"/>
          <w:b w:val="true"/>
          <w:sz w:val="22"/>
        </w:rPr>
        <w:t>复查</w:t>
      </w:r>
      <w:r>
        <w:rPr>
          <w:rFonts w:eastAsia="等线" w:ascii="Arial" w:cs="Arial" w:hAnsi="Arial"/>
          <w:sz w:val="22"/>
        </w:rPr>
        <w:t>：若SDS被拒绝，系统会注明原因（如文件过期、信息不全），修改后重新提交。</w:t>
      </w:r>
    </w:p>
    <w:p>
      <w:pPr>
        <w:spacing w:before="120" w:after="120" w:line="288" w:lineRule="auto"/>
        <w:ind w:left="453"/>
        <w:jc w:val="left"/>
      </w:pPr>
    </w:p>
    <w:p>
      <w:pPr>
        <w:pStyle w:val="4"/>
        <w:spacing w:before="260" w:after="120" w:line="288" w:lineRule="auto"/>
        <w:ind w:left="0"/>
        <w:jc w:val="left"/>
        <w:outlineLvl w:val="3"/>
      </w:pPr>
      <w:bookmarkStart w:name="heading_75" w:id="75"/>
      <w:r>
        <w:rPr>
          <w:rFonts w:eastAsia="等线" w:ascii="Arial" w:cs="Arial" w:hAnsi="Arial"/>
          <w:b w:val="true"/>
          <w:sz w:val="28"/>
        </w:rPr>
        <w:t>关键注意点</w:t>
      </w:r>
      <w:bookmarkEnd w:id="75"/>
    </w:p>
    <w:p>
      <w:pPr>
        <w:spacing w:before="120" w:after="120" w:line="288" w:lineRule="auto"/>
        <w:ind w:left="0"/>
        <w:jc w:val="left"/>
      </w:pPr>
    </w:p>
    <w:p>
      <w:pPr>
        <w:numPr>
          <w:numId w:val="161"/>
        </w:numPr>
        <w:spacing w:before="120" w:after="120" w:line="288" w:lineRule="auto"/>
        <w:ind w:left="0"/>
        <w:jc w:val="left"/>
      </w:pPr>
      <w:r>
        <w:rPr>
          <w:rFonts w:eastAsia="等线" w:ascii="Arial" w:cs="Arial" w:hAnsi="Arial"/>
          <w:sz w:val="22"/>
        </w:rPr>
        <w:t>SDS必须对应你提供的ASIN的真实产品，不可用类似产品的SDS替代，否则会被永久标记并限制销售。</w:t>
      </w:r>
    </w:p>
    <w:p>
      <w:pPr>
        <w:numPr>
          <w:numId w:val="162"/>
        </w:numPr>
        <w:spacing w:before="120" w:after="120" w:line="288" w:lineRule="auto"/>
        <w:ind w:left="0"/>
        <w:jc w:val="left"/>
      </w:pPr>
      <w:r>
        <w:rPr>
          <w:rFonts w:eastAsia="等线" w:ascii="Arial" w:cs="Arial" w:hAnsi="Arial"/>
          <w:sz w:val="22"/>
        </w:rPr>
        <w:t>电池产品注意Wh额定值限制，超出需特别标注。</w:t>
      </w:r>
    </w:p>
    <w:p>
      <w:pPr>
        <w:numPr>
          <w:numId w:val="163"/>
        </w:numPr>
        <w:spacing w:before="120" w:after="120" w:line="288" w:lineRule="auto"/>
        <w:ind w:left="0"/>
        <w:jc w:val="left"/>
      </w:pPr>
      <w:r>
        <w:rPr>
          <w:rFonts w:eastAsia="等线" w:ascii="Arial" w:cs="Arial" w:hAnsi="Arial"/>
          <w:sz w:val="22"/>
        </w:rPr>
        <w:t>如果你的产品本身就是不可售危险品，不要试图绕过审核，否则会导致仓库拒收和账号安全风险。</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32.3 其他审核类型（合规文件、510K等）</w:t>
      </w:r>
      <w:bookmarkEnd w:id="76"/>
    </w:p>
    <w:p>
      <w:pPr>
        <w:spacing w:before="120" w:after="120" w:line="288" w:lineRule="auto"/>
        <w:ind w:left="0"/>
        <w:jc w:val="left"/>
      </w:pPr>
    </w:p>
    <w:p>
      <w:pPr>
        <w:spacing w:before="120" w:after="120" w:line="288" w:lineRule="auto"/>
        <w:ind w:left="0"/>
        <w:jc w:val="left"/>
      </w:pPr>
      <w:r>
        <w:rPr>
          <w:rFonts w:eastAsia="等线" w:ascii="Arial" w:cs="Arial" w:hAnsi="Arial"/>
          <w:sz w:val="22"/>
        </w:rPr>
        <w:t>除了危险品审核，VC还经常需要应对：</w:t>
      </w:r>
    </w:p>
    <w:p>
      <w:pPr>
        <w:spacing w:before="120" w:after="120" w:line="288" w:lineRule="auto"/>
        <w:ind w:left="0"/>
        <w:jc w:val="left"/>
      </w:pPr>
    </w:p>
    <w:p>
      <w:pPr>
        <w:numPr>
          <w:numId w:val="164"/>
        </w:numPr>
        <w:spacing w:before="120" w:after="120" w:line="288" w:lineRule="auto"/>
        <w:ind w:left="0"/>
        <w:jc w:val="left"/>
      </w:pPr>
      <w:r>
        <w:rPr>
          <w:rFonts w:eastAsia="等线" w:ascii="Arial" w:cs="Arial" w:hAnsi="Arial"/>
          <w:b w:val="true"/>
          <w:sz w:val="22"/>
        </w:rPr>
        <w:t>儿童产品安全（CPSIA）</w:t>
      </w:r>
      <w:r>
        <w:rPr>
          <w:rFonts w:eastAsia="等线" w:ascii="Arial" w:cs="Arial" w:hAnsi="Arial"/>
          <w:sz w:val="22"/>
        </w:rPr>
        <w:t>：需提供儿童产品证书。</w:t>
      </w:r>
    </w:p>
    <w:p>
      <w:pPr>
        <w:numPr>
          <w:numId w:val="165"/>
        </w:numPr>
        <w:spacing w:before="120" w:after="120" w:line="288" w:lineRule="auto"/>
        <w:ind w:left="0"/>
        <w:jc w:val="left"/>
      </w:pPr>
      <w:r>
        <w:rPr>
          <w:rFonts w:eastAsia="等线" w:ascii="Arial" w:cs="Arial" w:hAnsi="Arial"/>
          <w:b w:val="true"/>
          <w:sz w:val="22"/>
        </w:rPr>
        <w:t>医疗器械510K</w:t>
      </w:r>
      <w:r>
        <w:rPr>
          <w:rFonts w:eastAsia="等线" w:ascii="Arial" w:cs="Arial" w:hAnsi="Arial"/>
          <w:sz w:val="22"/>
        </w:rPr>
        <w:t>：如前面章节所述，通过VC合规通道上传510K可帮助SC产品解锁。</w:t>
      </w:r>
    </w:p>
    <w:p>
      <w:pPr>
        <w:numPr>
          <w:numId w:val="166"/>
        </w:numPr>
        <w:spacing w:before="120" w:after="120" w:line="288" w:lineRule="auto"/>
        <w:ind w:left="0"/>
        <w:jc w:val="left"/>
      </w:pPr>
      <w:r>
        <w:rPr>
          <w:rFonts w:eastAsia="等线" w:ascii="Arial" w:cs="Arial" w:hAnsi="Arial"/>
          <w:b w:val="true"/>
          <w:sz w:val="22"/>
        </w:rPr>
        <w:t>FCC、CE、UL等认证</w:t>
      </w:r>
      <w:r>
        <w:rPr>
          <w:rFonts w:eastAsia="等线" w:ascii="Arial" w:cs="Arial" w:hAnsi="Arial"/>
          <w:sz w:val="22"/>
        </w:rPr>
        <w:t>：电子电器类产品必须上传相应测试报告。</w:t>
      </w:r>
    </w:p>
    <w:p>
      <w:pPr>
        <w:numPr>
          <w:numId w:val="167"/>
        </w:numPr>
        <w:spacing w:before="120" w:after="120" w:line="288" w:lineRule="auto"/>
        <w:ind w:left="0"/>
        <w:jc w:val="left"/>
      </w:pPr>
      <w:r>
        <w:rPr>
          <w:rFonts w:eastAsia="等线" w:ascii="Arial" w:cs="Arial" w:hAnsi="Arial"/>
          <w:b w:val="true"/>
          <w:sz w:val="22"/>
        </w:rPr>
        <w:t>WEEE、包装法等欧盟合规</w:t>
      </w:r>
      <w:r>
        <w:rPr>
          <w:rFonts w:eastAsia="等线" w:ascii="Arial" w:cs="Arial" w:hAnsi="Arial"/>
          <w:sz w:val="22"/>
        </w:rPr>
        <w:t>：欧洲站VC必须上传。</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所有审核文件上传路径：Items → Compliance Documents → 选择对应的合规类别 → 上传PDF文件并关联ASIN。</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32.4 POA（Plan of Action）通用模板及修改指导</w:t>
      </w:r>
      <w:bookmarkEnd w:id="77"/>
    </w:p>
    <w:p>
      <w:pPr>
        <w:spacing w:before="120" w:after="120" w:line="288" w:lineRule="auto"/>
        <w:ind w:left="0"/>
        <w:jc w:val="left"/>
      </w:pPr>
    </w:p>
    <w:p>
      <w:pPr>
        <w:pStyle w:val="4"/>
        <w:spacing w:before="260" w:after="120" w:line="288" w:lineRule="auto"/>
        <w:ind w:left="0"/>
        <w:jc w:val="left"/>
        <w:outlineLvl w:val="3"/>
      </w:pPr>
      <w:bookmarkStart w:name="heading_78" w:id="78"/>
      <w:r>
        <w:rPr>
          <w:rFonts w:eastAsia="等线" w:ascii="Arial" w:cs="Arial" w:hAnsi="Arial"/>
          <w:b w:val="true"/>
          <w:sz w:val="28"/>
        </w:rPr>
        <w:t>什么是POA？</w:t>
      </w:r>
      <w:bookmarkEnd w:id="78"/>
    </w:p>
    <w:p>
      <w:pPr>
        <w:spacing w:before="120" w:after="120" w:line="288" w:lineRule="auto"/>
        <w:ind w:left="0"/>
        <w:jc w:val="left"/>
      </w:pPr>
    </w:p>
    <w:p>
      <w:pPr>
        <w:spacing w:before="120" w:after="120" w:line="288" w:lineRule="auto"/>
        <w:ind w:left="0"/>
        <w:jc w:val="left"/>
      </w:pPr>
      <w:r>
        <w:rPr>
          <w:rFonts w:eastAsia="等线" w:ascii="Arial" w:cs="Arial" w:hAnsi="Arial"/>
          <w:sz w:val="22"/>
        </w:rPr>
        <w:t>POA是亚马逊要求你针对某一具体问题（如产品下架、账号冻结、高退货率警告）提交的纠正措施计划。它不是道歉信，而是</w:t>
      </w:r>
      <w:r>
        <w:rPr>
          <w:rFonts w:eastAsia="等线" w:ascii="Arial" w:cs="Arial" w:hAnsi="Arial"/>
          <w:b w:val="true"/>
          <w:sz w:val="22"/>
        </w:rPr>
        <w:t>系统性解决方案</w:t>
      </w:r>
      <w:r>
        <w:rPr>
          <w:rFonts w:eastAsia="等线" w:ascii="Arial" w:cs="Arial" w:hAnsi="Arial"/>
          <w:sz w:val="22"/>
        </w:rPr>
        <w:t>，必须结构清晰、有数据支撑、有具体行动和时间节点。</w:t>
      </w:r>
    </w:p>
    <w:p>
      <w:pPr>
        <w:spacing w:before="120" w:after="120" w:line="288" w:lineRule="auto"/>
        <w:ind w:left="0"/>
        <w:jc w:val="left"/>
      </w:pPr>
    </w:p>
    <w:p>
      <w:pPr>
        <w:pStyle w:val="4"/>
        <w:spacing w:before="260" w:after="120" w:line="288" w:lineRule="auto"/>
        <w:ind w:left="0"/>
        <w:jc w:val="left"/>
        <w:outlineLvl w:val="3"/>
      </w:pPr>
      <w:bookmarkStart w:name="heading_79" w:id="79"/>
      <w:r>
        <w:rPr>
          <w:rFonts w:eastAsia="等线" w:ascii="Arial" w:cs="Arial" w:hAnsi="Arial"/>
          <w:b w:val="true"/>
          <w:sz w:val="28"/>
        </w:rPr>
        <w:t>POA万能结构（三段式）</w:t>
      </w:r>
      <w:bookmarkEnd w:id="7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第一部分：根本原因分析</w:t>
      </w:r>
    </w:p>
    <w:p>
      <w:pPr>
        <w:numPr>
          <w:numId w:val="168"/>
        </w:numPr>
        <w:spacing w:before="120" w:after="120" w:line="288" w:lineRule="auto"/>
        <w:ind w:left="0"/>
        <w:jc w:val="left"/>
      </w:pPr>
      <w:r>
        <w:rPr>
          <w:rFonts w:eastAsia="等线" w:ascii="Arial" w:cs="Arial" w:hAnsi="Arial"/>
          <w:sz w:val="22"/>
        </w:rPr>
        <w:t>清楚说明是什么具体原因导致违规/问题。</w:t>
      </w:r>
    </w:p>
    <w:p>
      <w:pPr>
        <w:numPr>
          <w:numId w:val="169"/>
        </w:numPr>
        <w:spacing w:before="120" w:after="120" w:line="288" w:lineRule="auto"/>
        <w:ind w:left="0"/>
        <w:jc w:val="left"/>
      </w:pPr>
      <w:r>
        <w:rPr>
          <w:rFonts w:eastAsia="等线" w:ascii="Arial" w:cs="Arial" w:hAnsi="Arial"/>
          <w:sz w:val="22"/>
        </w:rPr>
        <w:t>用数据或客户反馈支撑你的分析，不要含糊。</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第二部分：已采取的即时措施</w:t>
      </w:r>
    </w:p>
    <w:p>
      <w:pPr>
        <w:numPr>
          <w:numId w:val="170"/>
        </w:numPr>
        <w:spacing w:before="120" w:after="120" w:line="288" w:lineRule="auto"/>
        <w:ind w:left="0"/>
        <w:jc w:val="left"/>
      </w:pPr>
      <w:r>
        <w:rPr>
          <w:rFonts w:eastAsia="等线" w:ascii="Arial" w:cs="Arial" w:hAnsi="Arial"/>
          <w:sz w:val="22"/>
        </w:rPr>
        <w:t>你立即做了什么来阻止问题继续恶化。</w:t>
      </w:r>
    </w:p>
    <w:p>
      <w:pPr>
        <w:numPr>
          <w:numId w:val="171"/>
        </w:numPr>
        <w:spacing w:before="120" w:after="120" w:line="288" w:lineRule="auto"/>
        <w:ind w:left="0"/>
        <w:jc w:val="left"/>
      </w:pPr>
      <w:r>
        <w:rPr>
          <w:rFonts w:eastAsia="等线" w:ascii="Arial" w:cs="Arial" w:hAnsi="Arial"/>
          <w:sz w:val="22"/>
        </w:rPr>
        <w:t>例如：下架所有受影响库存、暂停发货、通知工厂整改、全检现有库存。</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第三部分：长期预防措施</w:t>
      </w:r>
    </w:p>
    <w:p>
      <w:pPr>
        <w:numPr>
          <w:numId w:val="172"/>
        </w:numPr>
        <w:spacing w:before="120" w:after="120" w:line="288" w:lineRule="auto"/>
        <w:ind w:left="0"/>
        <w:jc w:val="left"/>
      </w:pPr>
      <w:r>
        <w:rPr>
          <w:rFonts w:eastAsia="等线" w:ascii="Arial" w:cs="Arial" w:hAnsi="Arial"/>
          <w:sz w:val="22"/>
        </w:rPr>
        <w:t>你将如何从流程、系统、人员层面杜绝问题再次发生。</w:t>
      </w:r>
    </w:p>
    <w:p>
      <w:pPr>
        <w:numPr>
          <w:numId w:val="173"/>
        </w:numPr>
        <w:spacing w:before="120" w:after="120" w:line="288" w:lineRule="auto"/>
        <w:ind w:left="0"/>
        <w:jc w:val="left"/>
      </w:pPr>
      <w:r>
        <w:rPr>
          <w:rFonts w:eastAsia="等线" w:ascii="Arial" w:cs="Arial" w:hAnsi="Arial"/>
          <w:sz w:val="22"/>
        </w:rPr>
        <w:t>给出具体可量化的行动计划和时间表。</w:t>
      </w:r>
    </w:p>
    <w:p>
      <w:pPr>
        <w:numPr>
          <w:numId w:val="174"/>
        </w:numPr>
        <w:spacing w:before="120" w:after="120" w:line="288" w:lineRule="auto"/>
        <w:ind w:left="0"/>
        <w:jc w:val="left"/>
      </w:pPr>
      <w:r>
        <w:rPr>
          <w:rFonts w:eastAsia="等线" w:ascii="Arial" w:cs="Arial" w:hAnsi="Arial"/>
          <w:sz w:val="22"/>
        </w:rPr>
        <w:t>例如：增加质检环节、更新包装设计、优化listing信息、定期审查客户反馈等。</w:t>
      </w:r>
    </w:p>
    <w:p>
      <w:pPr>
        <w:spacing w:before="120" w:after="120" w:line="288" w:lineRule="auto"/>
        <w:ind w:left="453"/>
        <w:jc w:val="left"/>
      </w:pPr>
    </w:p>
    <w:p>
      <w:pPr>
        <w:pStyle w:val="4"/>
        <w:spacing w:before="260" w:after="120" w:line="288" w:lineRule="auto"/>
        <w:ind w:left="0"/>
        <w:jc w:val="left"/>
        <w:outlineLvl w:val="3"/>
      </w:pPr>
      <w:bookmarkStart w:name="heading_80" w:id="80"/>
      <w:r>
        <w:rPr>
          <w:rFonts w:eastAsia="等线" w:ascii="Arial" w:cs="Arial" w:hAnsi="Arial"/>
          <w:b w:val="true"/>
          <w:sz w:val="28"/>
        </w:rPr>
        <w:t>通用POA模板（中英双语可切换）</w:t>
      </w:r>
      <w:bookmarkEnd w:id="80"/>
    </w:p>
    <w:p>
      <w:pPr>
        <w:spacing w:before="120" w:after="120" w:line="288" w:lineRule="auto"/>
        <w:ind w:left="0"/>
        <w:jc w:val="left"/>
      </w:pPr>
    </w:p>
    <w:p>
      <w:pPr>
        <w:spacing w:before="120" w:after="120" w:line="288" w:lineRule="auto"/>
        <w:ind w:left="0"/>
        <w:jc w:val="left"/>
      </w:pPr>
      <w:r>
        <w:rPr>
          <w:rFonts w:eastAsia="等线" w:ascii="Arial" w:cs="Arial" w:hAnsi="Arial"/>
          <w:sz w:val="22"/>
        </w:rPr>
        <w:t>以下模板基于你提供的案例优化而来，适用于退货率过高导致ASIN受限的情况，并保持标准格式：</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Dear Amazon Team,</w:t>
              <w:br/>
              <w:br/>
              <w:t>We acknowledge the notification regarding the removal of buying privileges for ASIN: [填入ASIN] due to [具体原因，如high return rate]. We sincerely apologize for any inconvenience this has caused and have taken this matter seriously.</w:t>
              <w:br/>
              <w:br/>
              <w:t>**Root Cause Analysis**</w:t>
              <w:br/>
              <w:t>Upon receiving your notice, we immediately convened our technical and operations teams to thoroughly investigate. The root causes identified are:</w:t>
              <w:br/>
              <w:t>1. [原因1] – e.g., Insufficient product information on the detail page leading to mismatched expectations.</w:t>
              <w:br/>
              <w:t>2. [原因2] – e.g., Packaging design flaws resulting in damage during transit.</w:t>
              <w:br/>
              <w:t>3. [原因3] – e.g., Missing accessories due to inadequate QC checks.</w:t>
              <w:br/>
              <w:br/>
              <w:t>**Immediate Corrective Actions**</w:t>
              <w:br/>
              <w:t>We have taken the following immediate actions to resolve the current issue:</w:t>
              <w:br/>
              <w:t>- Removed all affected inventory from FBA fulfillment centers for manual inspection.</w:t>
              <w:br/>
              <w:t>- Updated the product detail page with clearer descriptions, images, and usage instructions.</w:t>
              <w:br/>
              <w:t>- Contacted customers who reported issues to offer replacements or refunds and gather feedback.</w:t>
              <w:br/>
              <w:t>- Suspended shipments of this ASIN until corrective measures are fully implemented.</w:t>
              <w:br/>
              <w:br/>
              <w:t>**Long-Term Preventative Measures**</w:t>
              <w:br/>
              <w:t>To ensure this problem does not recur, we have implemented the following systemic improvements:</w:t>
              <w:br/>
              <w:t>1. **Quality Control**: Added a dedicated QC checkpoint for accessory completeness and packaging integrity before dispatch, with random sampling increased to 20%.</w:t>
              <w:br/>
              <w:t>2. **Packaging Upgrade**: Redesigned outer packaging to meet SIOC/FFP standards with reinforced corners and internal cushioning; certification testing is scheduled for [日期].</w:t>
              <w:br/>
              <w:t>3. **Listing Optimization**: We created a monthly audit cycle for all top-selling ASINs to review customer feedback and update the detail page accordingly within 5 business days.</w:t>
              <w:br/>
              <w:t>4. **Training**: All packaging line operators and QC staff have undergone retraining on Amazon's packaging requirements and our updated SOPs, effective [日期].</w:t>
              <w:br/>
              <w:t>5. **VOC Monitoring**: We have set up a weekly Voice of Customer review meeting to track return reasons and address any emerging patterns within 48 hours.</w:t>
              <w:br/>
              <w:br/>
              <w:t>We confirm this product complies with all applicable regulations and Amazon safety policies. We respectfully request the reinstatement of selling privileges for ASIN: [填入ASIN]. We are committed to maintaining a flawless customer experience.</w:t>
              <w:br/>
              <w:br/>
              <w:t>Should you require any further information or documentation, please do not hesitate to contact us.</w:t>
              <w:br/>
              <w:br/>
              <w:t>Thank you for your support.</w:t>
              <w:br/>
              <w:br/>
              <w:t>Sincerely,</w:t>
              <w:br/>
            </w:r>
            <w:r>
              <w:rPr>
                <w:rFonts w:eastAsia="Consolas" w:ascii="Consolas" w:cs="Consolas" w:hAnsi="Consolas"/>
                <w:sz w:val="22"/>
              </w:rPr>
              <w:t>[公司名/Team]</w:t>
            </w:r>
          </w:p>
        </w:tc>
      </w:tr>
    </w:tbl>
    <w:p>
      <w:pPr>
        <w:spacing w:before="120" w:after="120" w:line="288" w:lineRule="auto"/>
        <w:ind w:left="0"/>
        <w:jc w:val="left"/>
      </w:pPr>
    </w:p>
    <w:p>
      <w:pPr>
        <w:pStyle w:val="4"/>
        <w:spacing w:before="260" w:after="120" w:line="288" w:lineRule="auto"/>
        <w:ind w:left="0"/>
        <w:jc w:val="left"/>
        <w:outlineLvl w:val="3"/>
      </w:pPr>
      <w:bookmarkStart w:name="heading_81" w:id="81"/>
      <w:r>
        <w:rPr>
          <w:rFonts w:eastAsia="等线" w:ascii="Arial" w:cs="Arial" w:hAnsi="Arial"/>
          <w:b w:val="true"/>
          <w:sz w:val="28"/>
        </w:rPr>
        <w:t>如何使用该模板</w:t>
      </w:r>
      <w:bookmarkEnd w:id="81"/>
    </w:p>
    <w:p>
      <w:pPr>
        <w:spacing w:before="120" w:after="120" w:line="288" w:lineRule="auto"/>
        <w:ind w:left="0"/>
        <w:jc w:val="left"/>
      </w:pPr>
    </w:p>
    <w:p>
      <w:pPr>
        <w:numPr>
          <w:numId w:val="175"/>
        </w:numPr>
        <w:spacing w:before="120" w:after="120" w:line="288" w:lineRule="auto"/>
        <w:ind w:left="0"/>
        <w:jc w:val="left"/>
      </w:pPr>
      <w:r>
        <w:rPr>
          <w:rFonts w:eastAsia="等线" w:ascii="Arial" w:cs="Arial" w:hAnsi="Arial"/>
          <w:b w:val="true"/>
          <w:sz w:val="22"/>
        </w:rPr>
        <w:t>根据实际原因修改</w:t>
      </w:r>
      <w:r>
        <w:rPr>
          <w:rFonts w:eastAsia="等线" w:ascii="Arial" w:cs="Arial" w:hAnsi="Arial"/>
          <w:sz w:val="22"/>
        </w:rPr>
        <w:t>：不要照抄，根因必须与你产品的真实退货原因代码对应。</w:t>
      </w:r>
    </w:p>
    <w:p>
      <w:pPr>
        <w:numPr>
          <w:numId w:val="176"/>
        </w:numPr>
        <w:spacing w:before="120" w:after="120" w:line="288" w:lineRule="auto"/>
        <w:ind w:left="0"/>
        <w:jc w:val="left"/>
      </w:pPr>
      <w:r>
        <w:rPr>
          <w:rFonts w:eastAsia="等线" w:ascii="Arial" w:cs="Arial" w:hAnsi="Arial"/>
          <w:b w:val="true"/>
          <w:sz w:val="22"/>
        </w:rPr>
        <w:t>提供证据</w:t>
      </w:r>
      <w:r>
        <w:rPr>
          <w:rFonts w:eastAsia="等线" w:ascii="Arial" w:cs="Arial" w:hAnsi="Arial"/>
          <w:sz w:val="22"/>
        </w:rPr>
        <w:t>：如果附件中有产品改进照片、质检报告、新SDS等，要在POA中提及并随邮件附上。</w:t>
      </w:r>
    </w:p>
    <w:p>
      <w:pPr>
        <w:numPr>
          <w:numId w:val="177"/>
        </w:numPr>
        <w:spacing w:before="120" w:after="120" w:line="288" w:lineRule="auto"/>
        <w:ind w:left="0"/>
        <w:jc w:val="left"/>
      </w:pPr>
      <w:r>
        <w:rPr>
          <w:rFonts w:eastAsia="等线" w:ascii="Arial" w:cs="Arial" w:hAnsi="Arial"/>
          <w:b w:val="true"/>
          <w:sz w:val="22"/>
        </w:rPr>
        <w:t>时程具体化</w:t>
      </w:r>
      <w:r>
        <w:rPr>
          <w:rFonts w:eastAsia="等线" w:ascii="Arial" w:cs="Arial" w:hAnsi="Arial"/>
          <w:sz w:val="22"/>
        </w:rPr>
        <w:t>：不要只说“will improve”，给出“by October 15”这样的时间点。</w:t>
      </w:r>
    </w:p>
    <w:p>
      <w:pPr>
        <w:numPr>
          <w:numId w:val="178"/>
        </w:numPr>
        <w:spacing w:before="120" w:after="120" w:line="288" w:lineRule="auto"/>
        <w:ind w:left="0"/>
        <w:jc w:val="left"/>
      </w:pPr>
      <w:r>
        <w:rPr>
          <w:rFonts w:eastAsia="等线" w:ascii="Arial" w:cs="Arial" w:hAnsi="Arial"/>
          <w:b w:val="true"/>
          <w:sz w:val="22"/>
        </w:rPr>
        <w:t>语气谦逊但自信</w:t>
      </w:r>
      <w:r>
        <w:rPr>
          <w:rFonts w:eastAsia="等线" w:ascii="Arial" w:cs="Arial" w:hAnsi="Arial"/>
          <w:sz w:val="22"/>
        </w:rPr>
        <w:t>：展示你对问题的掌控，而非单纯求饶。</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32.5 实用邮件模板（与VM沟通Bulk Buy、申诉Chargeback）</w:t>
      </w:r>
      <w:bookmarkEnd w:id="82"/>
    </w:p>
    <w:p>
      <w:pPr>
        <w:spacing w:before="120" w:after="120" w:line="288" w:lineRule="auto"/>
        <w:ind w:left="0"/>
        <w:jc w:val="left"/>
      </w:pPr>
    </w:p>
    <w:p>
      <w:pPr>
        <w:pStyle w:val="4"/>
        <w:spacing w:before="260" w:after="120" w:line="288" w:lineRule="auto"/>
        <w:ind w:left="0"/>
        <w:jc w:val="left"/>
        <w:outlineLvl w:val="3"/>
      </w:pPr>
      <w:bookmarkStart w:name="heading_83" w:id="83"/>
      <w:r>
        <w:rPr>
          <w:rFonts w:eastAsia="等线" w:ascii="Arial" w:cs="Arial" w:hAnsi="Arial"/>
          <w:b w:val="true"/>
          <w:sz w:val="28"/>
        </w:rPr>
        <w:t>模板1：回复VM的Bulk Buy提议并谈判条件</w:t>
      </w:r>
      <w:bookmarkEnd w:id="8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Bulk Buy Opportunity – [Your Brand/Product] – Discussion on Terms</w:t>
              <w:br/>
              <w:br/>
              <w:t>Hi [VM Name],</w:t>
              <w:br/>
              <w:br/>
              <w:t>Thank you for reaching out with the Bulk Buy offer for [ASIN/Product]. We are very excited about the opportunity to support Amazon with this volume and are fully prepared to commit.</w:t>
              <w:br/>
              <w:br/>
              <w:t>After reviewing our current production schedule and costs, we can confirm we are able to deliver up to [X units] within the proposed window. However, given the unit price reduction requested, our net margin would be impacted. To make this work sustainably for both sides, we would like to propose the following:</w:t>
              <w:br/>
              <w:br/>
              <w:t>1. Slightly adjust the Bulk Buy cost to $[xx.xx] per unit (instead of the initially proposed $[xx.xx]). This would allow us to maintain quality without compromise.</w:t>
              <w:br/>
              <w:t>2. Alternatively, if the cost must remain at the lower level, could we explore additional marketing support, such as a confirmed Best Deal slot or DSP campaign co-funding, to help drive sell-through of this deep inventory?</w:t>
              <w:br/>
              <w:br/>
              <w:t>I have attached our preliminary production timeline. We can lock in the exact allocation once terms are aligned.</w:t>
              <w:br/>
              <w:br/>
              <w:t>Looking forward to your thoughts. We're confident we can make this a huge win for Q4.</w:t>
              <w:br/>
              <w:br/>
              <w:t>Best,</w:t>
              <w:br/>
              <w:t>[Your Name]</w:t>
              <w:br/>
            </w:r>
            <w:r>
              <w:rPr>
                <w:rFonts w:eastAsia="Consolas" w:ascii="Consolas" w:cs="Consolas" w:hAnsi="Consolas"/>
                <w:sz w:val="22"/>
              </w:rPr>
              <w:t>[Company]</w:t>
            </w:r>
          </w:p>
        </w:tc>
      </w:tr>
    </w:tbl>
    <w:p>
      <w:pPr>
        <w:spacing w:before="120" w:after="120" w:line="288" w:lineRule="auto"/>
        <w:ind w:left="0"/>
        <w:jc w:val="left"/>
      </w:pPr>
    </w:p>
    <w:p>
      <w:pPr>
        <w:pStyle w:val="4"/>
        <w:spacing w:before="260" w:after="120" w:line="288" w:lineRule="auto"/>
        <w:ind w:left="0"/>
        <w:jc w:val="left"/>
        <w:outlineLvl w:val="3"/>
      </w:pPr>
      <w:bookmarkStart w:name="heading_84" w:id="84"/>
      <w:r>
        <w:rPr>
          <w:rFonts w:eastAsia="等线" w:ascii="Arial" w:cs="Arial" w:hAnsi="Arial"/>
          <w:b w:val="true"/>
          <w:sz w:val="28"/>
        </w:rPr>
        <w:t>模板2：申诉Shortage Chargeback（短缺扣款）</w:t>
      </w:r>
      <w:bookmarkEnd w:id="8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Dispute of Shortage Chargeback – Invoice #[发票号] / PO #[PO号]</w:t>
              <w:br/>
              <w:br/>
              <w:t>Dear Amazon Deductions Team,</w:t>
              <w:br/>
              <w:br/>
              <w:t>We are writing to dispute a Shortage chargeback in the amount of $[金额] applied to Invoice #[发票号], PO #[PO号]. This deduction was coded as “Shortage – Units Not Received.”</w:t>
              <w:br/>
              <w:br/>
              <w:t>We have investigated our records and found the following:</w:t>
              <w:br/>
              <w:br/>
              <w:t>- The shipment (Shipment ID #[货件号]) was picked up by carrier [Carrier] on [日期].</w:t>
              <w:br/>
              <w:t>- The packing slip and ASN both show [发货数量] units shipped.</w:t>
              <w:br/>
              <w:t>- The carrier's proof of delivery (POD) confirms all [包装箱数] cartons were delivered to [FC Code] on [送达日期] with carton weights matching our records.</w:t>
              <w:br/>
              <w:t>- We have received no prior notification of carton damage or loss from the carrier.</w:t>
              <w:br/>
              <w:br/>
              <w:t>Based on this documentation, we believe the shortage was not caused by our shipment but may be due to inbound receiving error or carrier-related loss. Please find attached:</w:t>
              <w:br/>
              <w:t>1. Packing Slip</w:t>
              <w:br/>
              <w:t>2. ASN confirmation</w:t>
              <w:br/>
              <w:t>3. Carrier POD with weights</w:t>
              <w:br/>
              <w:t>4. Invoice copy</w:t>
              <w:br/>
              <w:br/>
              <w:t>We kindly ask you to investigate this matter and reverse the chargeback of $[金额]. We appreciate your help.</w:t>
              <w:br/>
              <w:br/>
              <w:t>Respectfully,</w:t>
              <w:br/>
              <w:t>[Your Name]</w:t>
              <w:br/>
            </w:r>
            <w:r>
              <w:rPr>
                <w:rFonts w:eastAsia="Consolas" w:ascii="Consolas" w:cs="Consolas" w:hAnsi="Consolas"/>
                <w:sz w:val="22"/>
              </w:rPr>
              <w:t>[Company]</w:t>
            </w:r>
          </w:p>
        </w:tc>
      </w:tr>
    </w:tbl>
    <w:p>
      <w:pPr>
        <w:spacing w:before="120" w:after="120" w:line="288" w:lineRule="auto"/>
        <w:ind w:left="0"/>
        <w:jc w:val="left"/>
      </w:pPr>
    </w:p>
    <w:p>
      <w:pPr>
        <w:pStyle w:val="4"/>
        <w:spacing w:before="260" w:after="120" w:line="288" w:lineRule="auto"/>
        <w:ind w:left="0"/>
        <w:jc w:val="left"/>
        <w:outlineLvl w:val="3"/>
      </w:pPr>
      <w:bookmarkStart w:name="heading_85" w:id="85"/>
      <w:r>
        <w:rPr>
          <w:rFonts w:eastAsia="等线" w:ascii="Arial" w:cs="Arial" w:hAnsi="Arial"/>
          <w:b w:val="true"/>
          <w:sz w:val="28"/>
        </w:rPr>
        <w:t>模板3：申诉No PO Chargeback（无PO货件）</w:t>
      </w:r>
      <w:bookmarkEnd w:id="8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Dispute of No PO Chargeback – Shipment #[货件号]</w:t>
              <w:br/>
              <w:br/>
              <w:t>Dear Amazon Deductions Team,</w:t>
              <w:br/>
              <w:br/>
              <w:t>We received a “No PO” chargeback for Shipment #[货件号] in the amount of $[金额]. We investigated immediately.</w:t>
              <w:br/>
              <w:br/>
              <w:t>Our records show this shipment was assigned to PO #[PO号] and we entered the full PO information when creating the ASN. We have double-checked the following:</w:t>
              <w:br/>
              <w:t>- The PO was active and accepted.</w:t>
              <w:br/>
              <w:t>- Carton labels were printed directly from VC and were correctly affixed.</w:t>
              <w:br/>
              <w:t>- No cartons were mixed between POs.</w:t>
              <w:br/>
              <w:br/>
              <w:t>A possible cause could be that the PO was cancelled or revised by the system after we shipped, or the FC scanned a label that had been damaged. We are attaching:</w:t>
              <w:br/>
              <w:t>1. Original PO screenshot</w:t>
              <w:br/>
              <w:t>2. ASN submission confirmation</w:t>
              <w:br/>
              <w:t>3. Carton label sample</w:t>
              <w:br/>
              <w:br/>
              <w:t>We respectfully request the reversal of this chargeback and any further investigation into the receiving logs at [FC Code].</w:t>
              <w:br/>
              <w:br/>
              <w:t>Thank you for your attention.</w:t>
              <w:br/>
              <w:br/>
              <w:t>Best,</w:t>
              <w:br/>
              <w:t>[Your Name]</w:t>
              <w:br/>
            </w:r>
            <w:r>
              <w:rPr>
                <w:rFonts w:eastAsia="Consolas" w:ascii="Consolas" w:cs="Consolas" w:hAnsi="Consolas"/>
                <w:sz w:val="22"/>
              </w:rPr>
              <w:t>[Company]</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以上就是审核与申诉模块的全部补充内容。这样，全书的合规、包装、危险品、POA及沟通邮件框架就完整了，你可以进一步添加截图、具体时间线、或根据自身品类定制细节。</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POA模板 </w:t>
      </w:r>
    </w:p>
    <w:p>
      <w:pPr>
        <w:spacing w:before="120" w:after="120" w:line="288" w:lineRule="auto"/>
        <w:ind w:left="0"/>
        <w:jc w:val="left"/>
      </w:pPr>
      <w:r>
        <w:rPr>
          <w:rFonts w:eastAsia="等线" w:ascii="Arial" w:cs="Arial" w:hAnsi="Arial"/>
          <w:sz w:val="22"/>
        </w:rPr>
        <w:t>好的，已为您将 PDF 中的内容提取并整理为纯文字版本：</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Dear Amazon Team,</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deeply regret the removal of this product from the Amazon shopping cart and sincerely apologise for the high return rate.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Upon receiving your email, we immediately convened an emergency meeting with our technical and operations teams. We apologise for the delayed response. We have thoroughly reviewed the product detail page to ensure all information is complete and accurate, and have conducted an in-depth analysis of customer feedback.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In response to customer feedback, our analysis and improvement measures are as follows:</w:t>
      </w:r>
    </w:p>
    <w:p>
      <w:pPr>
        <w:spacing w:before="120" w:after="120" w:line="288" w:lineRule="auto"/>
        <w:ind w:left="0"/>
        <w:jc w:val="left"/>
      </w:pPr>
    </w:p>
    <w:p>
      <w:pPr>
        <w:numPr>
          <w:numId w:val="179"/>
        </w:numPr>
        <w:spacing w:before="120" w:after="120" w:line="288" w:lineRule="auto"/>
        <w:ind w:left="0"/>
        <w:jc w:val="left"/>
      </w:pPr>
      <w:r>
        <w:rPr>
          <w:rFonts w:eastAsia="等线" w:ascii="Arial" w:cs="Arial" w:hAnsi="Arial"/>
          <w:sz w:val="22"/>
        </w:rPr>
        <w:t>Customer feedback indicates that sandpaper was missing from the parcel. When purchasing non-brand-new (second-hand) products, it is highly likely that accessories may be missing from the parcel. Therefore, customers are advised to pay attention to the product condition when making a purchase. If it is confirmed that the purchased product is brand-new, it is highly probable that the accessories were lost due to damage to the packaging during transit. We recommend contacting the HYCHIKA brand after-sales team directly and informing them of the specific missing accessories for a replacement to be sent.</w:t>
      </w:r>
    </w:p>
    <w:p>
      <w:pPr>
        <w:spacing w:before="120" w:after="120" w:line="288" w:lineRule="auto"/>
        <w:ind w:left="453"/>
        <w:jc w:val="left"/>
      </w:pPr>
    </w:p>
    <w:p>
      <w:pPr>
        <w:numPr>
          <w:numId w:val="180"/>
        </w:numPr>
        <w:spacing w:before="120" w:after="120" w:line="288" w:lineRule="auto"/>
        <w:ind w:left="0"/>
        <w:jc w:val="left"/>
      </w:pPr>
      <w:r>
        <w:rPr>
          <w:rFonts w:eastAsia="等线" w:ascii="Arial" w:cs="Arial" w:hAnsi="Arial"/>
          <w:sz w:val="22"/>
        </w:rPr>
        <w:t>Customer feedback indicates performance falls short of expectations. This product boasts a power rating of 140W and features a triangular sanding pad measuring 140mm × 80mm. Compared to higher-powered sanders, this model is best suited for small-scale, precision DIY sanding tasks. For larger sanding requirements, customers are advised to purchase higher-powered models rated at 200W or above. Customers should carefully check the power rating when purchasing to ensure the product meets their specific needs.</w:t>
      </w:r>
    </w:p>
    <w:p>
      <w:pPr>
        <w:spacing w:before="120" w:after="120" w:line="288" w:lineRule="auto"/>
        <w:ind w:left="453"/>
        <w:jc w:val="left"/>
      </w:pPr>
    </w:p>
    <w:p>
      <w:pPr>
        <w:numPr>
          <w:numId w:val="181"/>
        </w:numPr>
        <w:spacing w:before="120" w:after="120" w:line="288" w:lineRule="auto"/>
        <w:ind w:left="0"/>
        <w:jc w:val="left"/>
      </w:pPr>
      <w:r>
        <w:rPr>
          <w:rFonts w:eastAsia="等线" w:ascii="Arial" w:cs="Arial" w:hAnsi="Arial"/>
          <w:sz w:val="22"/>
        </w:rPr>
        <w:t>The customer perceives the product as producing 'loud noise', which affects the user experience. This perception of excessive noise is a subjective assessment of the normal operating state of high-power electric tools. The level of operational noise may also be influenced by the properties of the material being processed and its surface roughness. This product has obtained CE certification, confirming that its design and performance comply with industry standards for such tools. The generation of noise during operation of this type of product is unavoidable. Both the product label and packaging explicitly advise users to wear hearing protection and safety goggles. We therefore recommend the use of professional-grade hearing protection equipment.</w:t>
      </w:r>
    </w:p>
    <w:p>
      <w:pPr>
        <w:spacing w:before="120" w:after="120" w:line="288" w:lineRule="auto"/>
        <w:ind w:left="453"/>
        <w:jc w:val="left"/>
      </w:pPr>
    </w:p>
    <w:p>
      <w:pPr>
        <w:numPr>
          <w:numId w:val="182"/>
        </w:numPr>
        <w:spacing w:before="120" w:after="120" w:line="288" w:lineRule="auto"/>
        <w:ind w:left="0"/>
        <w:jc w:val="left"/>
      </w:pPr>
      <w:r>
        <w:rPr>
          <w:rFonts w:eastAsia="等线" w:ascii="Arial" w:cs="Arial" w:hAnsi="Arial"/>
          <w:sz w:val="22"/>
        </w:rPr>
        <w:t>Customer feedback regarding 'unable to rotate': This product is a vibrating sander, and its base is not designed to rotate. We have reviewed the product details page and manual and found no misleading information suggesting the base can rotate. Certain circular sanding products rely on rotation to grind objects. Should this align with the customer's requirements, we recommend they purchase such products instead.</w:t>
      </w:r>
    </w:p>
    <w:p>
      <w:pPr>
        <w:spacing w:before="120" w:after="120" w:line="288" w:lineRule="auto"/>
        <w:ind w:left="453"/>
        <w:jc w:val="left"/>
      </w:pPr>
    </w:p>
    <w:p>
      <w:pPr>
        <w:numPr>
          <w:numId w:val="183"/>
        </w:numPr>
        <w:spacing w:before="120" w:after="120" w:line="288" w:lineRule="auto"/>
        <w:ind w:left="0"/>
        <w:jc w:val="left"/>
      </w:pPr>
      <w:r>
        <w:rPr>
          <w:rFonts w:eastAsia="等线" w:ascii="Arial" w:cs="Arial" w:hAnsi="Arial"/>
          <w:sz w:val="22"/>
        </w:rPr>
        <w:t>Customer feedback indicates the product is 'unopened'. This model employs a rocker switch with an opaque dust cover, preventing visual confirmation of switch activation. During operation, users may inadvertently fail to press the switch fully, mistakenly believing the machine has not powered on. We recommend confirming activation by listening for the audible click of the rocker mechanism. Concurrently, we have optimised the switch design to facilitate easier operation for customers.</w:t>
      </w:r>
    </w:p>
    <w:p>
      <w:pPr>
        <w:spacing w:before="120" w:after="120" w:line="288" w:lineRule="auto"/>
        <w:ind w:left="453"/>
        <w:jc w:val="left"/>
      </w:pPr>
    </w:p>
    <w:p>
      <w:pPr>
        <w:spacing w:before="120" w:after="120" w:line="288" w:lineRule="auto"/>
        <w:ind w:left="0"/>
        <w:jc w:val="left"/>
      </w:pPr>
      <w:r>
        <w:rPr>
          <w:rFonts w:eastAsia="等线" w:ascii="Arial" w:cs="Arial" w:hAnsi="Arial"/>
          <w:sz w:val="22"/>
        </w:rPr>
        <w:t>Our products ensure that each item is accompanied by a factory inspection report and undergoes re-inspection by at least two quality control officers, guaranteeing 100% compliance with standards prior to dispatch. This product fully complies with inspection standards and EU safety testing regulations. Furthermore, we have arranged additional quality control personnel to conduct night-shift rotations, performing comprehensive re-inspections of all inventory at both the factory and our German warehouse to ensure every item meets quality standards and European safety requirements. We have optimised the product detail page to provide buyers with clearer product performance information, thereby reducing return rates.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Moving forward, we will actively cooperate with the Amazon platform to provide buyers with consultation and after-sales support.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confirm this product complies with all applicable regulations and Amazon safety policies. We respectfully request an opportunity to rectify the situation and sincerely hope you will reinstate selling privileges for ASIN: B0CYZCGXM3. Should you require further information, please do not hesitate to contact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sincerely appreciate your support.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Best Regard!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HYA Team</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如需对这份 POA 进行点评分析、指出问题点，或帮您改写为符合亚马逊标准三段式结构的合格版本，可以继续告诉我。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好的，我们在现有VC运营手册的基础上，补充三大核心模块：</w:t>
      </w:r>
      <w:r>
        <w:rPr>
          <w:rFonts w:eastAsia="等线" w:ascii="Arial" w:cs="Arial" w:hAnsi="Arial"/>
          <w:b w:val="true"/>
          <w:sz w:val="22"/>
        </w:rPr>
        <w:t>亚马逊广告、亚马逊选品、亚马逊日常运营</w:t>
      </w:r>
      <w:r>
        <w:rPr>
          <w:rFonts w:eastAsia="等线" w:ascii="Arial" w:cs="Arial" w:hAnsi="Arial"/>
          <w:sz w:val="22"/>
        </w:rPr>
        <w:t>。这三部分将紧密结合VC账号的特性，提供可直接落地的策略。</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86" w:id="86"/>
      <w:r>
        <w:rPr>
          <w:rFonts w:eastAsia="等线" w:ascii="Arial" w:cs="Arial" w:hAnsi="Arial"/>
          <w:b w:val="true"/>
          <w:sz w:val="32"/>
        </w:rPr>
        <w:t>第三十三章 VC模式下的亚马逊广告策略与实战</w:t>
      </w:r>
      <w:bookmarkEnd w:id="86"/>
    </w:p>
    <w:p>
      <w:pPr>
        <w:spacing w:before="120" w:after="120" w:line="288" w:lineRule="auto"/>
        <w:ind w:left="0"/>
        <w:jc w:val="left"/>
      </w:pPr>
    </w:p>
    <w:p>
      <w:pPr>
        <w:spacing w:before="120" w:after="120" w:line="288" w:lineRule="auto"/>
        <w:ind w:left="0"/>
        <w:jc w:val="left"/>
      </w:pPr>
      <w:r>
        <w:rPr>
          <w:rFonts w:eastAsia="等线" w:ascii="Arial" w:cs="Arial" w:hAnsi="Arial"/>
          <w:sz w:val="22"/>
        </w:rPr>
        <w:t>与SC卖家不同，VC卖家拥有独特的广告资源和数据权限，必须将广告策略与亚马逊零售系统深度绑定。</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33.1 VC可用的广告工具全景</w:t>
      </w:r>
      <w:bookmarkEnd w:id="8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Products (SP)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与SC相同，按点击付费，出现在搜索结果和商品页面。VC可直接用AMS（现整合入广告后台）投放。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Brands (SB)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展示品牌Logo、自定义标题和多产品，可引导至品牌旗舰店或商品列表。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Display (SD)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基于浏览行为和兴趣的定向，可做竞品定位、浏览再营销等。VC后台可直接创建。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Demand-Side Platform (DSP)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程序化展示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VC可申请DSP管理账户，进行站内外大规模展示广告投放，包括AI优化、视频、OTT等。通常配合VM可申请更多预算权限。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OTT/Streaming TV</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通过DSP投放，在Fire TV等流媒体上展示视频广告，需要较大预算，适合品牌推广。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 Ads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定制化广告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由亚马逊广告团队定制，如首页包版、邮件定制等，通常需要较高采购额或VM介绍。</w:t>
            </w:r>
          </w:p>
        </w:tc>
      </w:tr>
    </w:tbl>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33.2 VC广告的核心优势：Retail Analytics数据闭环</w:t>
      </w:r>
      <w:bookmarkEnd w:id="88"/>
    </w:p>
    <w:p>
      <w:pPr>
        <w:spacing w:before="120" w:after="120" w:line="288" w:lineRule="auto"/>
        <w:ind w:left="0"/>
        <w:jc w:val="left"/>
      </w:pPr>
    </w:p>
    <w:p>
      <w:pPr>
        <w:spacing w:before="120" w:after="120" w:line="288" w:lineRule="auto"/>
        <w:ind w:left="0"/>
        <w:jc w:val="left"/>
      </w:pPr>
      <w:r>
        <w:rPr>
          <w:rFonts w:eastAsia="等线" w:ascii="Arial" w:cs="Arial" w:hAnsi="Arial"/>
          <w:sz w:val="22"/>
        </w:rPr>
        <w:t>VC的独特优势在于可以看到每个ASIN的</w:t>
      </w:r>
      <w:r>
        <w:rPr>
          <w:rFonts w:eastAsia="等线" w:ascii="Arial" w:cs="Arial" w:hAnsi="Arial"/>
          <w:b w:val="true"/>
          <w:sz w:val="22"/>
        </w:rPr>
        <w:t>Retail Analytics（零售分析）</w:t>
      </w:r>
      <w:r>
        <w:rPr>
          <w:rFonts w:eastAsia="等线" w:ascii="Arial" w:cs="Arial" w:hAnsi="Arial"/>
          <w:sz w:val="22"/>
        </w:rPr>
        <w:t>，包括：</w:t>
      </w:r>
    </w:p>
    <w:p>
      <w:pPr>
        <w:numPr>
          <w:numId w:val="184"/>
        </w:numPr>
        <w:spacing w:before="120" w:after="120" w:line="288" w:lineRule="auto"/>
        <w:ind w:left="0"/>
        <w:jc w:val="left"/>
      </w:pPr>
      <w:r>
        <w:rPr>
          <w:rFonts w:eastAsia="等线" w:ascii="Arial" w:cs="Arial" w:hAnsi="Arial"/>
          <w:sz w:val="22"/>
        </w:rPr>
        <w:t>精确的每日销售量（不是SC的粗略估计）</w:t>
      </w:r>
    </w:p>
    <w:p>
      <w:pPr>
        <w:numPr>
          <w:numId w:val="185"/>
        </w:numPr>
        <w:spacing w:before="120" w:after="120" w:line="288" w:lineRule="auto"/>
        <w:ind w:left="0"/>
        <w:jc w:val="left"/>
      </w:pPr>
      <w:r>
        <w:rPr>
          <w:rFonts w:eastAsia="等线" w:ascii="Arial" w:cs="Arial" w:hAnsi="Arial"/>
          <w:sz w:val="22"/>
        </w:rPr>
        <w:t>平均零售价</w:t>
      </w:r>
    </w:p>
    <w:p>
      <w:pPr>
        <w:numPr>
          <w:numId w:val="186"/>
        </w:numPr>
        <w:spacing w:before="120" w:after="120" w:line="288" w:lineRule="auto"/>
        <w:ind w:left="0"/>
        <w:jc w:val="left"/>
      </w:pPr>
      <w:r>
        <w:rPr>
          <w:rFonts w:eastAsia="等线" w:ascii="Arial" w:cs="Arial" w:hAnsi="Arial"/>
          <w:sz w:val="22"/>
        </w:rPr>
        <w:t>页面流量数据</w:t>
      </w:r>
    </w:p>
    <w:p>
      <w:pPr>
        <w:numPr>
          <w:numId w:val="187"/>
        </w:numPr>
        <w:spacing w:before="120" w:after="120" w:line="288" w:lineRule="auto"/>
        <w:ind w:left="0"/>
        <w:jc w:val="left"/>
      </w:pPr>
      <w:r>
        <w:rPr>
          <w:rFonts w:eastAsia="等线" w:ascii="Arial" w:cs="Arial" w:hAnsi="Arial"/>
          <w:sz w:val="22"/>
        </w:rPr>
        <w:t>无损的NET PPM信息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应用方式：</w:t>
      </w:r>
    </w:p>
    <w:p>
      <w:pPr>
        <w:numPr>
          <w:numId w:val="188"/>
        </w:numPr>
        <w:spacing w:before="120" w:after="120" w:line="288" w:lineRule="auto"/>
        <w:ind w:left="0"/>
        <w:jc w:val="left"/>
      </w:pPr>
      <w:r>
        <w:rPr>
          <w:rFonts w:eastAsia="等线" w:ascii="Arial" w:cs="Arial" w:hAnsi="Arial"/>
          <w:b w:val="true"/>
          <w:sz w:val="22"/>
        </w:rPr>
        <w:t>关键词转化数据</w:t>
      </w:r>
      <w:r>
        <w:rPr>
          <w:rFonts w:eastAsia="等线" w:ascii="Arial" w:cs="Arial" w:hAnsi="Arial"/>
          <w:sz w:val="22"/>
        </w:rPr>
        <w:t>：虽然VC不能直接得到广告层面的关键词出单，但结合RA的销售增长和SP的搜索词报告，可以反推精准词效率。</w:t>
      </w:r>
    </w:p>
    <w:p>
      <w:pPr>
        <w:numPr>
          <w:numId w:val="189"/>
        </w:numPr>
        <w:spacing w:before="120" w:after="120" w:line="288" w:lineRule="auto"/>
        <w:ind w:left="0"/>
        <w:jc w:val="left"/>
      </w:pPr>
      <w:r>
        <w:rPr>
          <w:rFonts w:eastAsia="等线" w:ascii="Arial" w:cs="Arial" w:hAnsi="Arial"/>
          <w:b w:val="true"/>
          <w:sz w:val="22"/>
        </w:rPr>
        <w:t>库存健康与广告节奏</w:t>
      </w:r>
      <w:r>
        <w:rPr>
          <w:rFonts w:eastAsia="等线" w:ascii="Arial" w:cs="Arial" w:hAnsi="Arial"/>
          <w:sz w:val="22"/>
        </w:rPr>
        <w:t>：当RA显示库存充足但流转慢时，加大广告投入；当库存紧张时，减少广告或仅投放品牌词。</w:t>
      </w:r>
    </w:p>
    <w:p>
      <w:pPr>
        <w:numPr>
          <w:numId w:val="190"/>
        </w:numPr>
        <w:spacing w:before="120" w:after="120" w:line="288" w:lineRule="auto"/>
        <w:ind w:left="0"/>
        <w:jc w:val="left"/>
      </w:pPr>
      <w:r>
        <w:rPr>
          <w:rFonts w:eastAsia="等线" w:ascii="Arial" w:cs="Arial" w:hAnsi="Arial"/>
          <w:b w:val="true"/>
          <w:sz w:val="22"/>
        </w:rPr>
        <w:t>利润测算广告ACOS</w:t>
      </w:r>
      <w:r>
        <w:rPr>
          <w:rFonts w:eastAsia="等线" w:ascii="Arial" w:cs="Arial" w:hAnsi="Arial"/>
          <w:sz w:val="22"/>
        </w:rPr>
        <w:t>：通过NET PPM反推实际可承受ACOAS（广告花费占总销售额比例）。公式：</w:t>
      </w:r>
    </w:p>
    <w:p>
      <w:pPr>
        <w:spacing w:before="120" w:after="120" w:line="288" w:lineRule="auto"/>
        <w:ind w:left="0"/>
        <w:jc w:val="left"/>
      </w:pPr>
      <w:r>
        <w:rPr>
          <w:rFonts w:eastAsia="Consolas" w:ascii="Consolas" w:cs="Consolas" w:hAnsi="Consolas"/>
          <w:sz w:val="22"/>
          <w:shd w:fill="EFF0F1"/>
        </w:rPr>
        <w:t>可承受ACOAS = (净实收 - 产品成本) / 实际零售均价</w:t>
      </w:r>
    </w:p>
    <w:p>
      <w:pPr>
        <w:spacing w:before="120" w:after="120" w:line="288" w:lineRule="auto"/>
        <w:ind w:left="0"/>
        <w:jc w:val="left"/>
      </w:pPr>
      <w:r>
        <w:rPr>
          <w:rFonts w:eastAsia="等线" w:ascii="Arial" w:cs="Arial" w:hAnsi="Arial"/>
          <w:sz w:val="22"/>
        </w:rPr>
        <w:t>若产品净利率只有15%，就不能追求ACOS 20%的广告。</w:t>
      </w:r>
    </w:p>
    <w:p>
      <w:pPr>
        <w:spacing w:before="120" w:after="120" w:line="288" w:lineRule="auto"/>
        <w:ind w:left="453"/>
        <w:jc w:val="left"/>
      </w:pPr>
    </w:p>
    <w:p>
      <w:pPr>
        <w:pStyle w:val="3"/>
        <w:spacing w:before="300" w:after="120" w:line="288" w:lineRule="auto"/>
        <w:ind w:left="0"/>
        <w:jc w:val="left"/>
        <w:outlineLvl w:val="2"/>
      </w:pPr>
      <w:bookmarkStart w:name="heading_89" w:id="89"/>
      <w:r>
        <w:rPr>
          <w:rFonts w:eastAsia="等线" w:ascii="Arial" w:cs="Arial" w:hAnsi="Arial"/>
          <w:b w:val="true"/>
          <w:sz w:val="30"/>
        </w:rPr>
        <w:t>33.3 VC广告投放三大阶段策略</w:t>
      </w:r>
      <w:bookmarkEnd w:id="8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阶段一：新品冷启动（DF模式或DI首单到货）</w:t>
      </w:r>
    </w:p>
    <w:p>
      <w:pPr>
        <w:numPr>
          <w:numId w:val="191"/>
        </w:numPr>
        <w:spacing w:before="120" w:after="120" w:line="288" w:lineRule="auto"/>
        <w:ind w:left="0"/>
        <w:jc w:val="left"/>
      </w:pPr>
      <w:r>
        <w:rPr>
          <w:rFonts w:eastAsia="等线" w:ascii="Arial" w:cs="Arial" w:hAnsi="Arial"/>
          <w:sz w:val="22"/>
        </w:rPr>
        <w:t>主投SP自动广告，获取初始搜索词，同时开启手动广泛匹配，预算控制在日$20-$50。</w:t>
      </w:r>
    </w:p>
    <w:p>
      <w:pPr>
        <w:numPr>
          <w:numId w:val="192"/>
        </w:numPr>
        <w:spacing w:before="120" w:after="120" w:line="288" w:lineRule="auto"/>
        <w:ind w:left="0"/>
        <w:jc w:val="left"/>
      </w:pPr>
      <w:r>
        <w:rPr>
          <w:rFonts w:eastAsia="等线" w:ascii="Arial" w:cs="Arial" w:hAnsi="Arial"/>
          <w:sz w:val="22"/>
        </w:rPr>
        <w:t>使用SB引流到品牌旗舰店，集中火力推1-2个主推ASIN。</w:t>
      </w:r>
    </w:p>
    <w:p>
      <w:pPr>
        <w:numPr>
          <w:numId w:val="193"/>
        </w:numPr>
        <w:spacing w:before="120" w:after="120" w:line="288" w:lineRule="auto"/>
        <w:ind w:left="0"/>
        <w:jc w:val="left"/>
      </w:pPr>
      <w:r>
        <w:rPr>
          <w:rFonts w:eastAsia="等线" w:ascii="Arial" w:cs="Arial" w:hAnsi="Arial"/>
          <w:sz w:val="22"/>
        </w:rPr>
        <w:t>若有DSP权限，创建小预算Retargeting，针对浏览过未购买的用户展示。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阶段二：成长期（稳定接PO且评分积累）</w:t>
      </w:r>
    </w:p>
    <w:p>
      <w:pPr>
        <w:numPr>
          <w:numId w:val="194"/>
        </w:numPr>
        <w:spacing w:before="120" w:after="120" w:line="288" w:lineRule="auto"/>
        <w:ind w:left="0"/>
        <w:jc w:val="left"/>
      </w:pPr>
      <w:r>
        <w:rPr>
          <w:rFonts w:eastAsia="等线" w:ascii="Arial" w:cs="Arial" w:hAnsi="Arial"/>
          <w:sz w:val="22"/>
        </w:rPr>
        <w:t>数据分析：找出转化率最高的长尾词，加大精准匹配出价。</w:t>
      </w:r>
    </w:p>
    <w:p>
      <w:pPr>
        <w:numPr>
          <w:numId w:val="195"/>
        </w:numPr>
        <w:spacing w:before="120" w:after="120" w:line="288" w:lineRule="auto"/>
        <w:ind w:left="0"/>
        <w:jc w:val="left"/>
      </w:pPr>
      <w:r>
        <w:rPr>
          <w:rFonts w:eastAsia="等线" w:ascii="Arial" w:cs="Arial" w:hAnsi="Arial"/>
          <w:sz w:val="22"/>
        </w:rPr>
        <w:t>开启SD内容定向和竞品定向，抢占竞品页面推荐位。</w:t>
      </w:r>
    </w:p>
    <w:p>
      <w:pPr>
        <w:numPr>
          <w:numId w:val="196"/>
        </w:numPr>
        <w:spacing w:before="120" w:after="120" w:line="288" w:lineRule="auto"/>
        <w:ind w:left="0"/>
        <w:jc w:val="left"/>
      </w:pPr>
      <w:r>
        <w:rPr>
          <w:rFonts w:eastAsia="等线" w:ascii="Arial" w:cs="Arial" w:hAnsi="Arial"/>
          <w:sz w:val="22"/>
        </w:rPr>
        <w:t>若产品支持，申请Subscribe &amp; Save，结合广告提升复购。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阶段三：成熟期与防御（Bulk Buy或大量铺货）</w:t>
      </w:r>
    </w:p>
    <w:p>
      <w:pPr>
        <w:numPr>
          <w:numId w:val="197"/>
        </w:numPr>
        <w:spacing w:before="120" w:after="120" w:line="288" w:lineRule="auto"/>
        <w:ind w:left="0"/>
        <w:jc w:val="left"/>
      </w:pPr>
      <w:r>
        <w:rPr>
          <w:rFonts w:eastAsia="等线" w:ascii="Arial" w:cs="Arial" w:hAnsi="Arial"/>
          <w:sz w:val="22"/>
        </w:rPr>
        <w:t>利用DSP进行大规模品牌曝光，拉动自然搜索量。</w:t>
      </w:r>
    </w:p>
    <w:p>
      <w:pPr>
        <w:numPr>
          <w:numId w:val="198"/>
        </w:numPr>
        <w:spacing w:before="120" w:after="120" w:line="288" w:lineRule="auto"/>
        <w:ind w:left="0"/>
        <w:jc w:val="left"/>
      </w:pPr>
      <w:r>
        <w:rPr>
          <w:rFonts w:eastAsia="等线" w:ascii="Arial" w:cs="Arial" w:hAnsi="Arial"/>
          <w:sz w:val="22"/>
        </w:rPr>
        <w:t>品牌词防御：确保自己的SB长期占据品牌词首位，防止竞品截流。</w:t>
      </w:r>
    </w:p>
    <w:p>
      <w:pPr>
        <w:numPr>
          <w:numId w:val="199"/>
        </w:numPr>
        <w:spacing w:before="120" w:after="120" w:line="288" w:lineRule="auto"/>
        <w:ind w:left="0"/>
        <w:jc w:val="left"/>
      </w:pPr>
      <w:r>
        <w:rPr>
          <w:rFonts w:eastAsia="等线" w:ascii="Arial" w:cs="Arial" w:hAnsi="Arial"/>
          <w:sz w:val="22"/>
        </w:rPr>
        <w:t>结合促销活动：BD/LD期间配合广告提升爆单效果，广告预算提前增加50%-100%。</w:t>
      </w:r>
    </w:p>
    <w:p>
      <w:pPr>
        <w:spacing w:before="120" w:after="120" w:line="288" w:lineRule="auto"/>
        <w:ind w:left="453"/>
        <w:jc w:val="left"/>
      </w:pPr>
    </w:p>
    <w:p>
      <w:pPr>
        <w:pStyle w:val="3"/>
        <w:spacing w:before="300" w:after="120" w:line="288" w:lineRule="auto"/>
        <w:ind w:left="0"/>
        <w:jc w:val="left"/>
        <w:outlineLvl w:val="2"/>
      </w:pPr>
      <w:bookmarkStart w:name="heading_90" w:id="90"/>
      <w:r>
        <w:rPr>
          <w:rFonts w:eastAsia="等线" w:ascii="Arial" w:cs="Arial" w:hAnsi="Arial"/>
          <w:b w:val="true"/>
          <w:sz w:val="30"/>
        </w:rPr>
        <w:t>33.4 DSP申请与投放快速指南</w:t>
      </w:r>
      <w:bookmarkEnd w:id="90"/>
    </w:p>
    <w:p>
      <w:pPr>
        <w:spacing w:before="120" w:after="120" w:line="288" w:lineRule="auto"/>
        <w:ind w:left="0"/>
        <w:jc w:val="left"/>
      </w:pPr>
    </w:p>
    <w:p>
      <w:pPr>
        <w:numPr>
          <w:numId w:val="200"/>
        </w:numPr>
        <w:spacing w:before="120" w:after="120" w:line="288" w:lineRule="auto"/>
        <w:ind w:left="0"/>
        <w:jc w:val="left"/>
      </w:pPr>
      <w:r>
        <w:rPr>
          <w:rFonts w:eastAsia="等线" w:ascii="Arial" w:cs="Arial" w:hAnsi="Arial"/>
          <w:b w:val="true"/>
          <w:sz w:val="22"/>
        </w:rPr>
        <w:t>申请途径</w:t>
      </w:r>
      <w:r>
        <w:rPr>
          <w:rFonts w:eastAsia="等线" w:ascii="Arial" w:cs="Arial" w:hAnsi="Arial"/>
          <w:sz w:val="22"/>
        </w:rPr>
        <w:t>：联系VM表达投放意愿，或直接访问</w:t>
      </w:r>
      <w:r>
        <w:rPr>
          <w:rFonts w:eastAsia="Consolas" w:ascii="Consolas" w:cs="Consolas" w:hAnsi="Consolas"/>
          <w:sz w:val="22"/>
          <w:shd w:fill="EFF0F1"/>
        </w:rPr>
        <w:t>advertising.amazon.com</w:t>
      </w:r>
      <w:r>
        <w:rPr>
          <w:rFonts w:eastAsia="等线" w:ascii="Arial" w:cs="Arial" w:hAnsi="Arial"/>
          <w:sz w:val="22"/>
        </w:rPr>
        <w:t>申请Managed-Service或Self-Service DSP。VC账号通过率更高。</w:t>
      </w:r>
    </w:p>
    <w:p>
      <w:pPr>
        <w:numPr>
          <w:numId w:val="201"/>
        </w:numPr>
        <w:spacing w:before="120" w:after="120" w:line="288" w:lineRule="auto"/>
        <w:ind w:left="0"/>
        <w:jc w:val="left"/>
      </w:pPr>
      <w:r>
        <w:rPr>
          <w:rFonts w:eastAsia="等线" w:ascii="Arial" w:cs="Arial" w:hAnsi="Arial"/>
          <w:b w:val="true"/>
          <w:sz w:val="22"/>
        </w:rPr>
        <w:t>投放类型</w:t>
      </w:r>
      <w:r>
        <w:rPr>
          <w:rFonts w:eastAsia="等线" w:ascii="Arial" w:cs="Arial" w:hAnsi="Arial"/>
          <w:sz w:val="22"/>
        </w:rPr>
        <w:t>：</w:t>
      </w:r>
    </w:p>
    <w:p>
      <w:pPr>
        <w:numPr>
          <w:numId w:val="202"/>
        </w:numPr>
        <w:spacing w:before="120" w:after="120" w:line="288" w:lineRule="auto"/>
        <w:ind w:left="453"/>
        <w:jc w:val="left"/>
      </w:pPr>
      <w:r>
        <w:rPr>
          <w:rFonts w:eastAsia="等线" w:ascii="Arial" w:cs="Arial" w:hAnsi="Arial"/>
          <w:b w:val="true"/>
          <w:sz w:val="22"/>
        </w:rPr>
        <w:t>Retargeting（再营销）</w:t>
      </w:r>
      <w:r>
        <w:rPr>
          <w:rFonts w:eastAsia="等线" w:ascii="Arial" w:cs="Arial" w:hAnsi="Arial"/>
          <w:sz w:val="22"/>
        </w:rPr>
        <w:t>：投放给浏览过你产品或相关类目的用户。</w:t>
      </w:r>
    </w:p>
    <w:p>
      <w:pPr>
        <w:numPr>
          <w:numId w:val="203"/>
        </w:numPr>
        <w:spacing w:before="120" w:after="120" w:line="288" w:lineRule="auto"/>
        <w:ind w:left="453"/>
        <w:jc w:val="left"/>
      </w:pPr>
      <w:r>
        <w:rPr>
          <w:rFonts w:eastAsia="等线" w:ascii="Arial" w:cs="Arial" w:hAnsi="Arial"/>
          <w:b w:val="true"/>
          <w:sz w:val="22"/>
        </w:rPr>
        <w:t>In-Market（购买意向）</w:t>
      </w:r>
      <w:r>
        <w:rPr>
          <w:rFonts w:eastAsia="等线" w:ascii="Arial" w:cs="Arial" w:hAnsi="Arial"/>
          <w:sz w:val="22"/>
        </w:rPr>
        <w:t>：根据类目兴趣标签投放。</w:t>
      </w:r>
    </w:p>
    <w:p>
      <w:pPr>
        <w:numPr>
          <w:numId w:val="204"/>
        </w:numPr>
        <w:spacing w:before="120" w:after="120" w:line="288" w:lineRule="auto"/>
        <w:ind w:left="453"/>
        <w:jc w:val="left"/>
      </w:pPr>
      <w:r>
        <w:rPr>
          <w:rFonts w:eastAsia="等线" w:ascii="Arial" w:cs="Arial" w:hAnsi="Arial"/>
          <w:b w:val="true"/>
          <w:sz w:val="22"/>
        </w:rPr>
        <w:t>ASIN定向</w:t>
      </w:r>
      <w:r>
        <w:rPr>
          <w:rFonts w:eastAsia="等线" w:ascii="Arial" w:cs="Arial" w:hAnsi="Arial"/>
          <w:sz w:val="22"/>
        </w:rPr>
        <w:t>：直接针对竞品ASIN投放，抢夺流量。</w:t>
      </w:r>
    </w:p>
    <w:p>
      <w:pPr>
        <w:numPr>
          <w:numId w:val="205"/>
        </w:numPr>
        <w:spacing w:before="120" w:after="120" w:line="288" w:lineRule="auto"/>
        <w:ind w:left="453"/>
        <w:jc w:val="left"/>
      </w:pPr>
      <w:r>
        <w:rPr>
          <w:rFonts w:eastAsia="等线" w:ascii="Arial" w:cs="Arial" w:hAnsi="Arial"/>
          <w:b w:val="true"/>
          <w:sz w:val="22"/>
        </w:rPr>
        <w:t>Lifestyle（兴趣定向）</w:t>
      </w:r>
      <w:r>
        <w:rPr>
          <w:rFonts w:eastAsia="等线" w:ascii="Arial" w:cs="Arial" w:hAnsi="Arial"/>
          <w:sz w:val="22"/>
        </w:rPr>
        <w:t>：如DIY爱好者、家庭装修人群。</w:t>
      </w:r>
    </w:p>
    <w:p>
      <w:pPr>
        <w:numPr>
          <w:numId w:val="206"/>
        </w:numPr>
        <w:spacing w:before="120" w:after="120" w:line="288" w:lineRule="auto"/>
        <w:ind w:left="0"/>
        <w:jc w:val="left"/>
      </w:pPr>
      <w:r>
        <w:rPr>
          <w:rFonts w:eastAsia="等线" w:ascii="Arial" w:cs="Arial" w:hAnsi="Arial"/>
          <w:b w:val="true"/>
          <w:sz w:val="22"/>
        </w:rPr>
        <w:t>素材要求</w:t>
      </w:r>
      <w:r>
        <w:rPr>
          <w:rFonts w:eastAsia="等线" w:ascii="Arial" w:cs="Arial" w:hAnsi="Arial"/>
          <w:sz w:val="22"/>
        </w:rPr>
        <w:t>：DSP支持图片、视频，必须预先准备高清素材，符合亚马逊广告规范。</w:t>
      </w:r>
    </w:p>
    <w:p>
      <w:pPr>
        <w:numPr>
          <w:numId w:val="207"/>
        </w:numPr>
        <w:spacing w:before="120" w:after="120" w:line="288" w:lineRule="auto"/>
        <w:ind w:left="0"/>
        <w:jc w:val="left"/>
      </w:pPr>
      <w:r>
        <w:rPr>
          <w:rFonts w:eastAsia="等线" w:ascii="Arial" w:cs="Arial" w:hAnsi="Arial"/>
          <w:b w:val="true"/>
          <w:sz w:val="22"/>
        </w:rPr>
        <w:t>优化核心</w:t>
      </w:r>
      <w:r>
        <w:rPr>
          <w:rFonts w:eastAsia="等线" w:ascii="Arial" w:cs="Arial" w:hAnsi="Arial"/>
          <w:sz w:val="22"/>
        </w:rPr>
        <w:t>：前期测试不同受众包，A/B测试素材，逐步将预算集中于CPA最低的组合。</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1" w:id="91"/>
      <w:r>
        <w:rPr>
          <w:rFonts w:eastAsia="等线" w:ascii="Arial" w:cs="Arial" w:hAnsi="Arial"/>
          <w:b w:val="true"/>
          <w:sz w:val="32"/>
        </w:rPr>
        <w:t>第三十四章 VC模式下的科学选品方法论</w:t>
      </w:r>
      <w:bookmarkEnd w:id="91"/>
    </w:p>
    <w:p>
      <w:pPr>
        <w:spacing w:before="120" w:after="120" w:line="288" w:lineRule="auto"/>
        <w:ind w:left="0"/>
        <w:jc w:val="left"/>
      </w:pPr>
    </w:p>
    <w:p>
      <w:pPr>
        <w:spacing w:before="120" w:after="120" w:line="288" w:lineRule="auto"/>
        <w:ind w:left="0"/>
        <w:jc w:val="left"/>
      </w:pPr>
      <w:r>
        <w:rPr>
          <w:rFonts w:eastAsia="等线" w:ascii="Arial" w:cs="Arial" w:hAnsi="Arial"/>
          <w:sz w:val="22"/>
        </w:rPr>
        <w:t>VC选品与SC不同，不仅要看市场需求，更要考虑亚马逊的采购逻辑、利润空间和物流适配性。</w:t>
      </w:r>
    </w:p>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sz w:val="30"/>
        </w:rPr>
        <w:t>34.1 VC选品四维评估模型</w:t>
      </w:r>
      <w:bookmarkEnd w:id="9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维度一：利润可持续（NET PPM模型前置）</w:t>
      </w:r>
    </w:p>
    <w:p>
      <w:pPr>
        <w:numPr>
          <w:numId w:val="208"/>
        </w:numPr>
        <w:spacing w:before="120" w:after="120" w:line="288" w:lineRule="auto"/>
        <w:ind w:left="0"/>
        <w:jc w:val="left"/>
      </w:pPr>
      <w:r>
        <w:rPr>
          <w:rFonts w:eastAsia="等线" w:ascii="Arial" w:cs="Arial" w:hAnsi="Arial"/>
          <w:sz w:val="22"/>
        </w:rPr>
        <w:t>用倒推法确定可行进货成本：</w:t>
      </w:r>
    </w:p>
    <w:p>
      <w:pPr>
        <w:numPr>
          <w:numId w:val="209"/>
        </w:numPr>
        <w:spacing w:before="120" w:after="120" w:line="288" w:lineRule="auto"/>
        <w:ind w:left="453"/>
        <w:jc w:val="left"/>
      </w:pPr>
      <w:r>
        <w:rPr>
          <w:rFonts w:eastAsia="等线" w:ascii="Arial" w:cs="Arial" w:hAnsi="Arial"/>
          <w:sz w:val="22"/>
        </w:rPr>
        <w:t>调查该类目平均零售价。</w:t>
      </w:r>
    </w:p>
    <w:p>
      <w:pPr>
        <w:numPr>
          <w:numId w:val="210"/>
        </w:numPr>
        <w:spacing w:before="120" w:after="120" w:line="288" w:lineRule="auto"/>
        <w:ind w:left="453"/>
        <w:jc w:val="left"/>
      </w:pPr>
      <w:r>
        <w:rPr>
          <w:rFonts w:eastAsia="等线" w:ascii="Arial" w:cs="Arial" w:hAnsi="Arial"/>
          <w:sz w:val="22"/>
        </w:rPr>
        <w:t>预留亚马逊零售利润，通常取类目平均NET PPM反推供货价。</w:t>
      </w:r>
    </w:p>
    <w:p>
      <w:pPr>
        <w:numPr>
          <w:numId w:val="211"/>
        </w:numPr>
        <w:spacing w:before="120" w:after="120" w:line="288" w:lineRule="auto"/>
        <w:ind w:left="453"/>
        <w:jc w:val="left"/>
      </w:pPr>
      <w:r>
        <w:rPr>
          <w:rFonts w:eastAsia="等线" w:ascii="Arial" w:cs="Arial" w:hAnsi="Arial"/>
          <w:sz w:val="22"/>
        </w:rPr>
        <w:t>根据自己的扣款比例（Damage、Freight等）倒推净实收。</w:t>
      </w:r>
    </w:p>
    <w:p>
      <w:pPr>
        <w:numPr>
          <w:numId w:val="212"/>
        </w:numPr>
        <w:spacing w:before="120" w:after="120" w:line="288" w:lineRule="auto"/>
        <w:ind w:left="453"/>
        <w:jc w:val="left"/>
      </w:pPr>
      <w:r>
        <w:rPr>
          <w:rFonts w:eastAsia="等线" w:ascii="Arial" w:cs="Arial" w:hAnsi="Arial"/>
          <w:sz w:val="22"/>
        </w:rPr>
        <w:t>减去头程、关税、运营分摊，得到可承受的产品出厂价。</w:t>
      </w:r>
    </w:p>
    <w:p>
      <w:pPr>
        <w:numPr>
          <w:numId w:val="213"/>
        </w:numPr>
        <w:spacing w:before="120" w:after="120" w:line="288" w:lineRule="auto"/>
        <w:ind w:left="0"/>
        <w:jc w:val="left"/>
      </w:pPr>
      <w:r>
        <w:rPr>
          <w:rFonts w:eastAsia="等线" w:ascii="Arial" w:cs="Arial" w:hAnsi="Arial"/>
          <w:sz w:val="22"/>
        </w:rPr>
        <w:t>举例：平均零售$50，该类目NET PPM要求40%，则供货价不得高于$30。若你扣款合计8%，净实收$27.6，头程$3，则出厂价不能超过$19（留$5其他成本及利润）。</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维度二：亚马逊采购偏好（VM会下PO的产品）</w:t>
      </w:r>
    </w:p>
    <w:p>
      <w:pPr>
        <w:numPr>
          <w:numId w:val="214"/>
        </w:numPr>
        <w:spacing w:before="120" w:after="120" w:line="288" w:lineRule="auto"/>
        <w:ind w:left="0"/>
        <w:jc w:val="left"/>
      </w:pPr>
      <w:r>
        <w:rPr>
          <w:rFonts w:eastAsia="等线" w:ascii="Arial" w:cs="Arial" w:hAnsi="Arial"/>
          <w:b w:val="true"/>
          <w:sz w:val="22"/>
        </w:rPr>
        <w:t>高重复购买率</w:t>
      </w:r>
      <w:r>
        <w:rPr>
          <w:rFonts w:eastAsia="等线" w:ascii="Arial" w:cs="Arial" w:hAnsi="Arial"/>
          <w:sz w:val="22"/>
        </w:rPr>
        <w:t>：消耗品、宠物用品、婴儿用品，更容易拿到连贯PO。</w:t>
      </w:r>
    </w:p>
    <w:p>
      <w:pPr>
        <w:numPr>
          <w:numId w:val="215"/>
        </w:numPr>
        <w:spacing w:before="120" w:after="120" w:line="288" w:lineRule="auto"/>
        <w:ind w:left="0"/>
        <w:jc w:val="left"/>
      </w:pPr>
      <w:r>
        <w:rPr>
          <w:rFonts w:eastAsia="等线" w:ascii="Arial" w:cs="Arial" w:hAnsi="Arial"/>
          <w:b w:val="true"/>
          <w:sz w:val="22"/>
        </w:rPr>
        <w:t>非季节性</w:t>
      </w:r>
      <w:r>
        <w:rPr>
          <w:rFonts w:eastAsia="等线" w:ascii="Arial" w:cs="Arial" w:hAnsi="Arial"/>
          <w:sz w:val="22"/>
        </w:rPr>
        <w:t>：避免高度依赖Q4的产品，VM对季节性库存风险敏感。</w:t>
      </w:r>
    </w:p>
    <w:p>
      <w:pPr>
        <w:numPr>
          <w:numId w:val="216"/>
        </w:numPr>
        <w:spacing w:before="120" w:after="120" w:line="288" w:lineRule="auto"/>
        <w:ind w:left="0"/>
        <w:jc w:val="left"/>
      </w:pPr>
      <w:r>
        <w:rPr>
          <w:rFonts w:eastAsia="等线" w:ascii="Arial" w:cs="Arial" w:hAnsi="Arial"/>
          <w:b w:val="true"/>
          <w:sz w:val="22"/>
        </w:rPr>
        <w:t>低退货率</w:t>
      </w:r>
      <w:r>
        <w:rPr>
          <w:rFonts w:eastAsia="等线" w:ascii="Arial" w:cs="Arial" w:hAnsi="Arial"/>
          <w:sz w:val="22"/>
        </w:rPr>
        <w:t>：类目平均退货率越低，VM越放心采购。</w:t>
      </w:r>
    </w:p>
    <w:p>
      <w:pPr>
        <w:numPr>
          <w:numId w:val="217"/>
        </w:numPr>
        <w:spacing w:before="120" w:after="120" w:line="288" w:lineRule="auto"/>
        <w:ind w:left="0"/>
        <w:jc w:val="left"/>
      </w:pPr>
      <w:r>
        <w:rPr>
          <w:rFonts w:eastAsia="等线" w:ascii="Arial" w:cs="Arial" w:hAnsi="Arial"/>
          <w:b w:val="true"/>
          <w:sz w:val="22"/>
        </w:rPr>
        <w:t>高售价/低物流成本比</w:t>
      </w:r>
      <w:r>
        <w:rPr>
          <w:rFonts w:eastAsia="等线" w:ascii="Arial" w:cs="Arial" w:hAnsi="Arial"/>
          <w:sz w:val="22"/>
        </w:rPr>
        <w:t>：例如售价$40，重量0.3磅，体积小，物流成本低，净PPM好看。</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维度三：竞争格局与垄断度</w:t>
      </w:r>
    </w:p>
    <w:p>
      <w:pPr>
        <w:numPr>
          <w:numId w:val="218"/>
        </w:numPr>
        <w:spacing w:before="120" w:after="120" w:line="288" w:lineRule="auto"/>
        <w:ind w:left="0"/>
        <w:jc w:val="left"/>
      </w:pPr>
      <w:r>
        <w:rPr>
          <w:rFonts w:eastAsia="等线" w:ascii="Arial" w:cs="Arial" w:hAnsi="Arial"/>
          <w:sz w:val="22"/>
        </w:rPr>
        <w:t>通过竞品分析工具（如Jungle Scout、Helium 10）查看核心关键词的SC卖家数和销量分布。</w:t>
      </w:r>
    </w:p>
    <w:p>
      <w:pPr>
        <w:numPr>
          <w:numId w:val="219"/>
        </w:numPr>
        <w:spacing w:before="120" w:after="120" w:line="288" w:lineRule="auto"/>
        <w:ind w:left="0"/>
        <w:jc w:val="left"/>
      </w:pPr>
      <w:r>
        <w:rPr>
          <w:rFonts w:eastAsia="等线" w:ascii="Arial" w:cs="Arial" w:hAnsi="Arial"/>
          <w:sz w:val="22"/>
        </w:rPr>
        <w:t>如果某个类目前5名都是VC或Amazon Basics，新进入难度极高。</w:t>
      </w:r>
    </w:p>
    <w:p>
      <w:pPr>
        <w:numPr>
          <w:numId w:val="220"/>
        </w:numPr>
        <w:spacing w:before="120" w:after="120" w:line="288" w:lineRule="auto"/>
        <w:ind w:left="0"/>
        <w:jc w:val="left"/>
      </w:pPr>
      <w:r>
        <w:rPr>
          <w:rFonts w:eastAsia="等线" w:ascii="Arial" w:cs="Arial" w:hAnsi="Arial"/>
          <w:sz w:val="22"/>
        </w:rPr>
        <w:t>寻找VC供应的空白区：SC卖家多但VC少，你有机会填补自营货架空缺。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维度四：亚马逊站内数据（Retail Analytics的妙用）</w:t>
      </w:r>
    </w:p>
    <w:p>
      <w:pPr>
        <w:numPr>
          <w:numId w:val="221"/>
        </w:numPr>
        <w:spacing w:before="120" w:after="120" w:line="288" w:lineRule="auto"/>
        <w:ind w:left="0"/>
        <w:jc w:val="left"/>
      </w:pPr>
      <w:r>
        <w:rPr>
          <w:rFonts w:eastAsia="等线" w:ascii="Arial" w:cs="Arial" w:hAnsi="Arial"/>
          <w:sz w:val="22"/>
        </w:rPr>
        <w:t>如果你已有部分VC产品，可以在RA的“Category Insights”中看到同类产品的总市场容量、平均售价、最高频的搜索词。</w:t>
      </w:r>
    </w:p>
    <w:p>
      <w:pPr>
        <w:numPr>
          <w:numId w:val="222"/>
        </w:numPr>
        <w:spacing w:before="120" w:after="120" w:line="288" w:lineRule="auto"/>
        <w:ind w:left="0"/>
        <w:jc w:val="left"/>
      </w:pPr>
      <w:r>
        <w:rPr>
          <w:rFonts w:eastAsia="等线" w:ascii="Arial" w:cs="Arial" w:hAnsi="Arial"/>
          <w:sz w:val="22"/>
        </w:rPr>
        <w:t>利用“Customer Review Insight”分析竞品差评点，提炼产品改进方向，实现针对性的改良开发。</w:t>
      </w:r>
    </w:p>
    <w:p>
      <w:pPr>
        <w:spacing w:before="120" w:after="120" w:line="288" w:lineRule="auto"/>
        <w:ind w:left="453"/>
        <w:jc w:val="left"/>
      </w:pPr>
    </w:p>
    <w:p>
      <w:pPr>
        <w:pStyle w:val="3"/>
        <w:spacing w:before="300" w:after="120" w:line="288" w:lineRule="auto"/>
        <w:ind w:left="0"/>
        <w:jc w:val="left"/>
        <w:outlineLvl w:val="2"/>
      </w:pPr>
      <w:bookmarkStart w:name="heading_93" w:id="93"/>
      <w:r>
        <w:rPr>
          <w:rFonts w:eastAsia="等线" w:ascii="Arial" w:cs="Arial" w:hAnsi="Arial"/>
          <w:b w:val="true"/>
          <w:sz w:val="30"/>
        </w:rPr>
        <w:t>34.2 VC选品信息流：从机会到上架</w:t>
      </w:r>
      <w:bookmarkEnd w:id="93"/>
    </w:p>
    <w:p>
      <w:pPr>
        <w:spacing w:before="120" w:after="120" w:line="288" w:lineRule="auto"/>
        <w:ind w:left="0"/>
        <w:jc w:val="left"/>
      </w:pPr>
    </w:p>
    <w:p>
      <w:pPr>
        <w:numPr>
          <w:numId w:val="223"/>
        </w:numPr>
        <w:spacing w:before="120" w:after="120" w:line="288" w:lineRule="auto"/>
        <w:ind w:left="0"/>
        <w:jc w:val="left"/>
      </w:pPr>
      <w:r>
        <w:rPr>
          <w:rFonts w:eastAsia="等线" w:ascii="Arial" w:cs="Arial" w:hAnsi="Arial"/>
          <w:b w:val="true"/>
          <w:sz w:val="22"/>
        </w:rPr>
        <w:t>机会发现</w:t>
      </w:r>
      <w:r>
        <w:rPr>
          <w:rFonts w:eastAsia="等线" w:ascii="Arial" w:cs="Arial" w:hAnsi="Arial"/>
          <w:sz w:val="22"/>
        </w:rPr>
        <w:t>：监控Amazon Best Sellers、Movers &amp; Shakers，以及竞品的高频购买组合（Frequently Bought Together）。</w:t>
      </w:r>
    </w:p>
    <w:p>
      <w:pPr>
        <w:numPr>
          <w:numId w:val="224"/>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：用Jungle Scout/Helium 10导出类目销量、价格、评论分布，排除评论数极高（&gt;5000）已垄断的市场。</w:t>
      </w:r>
    </w:p>
    <w:p>
      <w:pPr>
        <w:numPr>
          <w:numId w:val="225"/>
        </w:numPr>
        <w:spacing w:before="120" w:after="120" w:line="288" w:lineRule="auto"/>
        <w:ind w:left="0"/>
        <w:jc w:val="left"/>
      </w:pPr>
      <w:r>
        <w:rPr>
          <w:rFonts w:eastAsia="等线" w:ascii="Arial" w:cs="Arial" w:hAnsi="Arial"/>
          <w:b w:val="true"/>
          <w:sz w:val="22"/>
        </w:rPr>
        <w:t>成本测算</w:t>
      </w:r>
      <w:r>
        <w:rPr>
          <w:rFonts w:eastAsia="等线" w:ascii="Arial" w:cs="Arial" w:hAnsi="Arial"/>
          <w:sz w:val="22"/>
        </w:rPr>
        <w:t>：用上述NET PPM倒推模型，至少保证在供货价上比SC有竞争力，且VM可接受。</w:t>
      </w:r>
    </w:p>
    <w:p>
      <w:pPr>
        <w:numPr>
          <w:numId w:val="226"/>
        </w:numPr>
        <w:spacing w:before="120" w:after="120" w:line="288" w:lineRule="auto"/>
        <w:ind w:left="0"/>
        <w:jc w:val="left"/>
      </w:pPr>
      <w:r>
        <w:rPr>
          <w:rFonts w:eastAsia="等线" w:ascii="Arial" w:cs="Arial" w:hAnsi="Arial"/>
          <w:b w:val="true"/>
          <w:sz w:val="22"/>
        </w:rPr>
        <w:t>供应链可行性</w:t>
      </w:r>
      <w:r>
        <w:rPr>
          <w:rFonts w:eastAsia="等线" w:ascii="Arial" w:cs="Arial" w:hAnsi="Arial"/>
          <w:sz w:val="22"/>
        </w:rPr>
        <w:t>：能否小批量试错？最小起订量是否满足？头程成本是否可控？</w:t>
      </w:r>
    </w:p>
    <w:p>
      <w:pPr>
        <w:numPr>
          <w:numId w:val="227"/>
        </w:numPr>
        <w:spacing w:before="120" w:after="120" w:line="288" w:lineRule="auto"/>
        <w:ind w:left="0"/>
        <w:jc w:val="left"/>
      </w:pPr>
      <w:r>
        <w:rPr>
          <w:rFonts w:eastAsia="等线" w:ascii="Arial" w:cs="Arial" w:hAnsi="Arial"/>
          <w:b w:val="true"/>
          <w:sz w:val="22"/>
        </w:rPr>
        <w:t>样品验证</w:t>
      </w:r>
      <w:r>
        <w:rPr>
          <w:rFonts w:eastAsia="等线" w:ascii="Arial" w:cs="Arial" w:hAnsi="Arial"/>
          <w:sz w:val="22"/>
        </w:rPr>
        <w:t>：安排小批量样品做FBA小号测试（可用SC账号跟卖测试），积累初期转化率和评论数据。</w:t>
      </w:r>
    </w:p>
    <w:p>
      <w:pPr>
        <w:numPr>
          <w:numId w:val="228"/>
        </w:numPr>
        <w:spacing w:before="120" w:after="120" w:line="288" w:lineRule="auto"/>
        <w:ind w:left="0"/>
        <w:jc w:val="left"/>
      </w:pPr>
      <w:r>
        <w:rPr>
          <w:rFonts w:eastAsia="等线" w:ascii="Arial" w:cs="Arial" w:hAnsi="Arial"/>
          <w:b w:val="true"/>
          <w:sz w:val="22"/>
        </w:rPr>
        <w:t>VM Pitch</w:t>
      </w:r>
      <w:r>
        <w:rPr>
          <w:rFonts w:eastAsia="等线" w:ascii="Arial" w:cs="Arial" w:hAnsi="Arial"/>
          <w:sz w:val="22"/>
        </w:rPr>
        <w:t>：准备好选品数据包（市场容量、预计供货价、预估退货率、差异化优势），向VM提议新增ASIN。用数据说服VM这是高PPM的优质选品。</w:t>
      </w:r>
    </w:p>
    <w:p>
      <w:pPr>
        <w:spacing w:before="120" w:after="120" w:line="288" w:lineRule="auto"/>
        <w:ind w:left="453"/>
        <w:jc w:val="left"/>
      </w:pPr>
    </w:p>
    <w:p>
      <w:pPr>
        <w:pStyle w:val="3"/>
        <w:spacing w:before="300" w:after="120" w:line="288" w:lineRule="auto"/>
        <w:ind w:left="0"/>
        <w:jc w:val="left"/>
        <w:outlineLvl w:val="2"/>
      </w:pPr>
      <w:bookmarkStart w:name="heading_94" w:id="94"/>
      <w:r>
        <w:rPr>
          <w:rFonts w:eastAsia="等线" w:ascii="Arial" w:cs="Arial" w:hAnsi="Arial"/>
          <w:b w:val="true"/>
          <w:sz w:val="30"/>
        </w:rPr>
        <w:t>34.3 避免的VC选品陷阱</w:t>
      </w:r>
      <w:bookmarkEnd w:id="94"/>
    </w:p>
    <w:p>
      <w:pPr>
        <w:spacing w:before="120" w:after="120" w:line="288" w:lineRule="auto"/>
        <w:ind w:left="0"/>
        <w:jc w:val="left"/>
      </w:pPr>
    </w:p>
    <w:p>
      <w:pPr>
        <w:numPr>
          <w:numId w:val="229"/>
        </w:numPr>
        <w:spacing w:before="120" w:after="120" w:line="288" w:lineRule="auto"/>
        <w:ind w:left="0"/>
        <w:jc w:val="left"/>
      </w:pPr>
      <w:r>
        <w:rPr>
          <w:rFonts w:eastAsia="等线" w:ascii="Arial" w:cs="Arial" w:hAnsi="Arial"/>
          <w:b w:val="true"/>
          <w:sz w:val="22"/>
        </w:rPr>
        <w:t>利润计算过于乐观</w:t>
      </w:r>
      <w:r>
        <w:rPr>
          <w:rFonts w:eastAsia="等线" w:ascii="Arial" w:cs="Arial" w:hAnsi="Arial"/>
          <w:sz w:val="22"/>
        </w:rPr>
        <w:t>：忽略协议扣款和Chargeback，实际净收可能比你预估低8%-15%。</w:t>
      </w:r>
    </w:p>
    <w:p>
      <w:pPr>
        <w:numPr>
          <w:numId w:val="230"/>
        </w:numPr>
        <w:spacing w:before="120" w:after="120" w:line="288" w:lineRule="auto"/>
        <w:ind w:left="0"/>
        <w:jc w:val="left"/>
      </w:pPr>
      <w:r>
        <w:rPr>
          <w:rFonts w:eastAsia="等线" w:ascii="Arial" w:cs="Arial" w:hAnsi="Arial"/>
          <w:b w:val="true"/>
          <w:sz w:val="22"/>
        </w:rPr>
        <w:t>跟风无壁垒产品</w:t>
      </w:r>
      <w:r>
        <w:rPr>
          <w:rFonts w:eastAsia="等线" w:ascii="Arial" w:cs="Arial" w:hAnsi="Arial"/>
          <w:sz w:val="22"/>
        </w:rPr>
        <w:t>：手机壳等超低门槛品类，一旦被其他人以更低供货价引入VC，你会被瞬间取代。</w:t>
      </w:r>
    </w:p>
    <w:p>
      <w:pPr>
        <w:numPr>
          <w:numId w:val="231"/>
        </w:numPr>
        <w:spacing w:before="120" w:after="120" w:line="288" w:lineRule="auto"/>
        <w:ind w:left="0"/>
        <w:jc w:val="left"/>
      </w:pPr>
      <w:r>
        <w:rPr>
          <w:rFonts w:eastAsia="等线" w:ascii="Arial" w:cs="Arial" w:hAnsi="Arial"/>
          <w:b w:val="true"/>
          <w:sz w:val="22"/>
        </w:rPr>
        <w:t>需要频繁客服支持的复杂产品</w:t>
      </w:r>
      <w:r>
        <w:rPr>
          <w:rFonts w:eastAsia="等线" w:ascii="Arial" w:cs="Arial" w:hAnsi="Arial"/>
          <w:sz w:val="22"/>
        </w:rPr>
        <w:t>：退货率和差评高企，导致ASIN被限制甚至下架。</w:t>
      </w:r>
    </w:p>
    <w:p>
      <w:pPr>
        <w:numPr>
          <w:numId w:val="232"/>
        </w:numPr>
        <w:spacing w:before="120" w:after="120" w:line="288" w:lineRule="auto"/>
        <w:ind w:left="0"/>
        <w:jc w:val="left"/>
      </w:pPr>
      <w:r>
        <w:rPr>
          <w:rFonts w:eastAsia="等线" w:ascii="Arial" w:cs="Arial" w:hAnsi="Arial"/>
          <w:b w:val="true"/>
          <w:sz w:val="22"/>
        </w:rPr>
        <w:t>认证过于昂贵或长期</w:t>
      </w:r>
      <w:r>
        <w:rPr>
          <w:rFonts w:eastAsia="等线" w:ascii="Arial" w:cs="Arial" w:hAnsi="Arial"/>
          <w:sz w:val="22"/>
        </w:rPr>
        <w:t>：例如需要FDA 510K但你没有现成认证，等待时间可能让你错过窗口。</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5" w:id="95"/>
      <w:r>
        <w:rPr>
          <w:rFonts w:eastAsia="等线" w:ascii="Arial" w:cs="Arial" w:hAnsi="Arial"/>
          <w:b w:val="true"/>
          <w:sz w:val="32"/>
        </w:rPr>
        <w:t>第三十五章 VC日常运营精细化管理手册</w:t>
      </w:r>
      <w:bookmarkEnd w:id="95"/>
    </w:p>
    <w:p>
      <w:pPr>
        <w:spacing w:before="120" w:after="120" w:line="288" w:lineRule="auto"/>
        <w:ind w:left="0"/>
        <w:jc w:val="left"/>
      </w:pPr>
    </w:p>
    <w:p>
      <w:pPr>
        <w:spacing w:before="120" w:after="120" w:line="288" w:lineRule="auto"/>
        <w:ind w:left="0"/>
        <w:jc w:val="left"/>
      </w:pPr>
      <w:r>
        <w:rPr>
          <w:rFonts w:eastAsia="等线" w:ascii="Arial" w:cs="Arial" w:hAnsi="Arial"/>
          <w:sz w:val="22"/>
        </w:rPr>
        <w:t>VC运营不仅是接单发货，而是一套围绕PO、库存、数据和VM沟通的精密管理系统。</w:t>
      </w:r>
    </w:p>
    <w:p>
      <w:pPr>
        <w:spacing w:before="120" w:after="120" w:line="288" w:lineRule="auto"/>
        <w:ind w:left="0"/>
        <w:jc w:val="left"/>
      </w:pPr>
    </w:p>
    <w:p>
      <w:pPr>
        <w:pStyle w:val="3"/>
        <w:spacing w:before="300" w:after="120" w:line="288" w:lineRule="auto"/>
        <w:ind w:left="0"/>
        <w:jc w:val="left"/>
        <w:outlineLvl w:val="2"/>
      </w:pPr>
      <w:bookmarkStart w:name="heading_96" w:id="96"/>
      <w:r>
        <w:rPr>
          <w:rFonts w:eastAsia="等线" w:ascii="Arial" w:cs="Arial" w:hAnsi="Arial"/>
          <w:b w:val="true"/>
          <w:sz w:val="30"/>
        </w:rPr>
        <w:t>35.1 PO生命周期管理</w:t>
      </w:r>
      <w:bookmarkEnd w:id="9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PO流转五阶段：</w:t>
      </w:r>
    </w:p>
    <w:p>
      <w:pPr>
        <w:spacing w:before="120" w:after="120" w:line="288" w:lineRule="auto"/>
        <w:ind w:left="0"/>
        <w:jc w:val="left"/>
      </w:pPr>
    </w:p>
    <w:p>
      <w:pPr>
        <w:numPr>
          <w:numId w:val="233"/>
        </w:numPr>
        <w:spacing w:before="120" w:after="120" w:line="288" w:lineRule="auto"/>
        <w:ind w:left="0"/>
        <w:jc w:val="left"/>
      </w:pPr>
      <w:r>
        <w:rPr>
          <w:rFonts w:eastAsia="等线" w:ascii="Arial" w:cs="Arial" w:hAnsi="Arial"/>
          <w:b w:val="true"/>
          <w:sz w:val="22"/>
        </w:rPr>
        <w:t>PO下达 (Issued)</w:t>
      </w:r>
    </w:p>
    <w:p>
      <w:pPr>
        <w:numPr>
          <w:numId w:val="234"/>
        </w:numPr>
        <w:spacing w:before="120" w:after="120" w:line="288" w:lineRule="auto"/>
        <w:ind w:left="453"/>
        <w:jc w:val="left"/>
      </w:pPr>
      <w:r>
        <w:rPr>
          <w:rFonts w:eastAsia="等线" w:ascii="Arial" w:cs="Arial" w:hAnsi="Arial"/>
          <w:sz w:val="22"/>
        </w:rPr>
        <w:t>定期(至少每日)检查VC后台PO列表。</w:t>
      </w:r>
    </w:p>
    <w:p>
      <w:pPr>
        <w:numPr>
          <w:numId w:val="235"/>
        </w:numPr>
        <w:spacing w:before="120" w:after="120" w:line="288" w:lineRule="auto"/>
        <w:ind w:left="453"/>
        <w:jc w:val="left"/>
      </w:pPr>
      <w:r>
        <w:rPr>
          <w:rFonts w:eastAsia="等线" w:ascii="Arial" w:cs="Arial" w:hAnsi="Arial"/>
          <w:sz w:val="22"/>
        </w:rPr>
        <w:t>立即确认PO的Ship Window和数量与你的产能匹配。</w:t>
      </w:r>
    </w:p>
    <w:p>
      <w:pPr>
        <w:numPr>
          <w:numId w:val="236"/>
        </w:numPr>
        <w:spacing w:before="120" w:after="120" w:line="288" w:lineRule="auto"/>
        <w:ind w:left="453"/>
        <w:jc w:val="left"/>
      </w:pPr>
      <w:r>
        <w:rPr>
          <w:rFonts w:eastAsia="等线" w:ascii="Arial" w:cs="Arial" w:hAnsi="Arial"/>
          <w:sz w:val="22"/>
        </w:rPr>
        <w:t>不接受无法满足的PO，及时调整或联系VM拆分。</w:t>
      </w:r>
    </w:p>
    <w:p>
      <w:pPr>
        <w:spacing w:before="120" w:after="120" w:line="288" w:lineRule="auto"/>
        <w:ind w:left="907"/>
        <w:jc w:val="left"/>
      </w:pPr>
    </w:p>
    <w:p>
      <w:pPr>
        <w:numPr>
          <w:numId w:val="237"/>
        </w:numPr>
        <w:spacing w:before="120" w:after="120" w:line="288" w:lineRule="auto"/>
        <w:ind w:left="0"/>
        <w:jc w:val="left"/>
      </w:pPr>
      <w:r>
        <w:rPr>
          <w:rFonts w:eastAsia="等线" w:ascii="Arial" w:cs="Arial" w:hAnsi="Arial"/>
          <w:b w:val="true"/>
          <w:sz w:val="22"/>
        </w:rPr>
        <w:t>确认接单 (Accepted)</w:t>
      </w:r>
    </w:p>
    <w:p>
      <w:pPr>
        <w:numPr>
          <w:numId w:val="238"/>
        </w:numPr>
        <w:spacing w:before="120" w:after="120" w:line="288" w:lineRule="auto"/>
        <w:ind w:left="453"/>
        <w:jc w:val="left"/>
      </w:pPr>
      <w:r>
        <w:rPr>
          <w:rFonts w:eastAsia="等线" w:ascii="Arial" w:cs="Arial" w:hAnsi="Arial"/>
          <w:sz w:val="22"/>
        </w:rPr>
        <w:t>必须在48小时内确认。可设置自动确认，但最好人工复核。</w:t>
      </w:r>
    </w:p>
    <w:p>
      <w:pPr>
        <w:numPr>
          <w:numId w:val="239"/>
        </w:numPr>
        <w:spacing w:before="120" w:after="120" w:line="288" w:lineRule="auto"/>
        <w:ind w:left="453"/>
        <w:jc w:val="left"/>
      </w:pPr>
      <w:r>
        <w:rPr>
          <w:rFonts w:eastAsia="等线" w:ascii="Arial" w:cs="Arial" w:hAnsi="Arial"/>
          <w:sz w:val="22"/>
        </w:rPr>
        <w:t>确认后系统会生成Shipment。</w:t>
      </w:r>
    </w:p>
    <w:p>
      <w:pPr>
        <w:spacing w:before="120" w:after="120" w:line="288" w:lineRule="auto"/>
        <w:ind w:left="907"/>
        <w:jc w:val="left"/>
      </w:pPr>
    </w:p>
    <w:p>
      <w:pPr>
        <w:numPr>
          <w:numId w:val="240"/>
        </w:numPr>
        <w:spacing w:before="120" w:after="120" w:line="288" w:lineRule="auto"/>
        <w:ind w:left="0"/>
        <w:jc w:val="left"/>
      </w:pPr>
      <w:r>
        <w:rPr>
          <w:rFonts w:eastAsia="等线" w:ascii="Arial" w:cs="Arial" w:hAnsi="Arial"/>
          <w:b w:val="true"/>
          <w:sz w:val="22"/>
        </w:rPr>
        <w:t>备货与发货 (Preparing/Shipped)</w:t>
      </w:r>
    </w:p>
    <w:p>
      <w:pPr>
        <w:numPr>
          <w:numId w:val="241"/>
        </w:numPr>
        <w:spacing w:before="120" w:after="120" w:line="288" w:lineRule="auto"/>
        <w:ind w:left="453"/>
        <w:jc w:val="left"/>
      </w:pPr>
      <w:r>
        <w:rPr>
          <w:rFonts w:eastAsia="等线" w:ascii="Arial" w:cs="Arial" w:hAnsi="Arial"/>
          <w:sz w:val="22"/>
        </w:rPr>
        <w:t>按照PO规定的Ship Window准时发货，避免早到或晚到。</w:t>
      </w:r>
    </w:p>
    <w:p>
      <w:pPr>
        <w:numPr>
          <w:numId w:val="242"/>
        </w:numPr>
        <w:spacing w:before="120" w:after="120" w:line="288" w:lineRule="auto"/>
        <w:ind w:left="453"/>
        <w:jc w:val="left"/>
      </w:pPr>
      <w:r>
        <w:rPr>
          <w:rFonts w:eastAsia="等线" w:ascii="Arial" w:cs="Arial" w:hAnsi="Arial"/>
          <w:sz w:val="22"/>
        </w:rPr>
        <w:t>创建准确的ASN，集装箱贴标准Amazon PO标签。</w:t>
      </w:r>
    </w:p>
    <w:p>
      <w:pPr>
        <w:spacing w:before="120" w:after="120" w:line="288" w:lineRule="auto"/>
        <w:ind w:left="907"/>
        <w:jc w:val="left"/>
      </w:pPr>
    </w:p>
    <w:p>
      <w:pPr>
        <w:numPr>
          <w:numId w:val="243"/>
        </w:numPr>
        <w:spacing w:before="120" w:after="120" w:line="288" w:lineRule="auto"/>
        <w:ind w:left="0"/>
        <w:jc w:val="left"/>
      </w:pPr>
      <w:r>
        <w:rPr>
          <w:rFonts w:eastAsia="等线" w:ascii="Arial" w:cs="Arial" w:hAnsi="Arial"/>
          <w:b w:val="true"/>
          <w:sz w:val="22"/>
        </w:rPr>
        <w:t>FC收货 (Receiving)</w:t>
      </w:r>
    </w:p>
    <w:p>
      <w:pPr>
        <w:numPr>
          <w:numId w:val="244"/>
        </w:numPr>
        <w:spacing w:before="120" w:after="120" w:line="288" w:lineRule="auto"/>
        <w:ind w:left="453"/>
        <w:jc w:val="left"/>
      </w:pPr>
      <w:r>
        <w:rPr>
          <w:rFonts w:eastAsia="等线" w:ascii="Arial" w:cs="Arial" w:hAnsi="Arial"/>
          <w:sz w:val="22"/>
        </w:rPr>
        <w:t>跟踪承运人POD，确保FC已签收。</w:t>
      </w:r>
    </w:p>
    <w:p>
      <w:pPr>
        <w:numPr>
          <w:numId w:val="245"/>
        </w:numPr>
        <w:spacing w:before="120" w:after="120" w:line="288" w:lineRule="auto"/>
        <w:ind w:left="453"/>
        <w:jc w:val="left"/>
      </w:pPr>
      <w:r>
        <w:rPr>
          <w:rFonts w:eastAsia="等线" w:ascii="Arial" w:cs="Arial" w:hAnsi="Arial"/>
          <w:sz w:val="22"/>
        </w:rPr>
        <w:t>通常3-7天内系统状态更新为“Received”。</w:t>
      </w:r>
    </w:p>
    <w:p>
      <w:pPr>
        <w:spacing w:before="120" w:after="120" w:line="288" w:lineRule="auto"/>
        <w:ind w:left="907"/>
        <w:jc w:val="left"/>
      </w:pPr>
    </w:p>
    <w:p>
      <w:pPr>
        <w:numPr>
          <w:numId w:val="246"/>
        </w:numPr>
        <w:spacing w:before="120" w:after="120" w:line="288" w:lineRule="auto"/>
        <w:ind w:left="0"/>
        <w:jc w:val="left"/>
      </w:pPr>
      <w:r>
        <w:rPr>
          <w:rFonts w:eastAsia="等线" w:ascii="Arial" w:cs="Arial" w:hAnsi="Arial"/>
          <w:b w:val="true"/>
          <w:sz w:val="22"/>
        </w:rPr>
        <w:t>开票与结算 (Invoicing)</w:t>
      </w:r>
    </w:p>
    <w:p>
      <w:pPr>
        <w:numPr>
          <w:numId w:val="247"/>
        </w:numPr>
        <w:spacing w:before="120" w:after="120" w:line="288" w:lineRule="auto"/>
        <w:ind w:left="453"/>
        <w:jc w:val="left"/>
      </w:pPr>
      <w:r>
        <w:rPr>
          <w:rFonts w:eastAsia="等线" w:ascii="Arial" w:cs="Arial" w:hAnsi="Arial"/>
          <w:sz w:val="22"/>
        </w:rPr>
        <w:t>每月按已收货数量开具发票。</w:t>
      </w:r>
    </w:p>
    <w:p>
      <w:pPr>
        <w:numPr>
          <w:numId w:val="248"/>
        </w:numPr>
        <w:spacing w:before="120" w:after="120" w:line="288" w:lineRule="auto"/>
        <w:ind w:left="453"/>
        <w:jc w:val="left"/>
      </w:pPr>
      <w:r>
        <w:rPr>
          <w:rFonts w:eastAsia="等线" w:ascii="Arial" w:cs="Arial" w:hAnsi="Arial"/>
          <w:sz w:val="22"/>
        </w:rPr>
        <w:t>跟踪Remittance，及时处理差异。</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PO完成度KPI：</w:t>
      </w:r>
    </w:p>
    <w:p>
      <w:pPr>
        <w:numPr>
          <w:numId w:val="249"/>
        </w:numPr>
        <w:spacing w:before="120" w:after="120" w:line="288" w:lineRule="auto"/>
        <w:ind w:left="0"/>
        <w:jc w:val="left"/>
      </w:pPr>
      <w:r>
        <w:rPr>
          <w:rFonts w:eastAsia="等线" w:ascii="Arial" w:cs="Arial" w:hAnsi="Arial"/>
          <w:sz w:val="22"/>
        </w:rPr>
        <w:t>PO确认率 &gt; 98%</w:t>
      </w:r>
    </w:p>
    <w:p>
      <w:pPr>
        <w:numPr>
          <w:numId w:val="250"/>
        </w:numPr>
        <w:spacing w:before="120" w:after="120" w:line="288" w:lineRule="auto"/>
        <w:ind w:left="0"/>
        <w:jc w:val="left"/>
      </w:pPr>
      <w:r>
        <w:rPr>
          <w:rFonts w:eastAsia="等线" w:ascii="Arial" w:cs="Arial" w:hAnsi="Arial"/>
          <w:sz w:val="22"/>
        </w:rPr>
        <w:t>按时发货率 &gt; 95%</w:t>
      </w:r>
    </w:p>
    <w:p>
      <w:pPr>
        <w:numPr>
          <w:numId w:val="251"/>
        </w:numPr>
        <w:spacing w:before="120" w:after="120" w:line="288" w:lineRule="auto"/>
        <w:ind w:left="0"/>
        <w:jc w:val="left"/>
      </w:pPr>
      <w:r>
        <w:rPr>
          <w:rFonts w:eastAsia="等线" w:ascii="Arial" w:cs="Arial" w:hAnsi="Arial"/>
          <w:sz w:val="22"/>
        </w:rPr>
        <w:t>ASN准确率 100%</w:t>
      </w:r>
    </w:p>
    <w:p>
      <w:pPr>
        <w:spacing w:before="120" w:after="120" w:line="288" w:lineRule="auto"/>
        <w:ind w:left="453"/>
        <w:jc w:val="left"/>
      </w:pPr>
    </w:p>
    <w:p>
      <w:pPr>
        <w:pStyle w:val="3"/>
        <w:spacing w:before="300" w:after="120" w:line="288" w:lineRule="auto"/>
        <w:ind w:left="0"/>
        <w:jc w:val="left"/>
        <w:outlineLvl w:val="2"/>
      </w:pPr>
      <w:bookmarkStart w:name="heading_97" w:id="97"/>
      <w:r>
        <w:rPr>
          <w:rFonts w:eastAsia="等线" w:ascii="Arial" w:cs="Arial" w:hAnsi="Arial"/>
          <w:b w:val="true"/>
          <w:sz w:val="30"/>
        </w:rPr>
        <w:t>35.2 库存规划与IRDR</w:t>
      </w:r>
      <w:bookmarkEnd w:id="9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IRDR (Inventory Replenishment and Demand Review，库存补货与需求审查)</w:t>
      </w:r>
    </w:p>
    <w:p>
      <w:pPr>
        <w:spacing w:before="120" w:after="120" w:line="288" w:lineRule="auto"/>
        <w:ind w:left="0"/>
        <w:jc w:val="left"/>
      </w:pPr>
    </w:p>
    <w:p>
      <w:pPr>
        <w:spacing w:before="120" w:after="120" w:line="288" w:lineRule="auto"/>
        <w:ind w:left="0"/>
        <w:jc w:val="left"/>
      </w:pPr>
      <w:r>
        <w:rPr>
          <w:rFonts w:eastAsia="等线" w:ascii="Arial" w:cs="Arial" w:hAnsi="Arial"/>
          <w:sz w:val="22"/>
        </w:rPr>
        <w:t>VC供应商需每季度或每月向VM提供库存计划：</w:t>
      </w:r>
    </w:p>
    <w:p>
      <w:pPr>
        <w:spacing w:before="120" w:after="120" w:line="288" w:lineRule="auto"/>
        <w:ind w:left="0"/>
        <w:jc w:val="left"/>
      </w:pPr>
    </w:p>
    <w:p>
      <w:pPr>
        <w:numPr>
          <w:numId w:val="252"/>
        </w:numPr>
        <w:spacing w:before="120" w:after="120" w:line="288" w:lineRule="auto"/>
        <w:ind w:left="0"/>
        <w:jc w:val="left"/>
      </w:pPr>
      <w:r>
        <w:rPr>
          <w:rFonts w:eastAsia="等线" w:ascii="Arial" w:cs="Arial" w:hAnsi="Arial"/>
          <w:b w:val="true"/>
          <w:sz w:val="22"/>
        </w:rPr>
        <w:t>在产库存/在途库存</w:t>
      </w:r>
      <w:r>
        <w:rPr>
          <w:rFonts w:eastAsia="等线" w:ascii="Arial" w:cs="Arial" w:hAnsi="Arial"/>
          <w:sz w:val="22"/>
        </w:rPr>
        <w:t>：列明哪些PO对应的数量。</w:t>
      </w:r>
    </w:p>
    <w:p>
      <w:pPr>
        <w:numPr>
          <w:numId w:val="253"/>
        </w:numPr>
        <w:spacing w:before="120" w:after="120" w:line="288" w:lineRule="auto"/>
        <w:ind w:left="0"/>
        <w:jc w:val="left"/>
      </w:pPr>
      <w:r>
        <w:rPr>
          <w:rFonts w:eastAsia="等线" w:ascii="Arial" w:cs="Arial" w:hAnsi="Arial"/>
          <w:b w:val="true"/>
          <w:sz w:val="22"/>
        </w:rPr>
        <w:t>需求预测</w:t>
      </w:r>
      <w:r>
        <w:rPr>
          <w:rFonts w:eastAsia="等线" w:ascii="Arial" w:cs="Arial" w:hAnsi="Arial"/>
          <w:sz w:val="22"/>
        </w:rPr>
        <w:t>：基于过去90天销售和季节性系数预估。</w:t>
      </w:r>
    </w:p>
    <w:p>
      <w:pPr>
        <w:numPr>
          <w:numId w:val="254"/>
        </w:numPr>
        <w:spacing w:before="120" w:after="120" w:line="288" w:lineRule="auto"/>
        <w:ind w:left="0"/>
        <w:jc w:val="left"/>
      </w:pPr>
      <w:r>
        <w:rPr>
          <w:rFonts w:eastAsia="等线" w:ascii="Arial" w:cs="Arial" w:hAnsi="Arial"/>
          <w:b w:val="true"/>
          <w:sz w:val="22"/>
        </w:rPr>
        <w:t>断货预警</w:t>
      </w:r>
      <w:r>
        <w:rPr>
          <w:rFonts w:eastAsia="等线" w:ascii="Arial" w:cs="Arial" w:hAnsi="Arial"/>
          <w:sz w:val="22"/>
        </w:rPr>
        <w:t>：若有任何ASIN预计在未来4周断货，提前标注并给出恢复日期。</w:t>
      </w:r>
    </w:p>
    <w:p>
      <w:pPr>
        <w:numPr>
          <w:numId w:val="255"/>
        </w:numPr>
        <w:spacing w:before="120" w:after="120" w:line="288" w:lineRule="auto"/>
        <w:ind w:left="0"/>
        <w:jc w:val="left"/>
      </w:pPr>
      <w:r>
        <w:rPr>
          <w:rFonts w:eastAsia="等线" w:ascii="Arial" w:cs="Arial" w:hAnsi="Arial"/>
          <w:b w:val="true"/>
          <w:sz w:val="22"/>
        </w:rPr>
        <w:t>过剩库存建议</w:t>
      </w:r>
      <w:r>
        <w:rPr>
          <w:rFonts w:eastAsia="等线" w:ascii="Arial" w:cs="Arial" w:hAnsi="Arial"/>
          <w:sz w:val="22"/>
        </w:rPr>
        <w:t>：对库龄较长的产品主动提出促销或降价处理方案。</w:t>
      </w:r>
    </w:p>
    <w:p>
      <w:pPr>
        <w:spacing w:before="120" w:after="120" w:line="288" w:lineRule="auto"/>
        <w:ind w:left="453"/>
        <w:jc w:val="left"/>
      </w:pPr>
    </w:p>
    <w:p>
      <w:pPr>
        <w:spacing w:before="120" w:after="120" w:line="288" w:lineRule="auto"/>
        <w:ind w:left="0"/>
        <w:jc w:val="left"/>
      </w:pPr>
      <w:r>
        <w:rPr>
          <w:rFonts w:eastAsia="等线" w:ascii="Arial" w:cs="Arial" w:hAnsi="Arial"/>
          <w:sz w:val="22"/>
        </w:rPr>
        <w:t>通过IRDR，你不仅展示专业度，还能影响VM的批量采购决策，避免断货或库存积压。</w:t>
      </w:r>
    </w:p>
    <w:p>
      <w:pPr>
        <w:spacing w:before="120" w:after="120" w:line="288" w:lineRule="auto"/>
        <w:ind w:left="0"/>
        <w:jc w:val="left"/>
      </w:pPr>
    </w:p>
    <w:p>
      <w:pPr>
        <w:pStyle w:val="3"/>
        <w:spacing w:before="300" w:after="120" w:line="288" w:lineRule="auto"/>
        <w:ind w:left="0"/>
        <w:jc w:val="left"/>
        <w:outlineLvl w:val="2"/>
      </w:pPr>
      <w:bookmarkStart w:name="heading_98" w:id="98"/>
      <w:r>
        <w:rPr>
          <w:rFonts w:eastAsia="等线" w:ascii="Arial" w:cs="Arial" w:hAnsi="Arial"/>
          <w:b w:val="true"/>
          <w:sz w:val="30"/>
        </w:rPr>
        <w:t>35.3 Chargeback管理与成本优化</w:t>
      </w:r>
      <w:bookmarkEnd w:id="98"/>
    </w:p>
    <w:p>
      <w:pPr>
        <w:spacing w:before="120" w:after="120" w:line="288" w:lineRule="auto"/>
        <w:ind w:left="0"/>
        <w:jc w:val="left"/>
      </w:pPr>
    </w:p>
    <w:p>
      <w:pPr>
        <w:spacing w:before="120" w:after="120" w:line="288" w:lineRule="auto"/>
        <w:ind w:left="0"/>
        <w:jc w:val="left"/>
      </w:pPr>
      <w:r>
        <w:rPr>
          <w:rFonts w:eastAsia="等线" w:ascii="Arial" w:cs="Arial" w:hAnsi="Arial"/>
          <w:sz w:val="22"/>
        </w:rPr>
        <w:t>如之前章节所述，Chargeback是利润的隐形杀手。运营日常应：</w:t>
      </w:r>
    </w:p>
    <w:p>
      <w:pPr>
        <w:spacing w:before="120" w:after="120" w:line="288" w:lineRule="auto"/>
        <w:ind w:left="0"/>
        <w:jc w:val="left"/>
      </w:pPr>
    </w:p>
    <w:p>
      <w:pPr>
        <w:numPr>
          <w:numId w:val="256"/>
        </w:numPr>
        <w:spacing w:before="120" w:after="120" w:line="288" w:lineRule="auto"/>
        <w:ind w:left="0"/>
        <w:jc w:val="left"/>
      </w:pPr>
      <w:r>
        <w:rPr>
          <w:rFonts w:eastAsia="等线" w:ascii="Arial" w:cs="Arial" w:hAnsi="Arial"/>
          <w:sz w:val="22"/>
        </w:rPr>
        <w:t>每周下载Chargeback报告，分类统计。</w:t>
      </w:r>
    </w:p>
    <w:p>
      <w:pPr>
        <w:numPr>
          <w:numId w:val="257"/>
        </w:numPr>
        <w:spacing w:before="120" w:after="120" w:line="288" w:lineRule="auto"/>
        <w:ind w:left="0"/>
        <w:jc w:val="left"/>
      </w:pPr>
      <w:r>
        <w:rPr>
          <w:rFonts w:eastAsia="等线" w:ascii="Arial" w:cs="Arial" w:hAnsi="Arial"/>
          <w:sz w:val="22"/>
        </w:rPr>
        <w:t>对于No PO、Shortage等频繁扣款，追查根源（是仓库贴标错误还是ASN错误）。</w:t>
      </w:r>
    </w:p>
    <w:p>
      <w:pPr>
        <w:numPr>
          <w:numId w:val="258"/>
        </w:numPr>
        <w:spacing w:before="120" w:after="120" w:line="288" w:lineRule="auto"/>
        <w:ind w:left="0"/>
        <w:jc w:val="left"/>
      </w:pPr>
      <w:r>
        <w:rPr>
          <w:rFonts w:eastAsia="等线" w:ascii="Arial" w:cs="Arial" w:hAnsi="Arial"/>
          <w:sz w:val="22"/>
        </w:rPr>
        <w:t>建立内部扣款责任矩阵：哪个环节出错就追责到人。</w:t>
      </w:r>
    </w:p>
    <w:p>
      <w:pPr>
        <w:numPr>
          <w:numId w:val="259"/>
        </w:numPr>
        <w:spacing w:before="120" w:after="120" w:line="288" w:lineRule="auto"/>
        <w:ind w:left="0"/>
        <w:jc w:val="left"/>
      </w:pPr>
      <w:r>
        <w:rPr>
          <w:rFonts w:eastAsia="等线" w:ascii="Arial" w:cs="Arial" w:hAnsi="Arial"/>
          <w:sz w:val="22"/>
        </w:rPr>
        <w:t>每月至少处理一次争议（Dispute），确保不合理扣款被及时追回。</w:t>
      </w:r>
    </w:p>
    <w:p>
      <w:pPr>
        <w:spacing w:before="120" w:after="120" w:line="288" w:lineRule="auto"/>
        <w:ind w:left="453"/>
        <w:jc w:val="left"/>
      </w:pPr>
    </w:p>
    <w:p>
      <w:pPr>
        <w:pStyle w:val="3"/>
        <w:spacing w:before="300" w:after="120" w:line="288" w:lineRule="auto"/>
        <w:ind w:left="0"/>
        <w:jc w:val="left"/>
        <w:outlineLvl w:val="2"/>
      </w:pPr>
      <w:bookmarkStart w:name="heading_99" w:id="99"/>
      <w:r>
        <w:rPr>
          <w:rFonts w:eastAsia="等线" w:ascii="Arial" w:cs="Arial" w:hAnsi="Arial"/>
          <w:b w:val="true"/>
          <w:sz w:val="30"/>
        </w:rPr>
        <w:t>35.4 数据驱动运营：周报与月报模板</w:t>
      </w:r>
      <w:bookmarkEnd w:id="9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VC运营周报应包含：</w:t>
      </w:r>
    </w:p>
    <w:p>
      <w:pPr>
        <w:numPr>
          <w:numId w:val="260"/>
        </w:numPr>
        <w:spacing w:before="120" w:after="120" w:line="288" w:lineRule="auto"/>
        <w:ind w:left="0"/>
        <w:jc w:val="left"/>
      </w:pPr>
      <w:r>
        <w:rPr>
          <w:rFonts w:eastAsia="等线" w:ascii="Arial" w:cs="Arial" w:hAnsi="Arial"/>
          <w:sz w:val="22"/>
        </w:rPr>
        <w:t>当周接单金额/发货金额/收货金额</w:t>
      </w:r>
    </w:p>
    <w:p>
      <w:pPr>
        <w:numPr>
          <w:numId w:val="261"/>
        </w:numPr>
        <w:spacing w:before="120" w:after="120" w:line="288" w:lineRule="auto"/>
        <w:ind w:left="0"/>
        <w:jc w:val="left"/>
      </w:pPr>
      <w:r>
        <w:rPr>
          <w:rFonts w:eastAsia="等线" w:ascii="Arial" w:cs="Arial" w:hAnsi="Arial"/>
          <w:sz w:val="22"/>
        </w:rPr>
        <w:t>当前所有PO的完成进度（红黄绿灯）</w:t>
      </w:r>
    </w:p>
    <w:p>
      <w:pPr>
        <w:numPr>
          <w:numId w:val="262"/>
        </w:numPr>
        <w:spacing w:before="120" w:after="120" w:line="288" w:lineRule="auto"/>
        <w:ind w:left="0"/>
        <w:jc w:val="left"/>
      </w:pPr>
      <w:r>
        <w:rPr>
          <w:rFonts w:eastAsia="等线" w:ascii="Arial" w:cs="Arial" w:hAnsi="Arial"/>
          <w:sz w:val="22"/>
        </w:rPr>
        <w:t>新增Chargeback金额及原因</w:t>
      </w:r>
    </w:p>
    <w:p>
      <w:pPr>
        <w:numPr>
          <w:numId w:val="263"/>
        </w:numPr>
        <w:spacing w:before="120" w:after="120" w:line="288" w:lineRule="auto"/>
        <w:ind w:left="0"/>
        <w:jc w:val="left"/>
      </w:pPr>
      <w:r>
        <w:rPr>
          <w:rFonts w:eastAsia="等线" w:ascii="Arial" w:cs="Arial" w:hAnsi="Arial"/>
          <w:sz w:val="22"/>
        </w:rPr>
        <w:t>库存异常ASIN（缺货/滞销）</w:t>
      </w:r>
    </w:p>
    <w:p>
      <w:pPr>
        <w:numPr>
          <w:numId w:val="264"/>
        </w:numPr>
        <w:spacing w:before="120" w:after="120" w:line="288" w:lineRule="auto"/>
        <w:ind w:left="0"/>
        <w:jc w:val="left"/>
      </w:pPr>
      <w:r>
        <w:rPr>
          <w:rFonts w:eastAsia="等线" w:ascii="Arial" w:cs="Arial" w:hAnsi="Arial"/>
          <w:sz w:val="22"/>
        </w:rPr>
        <w:t>广告花费与ROAS概览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VC运营月报应包含：</w:t>
      </w:r>
    </w:p>
    <w:p>
      <w:pPr>
        <w:numPr>
          <w:numId w:val="265"/>
        </w:numPr>
        <w:spacing w:before="120" w:after="120" w:line="288" w:lineRule="auto"/>
        <w:ind w:left="0"/>
        <w:jc w:val="left"/>
      </w:pPr>
      <w:r>
        <w:rPr>
          <w:rFonts w:eastAsia="等线" w:ascii="Arial" w:cs="Arial" w:hAnsi="Arial"/>
          <w:sz w:val="22"/>
        </w:rPr>
        <w:t>全月销售与收款对账</w:t>
      </w:r>
    </w:p>
    <w:p>
      <w:pPr>
        <w:numPr>
          <w:numId w:val="266"/>
        </w:numPr>
        <w:spacing w:before="120" w:after="120" w:line="288" w:lineRule="auto"/>
        <w:ind w:left="0"/>
        <w:jc w:val="left"/>
      </w:pPr>
      <w:r>
        <w:rPr>
          <w:rFonts w:eastAsia="等线" w:ascii="Arial" w:cs="Arial" w:hAnsi="Arial"/>
          <w:sz w:val="22"/>
        </w:rPr>
        <w:t>NET PPM趋势图（分ASIN）</w:t>
      </w:r>
    </w:p>
    <w:p>
      <w:pPr>
        <w:numPr>
          <w:numId w:val="267"/>
        </w:numPr>
        <w:spacing w:before="120" w:after="120" w:line="288" w:lineRule="auto"/>
        <w:ind w:left="0"/>
        <w:jc w:val="left"/>
      </w:pPr>
      <w:r>
        <w:rPr>
          <w:rFonts w:eastAsia="等线" w:ascii="Arial" w:cs="Arial" w:hAnsi="Arial"/>
          <w:sz w:val="22"/>
        </w:rPr>
        <w:t>退货率与原因分析</w:t>
      </w:r>
    </w:p>
    <w:p>
      <w:pPr>
        <w:numPr>
          <w:numId w:val="268"/>
        </w:numPr>
        <w:spacing w:before="120" w:after="120" w:line="288" w:lineRule="auto"/>
        <w:ind w:left="0"/>
        <w:jc w:val="left"/>
      </w:pPr>
      <w:r>
        <w:rPr>
          <w:rFonts w:eastAsia="等线" w:ascii="Arial" w:cs="Arial" w:hAnsi="Arial"/>
          <w:sz w:val="22"/>
        </w:rPr>
        <w:t>促销活动效果复盘</w:t>
      </w:r>
    </w:p>
    <w:p>
      <w:pPr>
        <w:numPr>
          <w:numId w:val="269"/>
        </w:numPr>
        <w:spacing w:before="120" w:after="120" w:line="288" w:lineRule="auto"/>
        <w:ind w:left="0"/>
        <w:jc w:val="left"/>
      </w:pPr>
      <w:r>
        <w:rPr>
          <w:rFonts w:eastAsia="等线" w:ascii="Arial" w:cs="Arial" w:hAnsi="Arial"/>
          <w:sz w:val="22"/>
        </w:rPr>
        <w:t>下月库存计划与营销安排</w:t>
      </w:r>
    </w:p>
    <w:p>
      <w:pPr>
        <w:spacing w:before="120" w:after="120" w:line="288" w:lineRule="auto"/>
        <w:ind w:left="453"/>
        <w:jc w:val="left"/>
      </w:pPr>
    </w:p>
    <w:p>
      <w:pPr>
        <w:spacing w:before="120" w:after="120" w:line="288" w:lineRule="auto"/>
        <w:ind w:left="0"/>
        <w:jc w:val="left"/>
      </w:pPr>
      <w:r>
        <w:rPr>
          <w:rFonts w:eastAsia="等线" w:ascii="Arial" w:cs="Arial" w:hAnsi="Arial"/>
          <w:sz w:val="22"/>
        </w:rPr>
        <w:t>使用Excel或BI工具将以上报表自动化，可极大提升与VM沟通的效率。</w:t>
      </w:r>
    </w:p>
    <w:p>
      <w:pPr>
        <w:spacing w:before="120" w:after="120" w:line="288" w:lineRule="auto"/>
        <w:ind w:left="0"/>
        <w:jc w:val="left"/>
      </w:pPr>
    </w:p>
    <w:p>
      <w:pPr>
        <w:pStyle w:val="3"/>
        <w:spacing w:before="300" w:after="120" w:line="288" w:lineRule="auto"/>
        <w:ind w:left="0"/>
        <w:jc w:val="left"/>
        <w:outlineLvl w:val="2"/>
      </w:pPr>
      <w:bookmarkStart w:name="heading_100" w:id="100"/>
      <w:r>
        <w:rPr>
          <w:rFonts w:eastAsia="等线" w:ascii="Arial" w:cs="Arial" w:hAnsi="Arial"/>
          <w:b w:val="true"/>
          <w:sz w:val="30"/>
        </w:rPr>
        <w:t>35.5 与VM的日常沟通节奏</w:t>
      </w:r>
      <w:bookmarkEnd w:id="100"/>
    </w:p>
    <w:p>
      <w:pPr>
        <w:spacing w:before="120" w:after="120" w:line="288" w:lineRule="auto"/>
        <w:ind w:left="0"/>
        <w:jc w:val="left"/>
      </w:pPr>
    </w:p>
    <w:p>
      <w:pPr>
        <w:numPr>
          <w:numId w:val="270"/>
        </w:numPr>
        <w:spacing w:before="120" w:after="120" w:line="288" w:lineRule="auto"/>
        <w:ind w:left="0"/>
        <w:jc w:val="left"/>
      </w:pPr>
      <w:r>
        <w:rPr>
          <w:rFonts w:eastAsia="等线" w:ascii="Arial" w:cs="Arial" w:hAnsi="Arial"/>
          <w:b w:val="true"/>
          <w:sz w:val="22"/>
        </w:rPr>
        <w:t>频率</w:t>
      </w:r>
      <w:r>
        <w:rPr>
          <w:rFonts w:eastAsia="等线" w:ascii="Arial" w:cs="Arial" w:hAnsi="Arial"/>
          <w:sz w:val="22"/>
        </w:rPr>
        <w:t>：至少每两周一次邮件同步，每月一次电话/视频会议。</w:t>
      </w:r>
    </w:p>
    <w:p>
      <w:pPr>
        <w:numPr>
          <w:numId w:val="271"/>
        </w:numPr>
        <w:spacing w:before="120" w:after="120" w:line="288" w:lineRule="auto"/>
        <w:ind w:left="0"/>
        <w:jc w:val="left"/>
      </w:pPr>
      <w:r>
        <w:rPr>
          <w:rFonts w:eastAsia="等线" w:ascii="Arial" w:cs="Arial" w:hAnsi="Arial"/>
          <w:b w:val="true"/>
          <w:sz w:val="22"/>
        </w:rPr>
        <w:t>沟通内容</w:t>
      </w:r>
      <w:r>
        <w:rPr>
          <w:rFonts w:eastAsia="等线" w:ascii="Arial" w:cs="Arial" w:hAnsi="Arial"/>
          <w:sz w:val="22"/>
        </w:rPr>
        <w:t>：不要仅仅要PO，要传递有价值的市场情报、竞品动态、你的产品升级计划，让VM觉得你是战略合作伙伴，而不是单纯的订单执行者。</w:t>
      </w:r>
    </w:p>
    <w:p>
      <w:pPr>
        <w:numPr>
          <w:numId w:val="272"/>
        </w:numPr>
        <w:spacing w:before="120" w:after="120" w:line="288" w:lineRule="auto"/>
        <w:ind w:left="0"/>
        <w:jc w:val="left"/>
      </w:pPr>
      <w:r>
        <w:rPr>
          <w:rFonts w:eastAsia="等线" w:ascii="Arial" w:cs="Arial" w:hAnsi="Arial"/>
          <w:b w:val="true"/>
          <w:sz w:val="22"/>
        </w:rPr>
        <w:t>节日/大促前</w:t>
      </w:r>
      <w:r>
        <w:rPr>
          <w:rFonts w:eastAsia="等线" w:ascii="Arial" w:cs="Arial" w:hAnsi="Arial"/>
          <w:sz w:val="22"/>
        </w:rPr>
        <w:t>：提前60天提供大促货量预估，确保排仓和资源。</w:t>
      </w:r>
    </w:p>
    <w:p>
      <w:pPr>
        <w:numPr>
          <w:numId w:val="273"/>
        </w:numPr>
        <w:spacing w:before="120" w:after="120" w:line="288" w:lineRule="auto"/>
        <w:ind w:left="0"/>
        <w:jc w:val="left"/>
      </w:pPr>
      <w:r>
        <w:rPr>
          <w:rFonts w:eastAsia="等线" w:ascii="Arial" w:cs="Arial" w:hAnsi="Arial"/>
          <w:b w:val="true"/>
          <w:sz w:val="22"/>
        </w:rPr>
        <w:t>文件资料</w:t>
      </w:r>
      <w:r>
        <w:rPr>
          <w:rFonts w:eastAsia="等线" w:ascii="Arial" w:cs="Arial" w:hAnsi="Arial"/>
          <w:sz w:val="22"/>
        </w:rPr>
        <w:t>：CI、SDS、认证更新等及时在后台提交，避免因合规问题被停售。</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三章构成了VC运营的“广告-选品-日常执行”铁三角。手册至此已涵盖从入门、成本、审核、广告、选品到运营的全流程闭环。如需对某个广告投放策略、选品模型或运营报表进一步细化及提供Excel模板，我可以继续完善。</w:t>
      </w:r>
    </w:p>
    <w:p>
      <w:pPr>
        <w:spacing w:before="120" w:after="120" w:line="288" w:lineRule="auto"/>
        <w:ind w:left="0"/>
        <w:jc w:val="left"/>
      </w:pPr>
    </w:p>
    <w:p>
      <w:pPr>
        <w:spacing w:before="120" w:after="120" w:line="288" w:lineRule="auto"/>
        <w:ind w:left="0"/>
        <w:jc w:val="left"/>
      </w:pPr>
      <w:r>
        <w:rPr>
          <w:rFonts w:eastAsia="等线" w:ascii="Arial" w:cs="Arial" w:hAnsi="Arial"/>
          <w:sz w:val="22"/>
        </w:rPr>
        <w:t>您提供的这份“优化利润率-项目表.xlsx”数据非常详实，覆盖了从采购成本、头程物流到各站点售价、FBA费用、佣金及广告的全链路成本结构。这是VC精细化运营的核心资产。</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我将基于您表格中的数据结构，补充一套</w:t>
      </w:r>
      <w:r>
        <w:rPr>
          <w:rFonts w:eastAsia="等线" w:ascii="Arial" w:cs="Arial" w:hAnsi="Arial"/>
          <w:b w:val="true"/>
          <w:sz w:val="22"/>
        </w:rPr>
        <w:t>利润率优化方法论与实战分析指南</w:t>
      </w:r>
      <w:r>
        <w:rPr>
          <w:rFonts w:eastAsia="等线" w:ascii="Arial" w:cs="Arial" w:hAnsi="Arial"/>
          <w:sz w:val="22"/>
        </w:rPr>
        <w:t>，帮助您根据表格数据找到成本黑洞和利润杠杆。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1" w:id="101"/>
      <w:r>
        <w:rPr>
          <w:rFonts w:eastAsia="等线" w:ascii="Arial" w:cs="Arial" w:hAnsi="Arial"/>
          <w:b w:val="true"/>
          <w:sz w:val="32"/>
        </w:rPr>
        <w:t>第三十六章 VC利润率优化：从数据到行动</w:t>
      </w:r>
      <w:bookmarkEnd w:id="101"/>
    </w:p>
    <w:p>
      <w:pPr>
        <w:spacing w:before="120" w:after="120" w:line="288" w:lineRule="auto"/>
        <w:ind w:left="0"/>
        <w:jc w:val="left"/>
      </w:pPr>
    </w:p>
    <w:p>
      <w:pPr>
        <w:pStyle w:val="3"/>
        <w:spacing w:before="300" w:after="120" w:line="288" w:lineRule="auto"/>
        <w:ind w:left="0"/>
        <w:jc w:val="left"/>
        <w:outlineLvl w:val="2"/>
      </w:pPr>
      <w:bookmarkStart w:name="heading_102" w:id="102"/>
      <w:r>
        <w:rPr>
          <w:rFonts w:eastAsia="等线" w:ascii="Arial" w:cs="Arial" w:hAnsi="Arial"/>
          <w:b w:val="true"/>
          <w:sz w:val="30"/>
        </w:rPr>
        <w:t>36.1 成本结构全景图（基于您的表格字段）</w:t>
      </w:r>
      <w:bookmarkEnd w:id="102"/>
    </w:p>
    <w:p>
      <w:pPr>
        <w:spacing w:before="120" w:after="120" w:line="288" w:lineRule="auto"/>
        <w:ind w:left="0"/>
        <w:jc w:val="left"/>
      </w:pPr>
    </w:p>
    <w:p>
      <w:pPr>
        <w:spacing w:before="120" w:after="120" w:line="288" w:lineRule="auto"/>
        <w:ind w:left="0"/>
        <w:jc w:val="left"/>
      </w:pPr>
      <w:r>
        <w:rPr>
          <w:rFonts w:eastAsia="等线" w:ascii="Arial" w:cs="Arial" w:hAnsi="Arial"/>
          <w:sz w:val="22"/>
        </w:rPr>
        <w:t>您的表格已经涵盖了VC利润测算的核心维度，我们将其归类为五大成本模块：</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优化抓手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采购成本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采购成本(含税/不含税)、采购占比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规模化降本、淘汰低效SKU</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头程物流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空运/海运/铁路单价、体积重、装箱数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装箱优化、混合物流策略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亚马逊费用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FBA配送费、佣金比例、佣金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轻小件认证、包装优化降FBA</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营销费用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广告占比、促销占比、广告/促销费用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ACOS管控、促销节奏设计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其他费用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退货率、送测、其他占比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质量改进、评价管理</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关键公式（基于您的表格逻辑）：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毛利 = 售价 - 采购成本(不含税) - 头程 - FBA费 - 佣金 - 广告 - 促销 - 其他</w:t>
              <w:br/>
              <w:t>毛利率 = 毛利 / 售价</w:t>
              <w:br/>
            </w:r>
            <w:r>
              <w:rPr>
                <w:rFonts w:eastAsia="Consolas" w:ascii="Consolas" w:cs="Consolas" w:hAnsi="Consolas"/>
                <w:sz w:val="22"/>
              </w:rPr>
              <w:t>NET PPM = (售价 - 成本合计) / 售价</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3" w:id="103"/>
      <w:r>
        <w:rPr>
          <w:rFonts w:eastAsia="等线" w:ascii="Arial" w:cs="Arial" w:hAnsi="Arial"/>
          <w:b w:val="true"/>
          <w:sz w:val="30"/>
        </w:rPr>
        <w:t>36.2 基于数据的六大优化策略</w:t>
      </w:r>
      <w:bookmarkEnd w:id="103"/>
    </w:p>
    <w:p>
      <w:pPr>
        <w:spacing w:before="120" w:after="120" w:line="288" w:lineRule="auto"/>
        <w:ind w:left="0"/>
        <w:jc w:val="left"/>
      </w:pPr>
    </w:p>
    <w:p>
      <w:pPr>
        <w:pStyle w:val="4"/>
        <w:spacing w:before="260" w:after="120" w:line="288" w:lineRule="auto"/>
        <w:ind w:left="0"/>
        <w:jc w:val="left"/>
        <w:outlineLvl w:val="3"/>
      </w:pPr>
      <w:bookmarkStart w:name="heading_104" w:id="104"/>
      <w:r>
        <w:rPr>
          <w:rFonts w:eastAsia="等线" w:ascii="Arial" w:cs="Arial" w:hAnsi="Arial"/>
          <w:b w:val="true"/>
          <w:sz w:val="28"/>
        </w:rPr>
        <w:t>策略一：单品利润健康度诊断——建立红黄绿灯</w:t>
      </w:r>
      <w:bookmarkEnd w:id="10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方法：</w:t>
      </w:r>
      <w:r>
        <w:rPr>
          <w:rFonts w:eastAsia="等线" w:ascii="Arial" w:cs="Arial" w:hAnsi="Arial"/>
          <w:sz w:val="22"/>
        </w:rPr>
        <w:t xml:space="preserve"> 在表格中新增字段，自动判定每个SKU各站点的利润健康度。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判定标准建议：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红灯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立即暂停广告，排查成本，考虑提价或淘汰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黄灯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- 25%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控制广告占比&lt;8%，优化头程/包装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绿灯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可加大广告投入至15%，争取Bulk Buy</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从您的表格数据看：</w:t>
      </w:r>
    </w:p>
    <w:p>
      <w:pPr>
        <w:spacing w:before="120" w:after="120" w:line="288" w:lineRule="auto"/>
        <w:ind w:left="0"/>
        <w:jc w:val="left"/>
      </w:pPr>
      <w:r>
        <w:rPr>
          <w:rFonts w:eastAsia="等线" w:ascii="Arial" w:cs="Arial" w:hAnsi="Arial"/>
          <w:sz w:val="22"/>
        </w:rPr>
        <w:t>以空净AP100A为例，美国站DI价$49.99，海运头程$1.5/件，毛利率约18%，处于黄灯区，可通过以下优化进入绿灯：</w:t>
      </w:r>
    </w:p>
    <w:p>
      <w:pPr>
        <w:numPr>
          <w:numId w:val="274"/>
        </w:numPr>
        <w:spacing w:before="120" w:after="120" w:line="288" w:lineRule="auto"/>
        <w:ind w:left="0"/>
        <w:jc w:val="left"/>
      </w:pPr>
      <w:r>
        <w:rPr>
          <w:rFonts w:eastAsia="等线" w:ascii="Arial" w:cs="Arial" w:hAnsi="Arial"/>
          <w:sz w:val="22"/>
        </w:rPr>
        <w:t>装箱数从4提升至9，体积重利用率提升→头程单件成本可降至$1.1</w:t>
      </w:r>
    </w:p>
    <w:p>
      <w:pPr>
        <w:numPr>
          <w:numId w:val="275"/>
        </w:numPr>
        <w:spacing w:before="120" w:after="120" w:line="288" w:lineRule="auto"/>
        <w:ind w:left="0"/>
        <w:jc w:val="left"/>
      </w:pPr>
      <w:r>
        <w:rPr>
          <w:rFonts w:eastAsia="等线" w:ascii="Arial" w:cs="Arial" w:hAnsi="Arial"/>
          <w:sz w:val="22"/>
        </w:rPr>
        <w:t>广告占比从13%控至10%，毛利率可提升3%</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5" w:id="105"/>
      <w:r>
        <w:rPr>
          <w:rFonts w:eastAsia="等线" w:ascii="Arial" w:cs="Arial" w:hAnsi="Arial"/>
          <w:b w:val="true"/>
          <w:sz w:val="28"/>
        </w:rPr>
        <w:t>策略二：头程物流组合拳——基于重量体积比分级</w:t>
      </w:r>
      <w:bookmarkEnd w:id="10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核心公式：体积重 = 长×宽×高/6000（海运）</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从您的表格“体积重”和“重量体积”字段，可计算每个SKU的</w:t>
      </w:r>
      <w:r>
        <w:rPr>
          <w:rFonts w:eastAsia="等线" w:ascii="Arial" w:cs="Arial" w:hAnsi="Arial"/>
          <w:b w:val="true"/>
          <w:sz w:val="22"/>
        </w:rPr>
        <w:t>物流效率比</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物流效率比 = 实重 / 体积重</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最优物流方式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代表产品(来自您的数据)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海运/铁路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除螨仪(2.3kg,体积重3.7) = 0.62 → 轻泡货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0.8 - 1.2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海运优先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空净AP100A(1.6kg,体积重1.9) ≈ 均衡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轻泡货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需优化包装/拼箱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滤芯(0.3kg,体积重2.1) → 严重泡货！</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优化行动：</w:t>
      </w:r>
    </w:p>
    <w:p>
      <w:pPr>
        <w:numPr>
          <w:numId w:val="276"/>
        </w:numPr>
        <w:spacing w:before="120" w:after="120" w:line="288" w:lineRule="auto"/>
        <w:ind w:left="0"/>
        <w:jc w:val="left"/>
      </w:pPr>
      <w:r>
        <w:rPr>
          <w:rFonts w:eastAsia="等线" w:ascii="Arial" w:cs="Arial" w:hAnsi="Arial"/>
          <w:sz w:val="22"/>
        </w:rPr>
        <w:t>滤芯类产品：当前24或27个一箱，体积重远超实重。</w:t>
      </w:r>
      <w:r>
        <w:rPr>
          <w:rFonts w:eastAsia="等线" w:ascii="Arial" w:cs="Arial" w:hAnsi="Arial"/>
          <w:b w:val="true"/>
          <w:sz w:val="22"/>
        </w:rPr>
        <w:t>建议</w:t>
      </w:r>
      <w:r>
        <w:rPr>
          <w:rFonts w:eastAsia="等线" w:ascii="Arial" w:cs="Arial" w:hAnsi="Arial"/>
          <w:sz w:val="22"/>
        </w:rPr>
        <w:t>：压缩包装空隙，目标将装箱数提升至50+。</w:t>
      </w:r>
    </w:p>
    <w:p>
      <w:pPr>
        <w:numPr>
          <w:numId w:val="277"/>
        </w:numPr>
        <w:spacing w:before="120" w:after="120" w:line="288" w:lineRule="auto"/>
        <w:ind w:left="0"/>
        <w:jc w:val="left"/>
      </w:pPr>
      <w:r>
        <w:rPr>
          <w:rFonts w:eastAsia="等线" w:ascii="Arial" w:cs="Arial" w:hAnsi="Arial"/>
          <w:sz w:val="22"/>
        </w:rPr>
        <w:t>空净330：单件3.05kg，体积重5.34，属偏泡货。</w:t>
      </w:r>
      <w:r>
        <w:rPr>
          <w:rFonts w:eastAsia="等线" w:ascii="Arial" w:cs="Arial" w:hAnsi="Arial"/>
          <w:b w:val="true"/>
          <w:sz w:val="22"/>
        </w:rPr>
        <w:t>建议</w:t>
      </w:r>
      <w:r>
        <w:rPr>
          <w:rFonts w:eastAsia="等线" w:ascii="Arial" w:cs="Arial" w:hAnsi="Arial"/>
          <w:sz w:val="22"/>
        </w:rPr>
        <w:t>：考虑拆分滤芯单独包装以降低主机包装体积。</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6" w:id="106"/>
      <w:r>
        <w:rPr>
          <w:rFonts w:eastAsia="等线" w:ascii="Arial" w:cs="Arial" w:hAnsi="Arial"/>
          <w:b w:val="true"/>
          <w:sz w:val="28"/>
        </w:rPr>
        <w:t>策略三：FBA费用精算——SIOC认证的价值量化</w:t>
      </w:r>
      <w:bookmarkEnd w:id="106"/>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从您的表格可以看出不同站点的FBA配送费差异巨大（如除螨仪德国€5.69 vs 英国£5.19）。</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FBA费用占售价比例对比（基于您的数据）：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FBA占比</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优化空间</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SIOC可降至€4.80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SIOC可节省£0.50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AP100A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严重偏高</w:t>
            </w:r>
            <w:r>
              <w:rPr>
                <w:rFonts w:eastAsia="等线" w:ascii="Arial" w:cs="Arial" w:hAnsi="Arial"/>
                <w:sz w:val="22"/>
              </w:rPr>
              <w:t>，必须申请SIOC</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关键洞察：</w:t>
      </w:r>
      <w:r>
        <w:rPr>
          <w:rFonts w:eastAsia="等线" w:ascii="Arial" w:cs="Arial" w:hAnsi="Arial"/>
          <w:sz w:val="22"/>
        </w:rPr>
        <w:t xml:space="preserve"> AP100A的美国站FBA费占比高达15.2%，这是利润杀手。获得SIOC认证后，预计可降至$5.80，直接释放3.6%的利润空间。</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7" w:id="107"/>
      <w:r>
        <w:rPr>
          <w:rFonts w:eastAsia="等线" w:ascii="Arial" w:cs="Arial" w:hAnsi="Arial"/>
          <w:b w:val="true"/>
          <w:sz w:val="28"/>
        </w:rPr>
        <w:t>策略四：促销利润底线计算——避免越卖越亏</w:t>
      </w:r>
      <w:bookmarkEnd w:id="107"/>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从您的表格可提取不同Coupon力度下的真实利润率（以除螨仪海运至德国为例）：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Coupon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健康</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可接受</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谨慎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红线</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20%(PD)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严重亏损边缘</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w:t>
      </w:r>
      <w:r>
        <w:rPr>
          <w:rFonts w:eastAsia="等线" w:ascii="Arial" w:cs="Arial" w:hAnsi="Arial"/>
          <w:sz w:val="22"/>
        </w:rPr>
        <w:t xml:space="preserve"> 在表格中新增“促销底线价”列，公式自动计算确保毛利率≥15%的最优Coupon上限。除螨仪建议Coupon不超过10%。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8" w:id="108"/>
      <w:r>
        <w:rPr>
          <w:rFonts w:eastAsia="等线" w:ascii="Arial" w:cs="Arial" w:hAnsi="Arial"/>
          <w:b w:val="true"/>
          <w:sz w:val="28"/>
        </w:rPr>
        <w:t>策略五：渠道利润对比——哪个站点最赚钱？</w:t>
      </w:r>
      <w:bookmarkEnd w:id="10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同一SKU跨站点利润对比（除螨仪海运为例）：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售价(本币)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毛利(本币)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决策建议：</w:t>
      </w:r>
    </w:p>
    <w:p>
      <w:pPr>
        <w:numPr>
          <w:numId w:val="278"/>
        </w:numPr>
        <w:spacing w:before="120" w:after="120" w:line="288" w:lineRule="auto"/>
        <w:ind w:left="0"/>
        <w:jc w:val="left"/>
      </w:pPr>
      <w:r>
        <w:rPr>
          <w:rFonts w:eastAsia="等线" w:ascii="Arial" w:cs="Arial" w:hAnsi="Arial"/>
          <w:sz w:val="22"/>
        </w:rPr>
        <w:t>广告预算向德国站倾斜(利润最高)</w:t>
      </w:r>
    </w:p>
    <w:p>
      <w:pPr>
        <w:numPr>
          <w:numId w:val="279"/>
        </w:numPr>
        <w:spacing w:before="120" w:after="120" w:line="288" w:lineRule="auto"/>
        <w:ind w:left="0"/>
        <w:jc w:val="left"/>
      </w:pPr>
      <w:r>
        <w:rPr>
          <w:rFonts w:eastAsia="等线" w:ascii="Arial" w:cs="Arial" w:hAnsi="Arial"/>
          <w:sz w:val="22"/>
        </w:rPr>
        <w:t>西班牙站FBA费较高，优先推进SIOC或考虑轻量包装</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9" w:id="109"/>
      <w:r>
        <w:rPr>
          <w:rFonts w:eastAsia="等线" w:ascii="Arial" w:cs="Arial" w:hAnsi="Arial"/>
          <w:b w:val="true"/>
          <w:sz w:val="28"/>
        </w:rPr>
        <w:t>策略六：新品利润率前置规划</w:t>
      </w:r>
      <w:bookmarkEnd w:id="10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对于表格中待上市新品（如R0012EU无刷精密电磨），建议在开发阶段就用此表格做倒推定价：</w:t>
      </w:r>
    </w:p>
    <w:p>
      <w:pPr>
        <w:spacing w:before="120" w:after="120" w:line="288" w:lineRule="auto"/>
        <w:ind w:left="0"/>
        <w:jc w:val="left"/>
      </w:pPr>
    </w:p>
    <w:p>
      <w:pPr>
        <w:numPr>
          <w:numId w:val="280"/>
        </w:numPr>
        <w:spacing w:before="120" w:after="120" w:line="288" w:lineRule="auto"/>
        <w:ind w:left="0"/>
        <w:jc w:val="left"/>
      </w:pPr>
      <w:r>
        <w:rPr>
          <w:rFonts w:eastAsia="等线" w:ascii="Arial" w:cs="Arial" w:hAnsi="Arial"/>
          <w:b w:val="true"/>
          <w:sz w:val="22"/>
        </w:rPr>
        <w:t>确定目标毛利率</w:t>
      </w:r>
      <w:r>
        <w:rPr>
          <w:rFonts w:eastAsia="等线" w:ascii="Arial" w:cs="Arial" w:hAnsi="Arial"/>
          <w:sz w:val="22"/>
        </w:rPr>
        <w:t>（新品建议≥30%以预留广告空间）</w:t>
      </w:r>
    </w:p>
    <w:p>
      <w:pPr>
        <w:numPr>
          <w:numId w:val="281"/>
        </w:numPr>
        <w:spacing w:before="120" w:after="120" w:line="288" w:lineRule="auto"/>
        <w:ind w:left="0"/>
        <w:jc w:val="left"/>
      </w:pPr>
      <w:r>
        <w:rPr>
          <w:rFonts w:eastAsia="等线" w:ascii="Arial" w:cs="Arial" w:hAnsi="Arial"/>
          <w:b w:val="true"/>
          <w:sz w:val="22"/>
        </w:rPr>
        <w:t>填入预估成本</w:t>
      </w:r>
      <w:r>
        <w:rPr>
          <w:rFonts w:eastAsia="等线" w:ascii="Arial" w:cs="Arial" w:hAnsi="Arial"/>
          <w:sz w:val="22"/>
        </w:rPr>
        <w:t>：采购价、头程、FBA费（参考近似尺寸竞品）</w:t>
      </w:r>
    </w:p>
    <w:p>
      <w:pPr>
        <w:numPr>
          <w:numId w:val="282"/>
        </w:numPr>
        <w:spacing w:before="120" w:after="120" w:line="288" w:lineRule="auto"/>
        <w:ind w:left="0"/>
        <w:jc w:val="left"/>
      </w:pPr>
      <w:r>
        <w:rPr>
          <w:rFonts w:eastAsia="等线" w:ascii="Arial" w:cs="Arial" w:hAnsi="Arial"/>
          <w:b w:val="true"/>
          <w:sz w:val="22"/>
        </w:rPr>
        <w:t>反推最低售价</w:t>
      </w:r>
      <w:r>
        <w:rPr>
          <w:rFonts w:eastAsia="等线" w:ascii="Arial" w:cs="Arial" w:hAnsi="Arial"/>
          <w:sz w:val="22"/>
        </w:rPr>
        <w:t>：售价 ≥ (采购+头程+FBA) / (1 - 目标毛利率 - 佣金率)</w:t>
      </w:r>
    </w:p>
    <w:p>
      <w:pPr>
        <w:numPr>
          <w:numId w:val="283"/>
        </w:numPr>
        <w:spacing w:before="120" w:after="120" w:line="288" w:lineRule="auto"/>
        <w:ind w:left="0"/>
        <w:jc w:val="left"/>
      </w:pPr>
      <w:r>
        <w:rPr>
          <w:rFonts w:eastAsia="等线" w:ascii="Arial" w:cs="Arial" w:hAnsi="Arial"/>
          <w:b w:val="true"/>
          <w:sz w:val="22"/>
        </w:rPr>
        <w:t>验证市场接受度</w:t>
      </w:r>
      <w:r>
        <w:rPr>
          <w:rFonts w:eastAsia="等线" w:ascii="Arial" w:cs="Arial" w:hAnsi="Arial"/>
          <w:sz w:val="22"/>
        </w:rPr>
        <w:t>：如果反推价格远超竞品均价，需重新谈判采购价或降配</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0" w:id="110"/>
      <w:r>
        <w:rPr>
          <w:rFonts w:eastAsia="等线" w:ascii="Arial" w:cs="Arial" w:hAnsi="Arial"/>
          <w:b w:val="true"/>
          <w:sz w:val="30"/>
        </w:rPr>
        <w:t>36.3 建议补充的“利润优化仪表盘”字段</w:t>
      </w:r>
      <w:bookmarkEnd w:id="110"/>
    </w:p>
    <w:p>
      <w:pPr>
        <w:spacing w:before="120" w:after="120" w:line="288" w:lineRule="auto"/>
        <w:ind w:left="0"/>
        <w:jc w:val="left"/>
      </w:pPr>
    </w:p>
    <w:p>
      <w:pPr>
        <w:spacing w:before="120" w:after="120" w:line="288" w:lineRule="auto"/>
        <w:ind w:left="0"/>
        <w:jc w:val="left"/>
      </w:pPr>
      <w:r>
        <w:rPr>
          <w:rFonts w:eastAsia="等线" w:ascii="Arial" w:cs="Arial" w:hAnsi="Arial"/>
          <w:sz w:val="22"/>
        </w:rPr>
        <w:t>基于您的现有表格，建议新增以下计算列，让优化决策一目了然：</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公式/用途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优化决策触发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利润等级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=IF(毛利率&gt;0.25,"绿",IF(毛利率&gt;0.1,"黄","红"))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红色立即停广告排查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FBA费占比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=FBA配送费/售价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&gt;12%需申请SIOC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保本Coupon上限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=ROUNDDOWN((毛利-安全边际)/售价*100,0)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促销策略依据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物流效率比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=实重/体积重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&lt;0.6为泡货标记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净利润/月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 × 月均销量 - 固定成本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决定是否保留SKU</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1" w:id="111"/>
      <w:r>
        <w:rPr>
          <w:rFonts w:eastAsia="等线" w:ascii="Arial" w:cs="Arial" w:hAnsi="Arial"/>
          <w:b w:val="true"/>
          <w:sz w:val="30"/>
        </w:rPr>
        <w:t>36.4 利润率优化优先级排序（30/60/90天计划）</w:t>
      </w:r>
      <w:bookmarkEnd w:id="1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30天速赢（低投入高回报）：</w:t>
      </w:r>
    </w:p>
    <w:p>
      <w:pPr>
        <w:numPr>
          <w:numId w:val="284"/>
        </w:numPr>
        <w:spacing w:before="120" w:after="120" w:line="288" w:lineRule="auto"/>
        <w:ind w:left="0"/>
        <w:jc w:val="left"/>
      </w:pPr>
      <w:r>
        <w:rPr>
          <w:rFonts w:eastAsia="等线" w:ascii="Arial" w:cs="Arial" w:hAnsi="Arial"/>
          <w:sz w:val="22"/>
        </w:rPr>
        <w:t>补全表格中所有SKU各站点的成本数据（部分空值需完善）</w:t>
      </w:r>
    </w:p>
    <w:p>
      <w:pPr>
        <w:numPr>
          <w:numId w:val="285"/>
        </w:numPr>
        <w:spacing w:before="120" w:after="120" w:line="288" w:lineRule="auto"/>
        <w:ind w:left="0"/>
        <w:jc w:val="left"/>
      </w:pPr>
      <w:r>
        <w:rPr>
          <w:rFonts w:eastAsia="等线" w:ascii="Arial" w:cs="Arial" w:hAnsi="Arial"/>
          <w:sz w:val="22"/>
        </w:rPr>
        <w:t>对所有FBA费占比&gt;12%的ASIN申请SIOC认证</w:t>
      </w:r>
    </w:p>
    <w:p>
      <w:pPr>
        <w:numPr>
          <w:numId w:val="286"/>
        </w:numPr>
        <w:spacing w:before="120" w:after="120" w:line="288" w:lineRule="auto"/>
        <w:ind w:left="0"/>
        <w:jc w:val="left"/>
      </w:pPr>
      <w:r>
        <w:rPr>
          <w:rFonts w:eastAsia="等线" w:ascii="Arial" w:cs="Arial" w:hAnsi="Arial"/>
          <w:sz w:val="22"/>
        </w:rPr>
        <w:t>暂停毛利率&lt;10%产品的非品牌广告</w:t>
      </w:r>
    </w:p>
    <w:p>
      <w:pPr>
        <w:numPr>
          <w:numId w:val="287"/>
        </w:numPr>
        <w:spacing w:before="120" w:after="120" w:line="288" w:lineRule="auto"/>
        <w:ind w:left="0"/>
        <w:jc w:val="left"/>
      </w:pPr>
      <w:r>
        <w:rPr>
          <w:rFonts w:eastAsia="等线" w:ascii="Arial" w:cs="Arial" w:hAnsi="Arial"/>
          <w:sz w:val="22"/>
        </w:rPr>
        <w:t>与物流商谈判海运价格（集中量大的SKU统一询价）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60天结构优化：</w:t>
      </w:r>
    </w:p>
    <w:p>
      <w:pPr>
        <w:numPr>
          <w:numId w:val="288"/>
        </w:numPr>
        <w:spacing w:before="120" w:after="120" w:line="288" w:lineRule="auto"/>
        <w:ind w:left="0"/>
        <w:jc w:val="left"/>
      </w:pPr>
      <w:r>
        <w:rPr>
          <w:rFonts w:eastAsia="等线" w:ascii="Arial" w:cs="Arial" w:hAnsi="Arial"/>
          <w:sz w:val="22"/>
        </w:rPr>
        <w:t>优化泡货包装（如滤芯类增大装箱数）</w:t>
      </w:r>
    </w:p>
    <w:p>
      <w:pPr>
        <w:numPr>
          <w:numId w:val="289"/>
        </w:numPr>
        <w:spacing w:before="120" w:after="120" w:line="288" w:lineRule="auto"/>
        <w:ind w:left="0"/>
        <w:jc w:val="left"/>
      </w:pPr>
      <w:r>
        <w:rPr>
          <w:rFonts w:eastAsia="等线" w:ascii="Arial" w:cs="Arial" w:hAnsi="Arial"/>
          <w:sz w:val="22"/>
        </w:rPr>
        <w:t>与VM沟通，将毛利率&lt;15%的产品PO价合理提价</w:t>
      </w:r>
    </w:p>
    <w:p>
      <w:pPr>
        <w:numPr>
          <w:numId w:val="290"/>
        </w:numPr>
        <w:spacing w:before="120" w:after="120" w:line="288" w:lineRule="auto"/>
        <w:ind w:left="0"/>
        <w:jc w:val="left"/>
      </w:pPr>
      <w:r>
        <w:rPr>
          <w:rFonts w:eastAsia="等线" w:ascii="Arial" w:cs="Arial" w:hAnsi="Arial"/>
          <w:sz w:val="22"/>
        </w:rPr>
        <w:t>建立月度利润回顾机制，表格数据自动刷新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90天战略调整：</w:t>
      </w:r>
    </w:p>
    <w:p>
      <w:pPr>
        <w:numPr>
          <w:numId w:val="291"/>
        </w:numPr>
        <w:spacing w:before="120" w:after="120" w:line="288" w:lineRule="auto"/>
        <w:ind w:left="0"/>
        <w:jc w:val="left"/>
      </w:pPr>
      <w:r>
        <w:rPr>
          <w:rFonts w:eastAsia="等线" w:ascii="Arial" w:cs="Arial" w:hAnsi="Arial"/>
          <w:sz w:val="22"/>
        </w:rPr>
        <w:t>淘汰连续3个月毛利率&lt;5%的SKU</w:t>
      </w:r>
    </w:p>
    <w:p>
      <w:pPr>
        <w:numPr>
          <w:numId w:val="292"/>
        </w:numPr>
        <w:spacing w:before="120" w:after="120" w:line="288" w:lineRule="auto"/>
        <w:ind w:left="0"/>
        <w:jc w:val="left"/>
      </w:pPr>
      <w:r>
        <w:rPr>
          <w:rFonts w:eastAsia="等线" w:ascii="Arial" w:cs="Arial" w:hAnsi="Arial"/>
          <w:sz w:val="22"/>
        </w:rPr>
        <w:t>新品开发时用此表格做利润可行性评估（门禁机制）</w:t>
      </w:r>
    </w:p>
    <w:p>
      <w:pPr>
        <w:numPr>
          <w:numId w:val="293"/>
        </w:numPr>
        <w:spacing w:before="120" w:after="120" w:line="288" w:lineRule="auto"/>
        <w:ind w:left="0"/>
        <w:jc w:val="left"/>
      </w:pPr>
      <w:r>
        <w:rPr>
          <w:rFonts w:eastAsia="等线" w:ascii="Arial" w:cs="Arial" w:hAnsi="Arial"/>
          <w:sz w:val="22"/>
        </w:rPr>
        <w:t>探索铁路/海运混合模式降低头程成本</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如果您需要，我可以协助针对表格中的</w:t>
      </w:r>
      <w:r>
        <w:rPr>
          <w:rFonts w:eastAsia="等线" w:ascii="Arial" w:cs="Arial" w:hAnsi="Arial"/>
          <w:b w:val="true"/>
          <w:sz w:val="22"/>
        </w:rPr>
        <w:t>特定SKU做深度利润解剖</w:t>
      </w:r>
      <w:r>
        <w:rPr>
          <w:rFonts w:eastAsia="等线" w:ascii="Arial" w:cs="Arial" w:hAnsi="Arial"/>
          <w:sz w:val="22"/>
        </w:rPr>
        <w:t>，或者帮您</w:t>
      </w:r>
      <w:r>
        <w:rPr>
          <w:rFonts w:eastAsia="等线" w:ascii="Arial" w:cs="Arial" w:hAnsi="Arial"/>
          <w:b w:val="true"/>
          <w:sz w:val="22"/>
        </w:rPr>
        <w:t>设计一套自动化的利润监控Excel模板</w:t>
      </w:r>
      <w:r>
        <w:rPr>
          <w:rFonts w:eastAsia="等线" w:ascii="Arial" w:cs="Arial" w:hAnsi="Arial"/>
          <w:sz w:val="22"/>
        </w:rPr>
        <w:t>（含条件格式红黄绿灯、利润瀑布图等）。</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99089">
    <w:lvl>
      <w:numFmt w:val="bullet"/>
      <w:suff w:val="tab"/>
      <w:lvlText w:val="•"/>
      <w:rPr>
        <w:color w:val="3370ff"/>
      </w:rPr>
    </w:lvl>
  </w:abstractNum>
  <w:abstractNum w:abstractNumId="1899090">
    <w:lvl>
      <w:numFmt w:val="bullet"/>
      <w:suff w:val="tab"/>
      <w:lvlText w:val="•"/>
      <w:rPr>
        <w:color w:val="3370ff"/>
      </w:rPr>
    </w:lvl>
  </w:abstractNum>
  <w:abstractNum w:abstractNumId="1899091">
    <w:lvl>
      <w:numFmt w:val="bullet"/>
      <w:suff w:val="tab"/>
      <w:lvlText w:val="•"/>
      <w:rPr>
        <w:color w:val="3370ff"/>
      </w:rPr>
    </w:lvl>
  </w:abstractNum>
  <w:abstractNum w:abstractNumId="1899092">
    <w:lvl>
      <w:numFmt w:val="bullet"/>
      <w:suff w:val="tab"/>
      <w:lvlText w:val="•"/>
      <w:rPr>
        <w:color w:val="3370ff"/>
      </w:rPr>
    </w:lvl>
  </w:abstractNum>
  <w:abstractNum w:abstractNumId="1899093">
    <w:lvl>
      <w:numFmt w:val="bullet"/>
      <w:suff w:val="tab"/>
      <w:lvlText w:val="•"/>
      <w:rPr>
        <w:color w:val="3370ff"/>
      </w:rPr>
    </w:lvl>
  </w:abstractNum>
  <w:abstractNum w:abstractNumId="1899094">
    <w:lvl>
      <w:numFmt w:val="bullet"/>
      <w:suff w:val="tab"/>
      <w:lvlText w:val="•"/>
      <w:rPr>
        <w:color w:val="3370ff"/>
      </w:rPr>
    </w:lvl>
  </w:abstractNum>
  <w:abstractNum w:abstractNumId="1899095">
    <w:lvl>
      <w:numFmt w:val="bullet"/>
      <w:suff w:val="tab"/>
      <w:lvlText w:val="•"/>
      <w:rPr>
        <w:color w:val="3370ff"/>
      </w:rPr>
    </w:lvl>
  </w:abstractNum>
  <w:abstractNum w:abstractNumId="1899096">
    <w:lvl>
      <w:numFmt w:val="bullet"/>
      <w:suff w:val="tab"/>
      <w:lvlText w:val="•"/>
      <w:rPr>
        <w:color w:val="3370ff"/>
      </w:rPr>
    </w:lvl>
  </w:abstractNum>
  <w:abstractNum w:abstractNumId="1899097">
    <w:lvl>
      <w:numFmt w:val="bullet"/>
      <w:suff w:val="tab"/>
      <w:lvlText w:val="•"/>
      <w:rPr>
        <w:color w:val="3370ff"/>
      </w:rPr>
    </w:lvl>
  </w:abstractNum>
  <w:abstractNum w:abstractNumId="1899098">
    <w:lvl>
      <w:numFmt w:val="bullet"/>
      <w:suff w:val="tab"/>
      <w:lvlText w:val="•"/>
      <w:rPr>
        <w:color w:val="3370ff"/>
      </w:rPr>
    </w:lvl>
  </w:abstractNum>
  <w:abstractNum w:abstractNumId="1899099">
    <w:lvl>
      <w:numFmt w:val="bullet"/>
      <w:suff w:val="tab"/>
      <w:lvlText w:val="•"/>
      <w:rPr>
        <w:color w:val="3370ff"/>
      </w:rPr>
    </w:lvl>
  </w:abstractNum>
  <w:abstractNum w:abstractNumId="1899100">
    <w:lvl>
      <w:numFmt w:val="bullet"/>
      <w:suff w:val="tab"/>
      <w:lvlText w:val="•"/>
      <w:rPr>
        <w:color w:val="3370ff"/>
      </w:rPr>
    </w:lvl>
  </w:abstractNum>
  <w:abstractNum w:abstractNumId="1899101">
    <w:lvl>
      <w:numFmt w:val="bullet"/>
      <w:suff w:val="tab"/>
      <w:lvlText w:val="•"/>
      <w:rPr>
        <w:color w:val="3370ff"/>
      </w:rPr>
    </w:lvl>
  </w:abstractNum>
  <w:abstractNum w:abstractNumId="1899102">
    <w:lvl>
      <w:numFmt w:val="bullet"/>
      <w:suff w:val="tab"/>
      <w:lvlText w:val="•"/>
      <w:rPr>
        <w:color w:val="3370ff"/>
      </w:rPr>
    </w:lvl>
  </w:abstractNum>
  <w:abstractNum w:abstractNumId="1899103">
    <w:lvl>
      <w:start w:val="1"/>
      <w:numFmt w:val="decimal"/>
      <w:suff w:val="tab"/>
      <w:lvlText w:val="%1."/>
      <w:rPr>
        <w:color w:val="3370ff"/>
      </w:rPr>
    </w:lvl>
  </w:abstractNum>
  <w:abstractNum w:abstractNumId="1899104">
    <w:lvl>
      <w:start w:val="2"/>
      <w:numFmt w:val="decimal"/>
      <w:suff w:val="tab"/>
      <w:lvlText w:val="%1."/>
      <w:rPr>
        <w:color w:val="3370ff"/>
      </w:rPr>
    </w:lvl>
  </w:abstractNum>
  <w:abstractNum w:abstractNumId="1899105">
    <w:lvl>
      <w:start w:val="3"/>
      <w:numFmt w:val="decimal"/>
      <w:suff w:val="tab"/>
      <w:lvlText w:val="%1."/>
      <w:rPr>
        <w:color w:val="3370ff"/>
      </w:rPr>
    </w:lvl>
  </w:abstractNum>
  <w:abstractNum w:abstractNumId="1899106">
    <w:lvl>
      <w:start w:val="4"/>
      <w:numFmt w:val="decimal"/>
      <w:suff w:val="tab"/>
      <w:lvlText w:val="%1."/>
      <w:rPr>
        <w:color w:val="3370ff"/>
      </w:rPr>
    </w:lvl>
  </w:abstractNum>
  <w:abstractNum w:abstractNumId="1899107">
    <w:lvl>
      <w:start w:val="5"/>
      <w:numFmt w:val="decimal"/>
      <w:suff w:val="tab"/>
      <w:lvlText w:val="%1."/>
      <w:rPr>
        <w:color w:val="3370ff"/>
      </w:rPr>
    </w:lvl>
  </w:abstractNum>
  <w:abstractNum w:abstractNumId="1899108">
    <w:lvl>
      <w:numFmt w:val="bullet"/>
      <w:suff w:val="tab"/>
      <w:lvlText w:val="•"/>
      <w:rPr>
        <w:color w:val="3370ff"/>
      </w:rPr>
    </w:lvl>
  </w:abstractNum>
  <w:abstractNum w:abstractNumId="1899109">
    <w:lvl>
      <w:numFmt w:val="bullet"/>
      <w:suff w:val="tab"/>
      <w:lvlText w:val="•"/>
      <w:rPr>
        <w:color w:val="3370ff"/>
      </w:rPr>
    </w:lvl>
  </w:abstractNum>
  <w:abstractNum w:abstractNumId="1899110">
    <w:lvl>
      <w:numFmt w:val="bullet"/>
      <w:suff w:val="tab"/>
      <w:lvlText w:val="•"/>
      <w:rPr>
        <w:color w:val="3370ff"/>
      </w:rPr>
    </w:lvl>
  </w:abstractNum>
  <w:abstractNum w:abstractNumId="1899111">
    <w:lvl>
      <w:numFmt w:val="bullet"/>
      <w:suff w:val="tab"/>
      <w:lvlText w:val="•"/>
      <w:rPr>
        <w:color w:val="3370ff"/>
      </w:rPr>
    </w:lvl>
  </w:abstractNum>
  <w:abstractNum w:abstractNumId="1899112">
    <w:lvl>
      <w:numFmt w:val="bullet"/>
      <w:suff w:val="tab"/>
      <w:lvlText w:val="•"/>
      <w:rPr>
        <w:color w:val="3370ff"/>
      </w:rPr>
    </w:lvl>
  </w:abstractNum>
  <w:abstractNum w:abstractNumId="1899113">
    <w:lvl>
      <w:numFmt w:val="bullet"/>
      <w:suff w:val="tab"/>
      <w:lvlText w:val="•"/>
      <w:rPr>
        <w:color w:val="3370ff"/>
      </w:rPr>
    </w:lvl>
  </w:abstractNum>
  <w:abstractNum w:abstractNumId="1899114">
    <w:lvl>
      <w:numFmt w:val="bullet"/>
      <w:suff w:val="tab"/>
      <w:lvlText w:val="•"/>
      <w:rPr>
        <w:color w:val="3370ff"/>
      </w:rPr>
    </w:lvl>
  </w:abstractNum>
  <w:abstractNum w:abstractNumId="1899115">
    <w:lvl>
      <w:numFmt w:val="bullet"/>
      <w:suff w:val="tab"/>
      <w:lvlText w:val="•"/>
      <w:rPr>
        <w:color w:val="3370ff"/>
      </w:rPr>
    </w:lvl>
  </w:abstractNum>
  <w:abstractNum w:abstractNumId="1899116">
    <w:lvl>
      <w:numFmt w:val="bullet"/>
      <w:suff w:val="tab"/>
      <w:lvlText w:val="•"/>
      <w:rPr>
        <w:color w:val="3370ff"/>
      </w:rPr>
    </w:lvl>
  </w:abstractNum>
  <w:abstractNum w:abstractNumId="1899117">
    <w:lvl>
      <w:numFmt w:val="bullet"/>
      <w:suff w:val="tab"/>
      <w:lvlText w:val="•"/>
      <w:rPr>
        <w:color w:val="3370ff"/>
      </w:rPr>
    </w:lvl>
  </w:abstractNum>
  <w:abstractNum w:abstractNumId="1899118">
    <w:lvl>
      <w:numFmt w:val="bullet"/>
      <w:suff w:val="tab"/>
      <w:lvlText w:val="•"/>
      <w:rPr>
        <w:color w:val="3370ff"/>
      </w:rPr>
    </w:lvl>
  </w:abstractNum>
  <w:abstractNum w:abstractNumId="1899119">
    <w:lvl>
      <w:numFmt w:val="bullet"/>
      <w:suff w:val="tab"/>
      <w:lvlText w:val="•"/>
      <w:rPr>
        <w:color w:val="3370ff"/>
      </w:rPr>
    </w:lvl>
  </w:abstractNum>
  <w:abstractNum w:abstractNumId="1899120">
    <w:lvl>
      <w:numFmt w:val="bullet"/>
      <w:suff w:val="tab"/>
      <w:lvlText w:val="•"/>
      <w:rPr>
        <w:color w:val="3370ff"/>
      </w:rPr>
    </w:lvl>
  </w:abstractNum>
  <w:abstractNum w:abstractNumId="1899121">
    <w:lvl>
      <w:numFmt w:val="bullet"/>
      <w:suff w:val="tab"/>
      <w:lvlText w:val="•"/>
      <w:rPr>
        <w:color w:val="3370ff"/>
      </w:rPr>
    </w:lvl>
  </w:abstractNum>
  <w:abstractNum w:abstractNumId="1899122">
    <w:lvl>
      <w:numFmt w:val="bullet"/>
      <w:suff w:val="tab"/>
      <w:lvlText w:val="•"/>
      <w:rPr>
        <w:color w:val="3370ff"/>
      </w:rPr>
    </w:lvl>
  </w:abstractNum>
  <w:abstractNum w:abstractNumId="1899123">
    <w:lvl>
      <w:numFmt w:val="bullet"/>
      <w:suff w:val="tab"/>
      <w:lvlText w:val="•"/>
      <w:rPr>
        <w:color w:val="3370ff"/>
      </w:rPr>
    </w:lvl>
  </w:abstractNum>
  <w:abstractNum w:abstractNumId="1899124">
    <w:lvl>
      <w:numFmt w:val="bullet"/>
      <w:suff w:val="tab"/>
      <w:lvlText w:val="•"/>
      <w:rPr>
        <w:color w:val="3370ff"/>
      </w:rPr>
    </w:lvl>
  </w:abstractNum>
  <w:abstractNum w:abstractNumId="1899125">
    <w:lvl>
      <w:numFmt w:val="bullet"/>
      <w:suff w:val="tab"/>
      <w:lvlText w:val="•"/>
      <w:rPr>
        <w:color w:val="3370ff"/>
      </w:rPr>
    </w:lvl>
  </w:abstractNum>
  <w:abstractNum w:abstractNumId="1899126">
    <w:lvl>
      <w:numFmt w:val="bullet"/>
      <w:suff w:val="tab"/>
      <w:lvlText w:val="•"/>
      <w:rPr>
        <w:color w:val="3370ff"/>
      </w:rPr>
    </w:lvl>
  </w:abstractNum>
  <w:abstractNum w:abstractNumId="1899127">
    <w:lvl>
      <w:numFmt w:val="bullet"/>
      <w:suff w:val="tab"/>
      <w:lvlText w:val="•"/>
      <w:rPr>
        <w:color w:val="3370ff"/>
      </w:rPr>
    </w:lvl>
  </w:abstractNum>
  <w:abstractNum w:abstractNumId="1899128">
    <w:lvl>
      <w:numFmt w:val="bullet"/>
      <w:suff w:val="tab"/>
      <w:lvlText w:val="•"/>
      <w:rPr>
        <w:color w:val="3370ff"/>
      </w:rPr>
    </w:lvl>
  </w:abstractNum>
  <w:abstractNum w:abstractNumId="1899129">
    <w:lvl>
      <w:numFmt w:val="bullet"/>
      <w:suff w:val="tab"/>
      <w:lvlText w:val="•"/>
      <w:rPr>
        <w:color w:val="3370ff"/>
      </w:rPr>
    </w:lvl>
  </w:abstractNum>
  <w:abstractNum w:abstractNumId="1899130">
    <w:lvl>
      <w:numFmt w:val="bullet"/>
      <w:suff w:val="tab"/>
      <w:lvlText w:val="•"/>
      <w:rPr>
        <w:color w:val="3370ff"/>
      </w:rPr>
    </w:lvl>
  </w:abstractNum>
  <w:abstractNum w:abstractNumId="1899131">
    <w:lvl>
      <w:numFmt w:val="bullet"/>
      <w:suff w:val="tab"/>
      <w:lvlText w:val="•"/>
      <w:rPr>
        <w:color w:val="3370ff"/>
      </w:rPr>
    </w:lvl>
  </w:abstractNum>
  <w:abstractNum w:abstractNumId="1899132">
    <w:lvl>
      <w:numFmt w:val="bullet"/>
      <w:suff w:val="tab"/>
      <w:lvlText w:val="•"/>
      <w:rPr>
        <w:color w:val="3370ff"/>
      </w:rPr>
    </w:lvl>
  </w:abstractNum>
  <w:abstractNum w:abstractNumId="1899133">
    <w:lvl>
      <w:start w:val="1"/>
      <w:numFmt w:val="decimal"/>
      <w:suff w:val="tab"/>
      <w:lvlText w:val="%1."/>
      <w:rPr>
        <w:color w:val="3370ff"/>
      </w:rPr>
    </w:lvl>
  </w:abstractNum>
  <w:abstractNum w:abstractNumId="1899134">
    <w:lvl>
      <w:start w:val="2"/>
      <w:numFmt w:val="decimal"/>
      <w:suff w:val="tab"/>
      <w:lvlText w:val="%1."/>
      <w:rPr>
        <w:color w:val="3370ff"/>
      </w:rPr>
    </w:lvl>
  </w:abstractNum>
  <w:abstractNum w:abstractNumId="1899135">
    <w:lvl>
      <w:start w:val="3"/>
      <w:numFmt w:val="decimal"/>
      <w:suff w:val="tab"/>
      <w:lvlText w:val="%1."/>
      <w:rPr>
        <w:color w:val="3370ff"/>
      </w:rPr>
    </w:lvl>
  </w:abstractNum>
  <w:abstractNum w:abstractNumId="1899136">
    <w:lvl>
      <w:start w:val="4"/>
      <w:numFmt w:val="decimal"/>
      <w:suff w:val="tab"/>
      <w:lvlText w:val="%1."/>
      <w:rPr>
        <w:color w:val="3370ff"/>
      </w:rPr>
    </w:lvl>
  </w:abstractNum>
  <w:abstractNum w:abstractNumId="1899137">
    <w:lvl>
      <w:start w:val="5"/>
      <w:numFmt w:val="decimal"/>
      <w:suff w:val="tab"/>
      <w:lvlText w:val="%1."/>
      <w:rPr>
        <w:color w:val="3370ff"/>
      </w:rPr>
    </w:lvl>
  </w:abstractNum>
  <w:abstractNum w:abstractNumId="1899138">
    <w:lvl>
      <w:start w:val="1"/>
      <w:numFmt w:val="decimal"/>
      <w:suff w:val="tab"/>
      <w:lvlText w:val="%1."/>
      <w:rPr>
        <w:color w:val="3370ff"/>
      </w:rPr>
    </w:lvl>
  </w:abstractNum>
  <w:abstractNum w:abstractNumId="1899139">
    <w:lvl>
      <w:start w:val="2"/>
      <w:numFmt w:val="decimal"/>
      <w:suff w:val="tab"/>
      <w:lvlText w:val="%1."/>
      <w:rPr>
        <w:color w:val="3370ff"/>
      </w:rPr>
    </w:lvl>
  </w:abstractNum>
  <w:abstractNum w:abstractNumId="1899140">
    <w:lvl>
      <w:start w:val="3"/>
      <w:numFmt w:val="decimal"/>
      <w:suff w:val="tab"/>
      <w:lvlText w:val="%1."/>
      <w:rPr>
        <w:color w:val="3370ff"/>
      </w:rPr>
    </w:lvl>
  </w:abstractNum>
  <w:abstractNum w:abstractNumId="1899141">
    <w:lvl>
      <w:numFmt w:val="bullet"/>
      <w:suff w:val="tab"/>
      <w:lvlText w:val="•"/>
      <w:rPr>
        <w:color w:val="3370ff"/>
      </w:rPr>
    </w:lvl>
  </w:abstractNum>
  <w:abstractNum w:abstractNumId="1899142">
    <w:lvl>
      <w:numFmt w:val="bullet"/>
      <w:suff w:val="tab"/>
      <w:lvlText w:val="•"/>
      <w:rPr>
        <w:color w:val="3370ff"/>
      </w:rPr>
    </w:lvl>
  </w:abstractNum>
  <w:abstractNum w:abstractNumId="1899143">
    <w:lvl>
      <w:numFmt w:val="bullet"/>
      <w:suff w:val="tab"/>
      <w:lvlText w:val="•"/>
      <w:rPr>
        <w:color w:val="3370ff"/>
      </w:rPr>
    </w:lvl>
  </w:abstractNum>
  <w:abstractNum w:abstractNumId="1899144">
    <w:lvl>
      <w:numFmt w:val="bullet"/>
      <w:suff w:val="tab"/>
      <w:lvlText w:val="•"/>
      <w:rPr>
        <w:color w:val="3370ff"/>
      </w:rPr>
    </w:lvl>
  </w:abstractNum>
  <w:abstractNum w:abstractNumId="1899145">
    <w:lvl>
      <w:numFmt w:val="bullet"/>
      <w:suff w:val="tab"/>
      <w:lvlText w:val="•"/>
      <w:rPr>
        <w:color w:val="3370ff"/>
      </w:rPr>
    </w:lvl>
  </w:abstractNum>
  <w:abstractNum w:abstractNumId="1899146">
    <w:lvl>
      <w:start w:val="1"/>
      <w:numFmt w:val="decimal"/>
      <w:suff w:val="tab"/>
      <w:lvlText w:val="%1."/>
      <w:rPr>
        <w:color w:val="3370ff"/>
      </w:rPr>
    </w:lvl>
  </w:abstractNum>
  <w:abstractNum w:abstractNumId="1899147">
    <w:lvl>
      <w:start w:val="2"/>
      <w:numFmt w:val="decimal"/>
      <w:suff w:val="tab"/>
      <w:lvlText w:val="%1."/>
      <w:rPr>
        <w:color w:val="3370ff"/>
      </w:rPr>
    </w:lvl>
  </w:abstractNum>
  <w:abstractNum w:abstractNumId="1899148">
    <w:lvl>
      <w:start w:val="3"/>
      <w:numFmt w:val="decimal"/>
      <w:suff w:val="tab"/>
      <w:lvlText w:val="%1."/>
      <w:rPr>
        <w:color w:val="3370ff"/>
      </w:rPr>
    </w:lvl>
  </w:abstractNum>
  <w:abstractNum w:abstractNumId="1899149">
    <w:lvl>
      <w:start w:val="4"/>
      <w:numFmt w:val="decimal"/>
      <w:suff w:val="tab"/>
      <w:lvlText w:val="%1."/>
      <w:rPr>
        <w:color w:val="3370ff"/>
      </w:rPr>
    </w:lvl>
  </w:abstractNum>
  <w:abstractNum w:abstractNumId="1899150">
    <w:lvl>
      <w:numFmt w:val="bullet"/>
      <w:suff w:val="tab"/>
      <w:lvlText w:val="￮"/>
      <w:rPr>
        <w:color w:val="3370ff"/>
      </w:rPr>
    </w:lvl>
  </w:abstractNum>
  <w:abstractNum w:abstractNumId="1899151">
    <w:lvl>
      <w:numFmt w:val="bullet"/>
      <w:suff w:val="tab"/>
      <w:lvlText w:val="￮"/>
      <w:rPr>
        <w:color w:val="3370ff"/>
      </w:rPr>
    </w:lvl>
  </w:abstractNum>
  <w:abstractNum w:abstractNumId="1899152">
    <w:lvl>
      <w:numFmt w:val="bullet"/>
      <w:suff w:val="tab"/>
      <w:lvlText w:val="￮"/>
      <w:rPr>
        <w:color w:val="3370ff"/>
      </w:rPr>
    </w:lvl>
  </w:abstractNum>
  <w:abstractNum w:abstractNumId="1899153">
    <w:lvl>
      <w:numFmt w:val="bullet"/>
      <w:suff w:val="tab"/>
      <w:lvlText w:val="￮"/>
      <w:rPr>
        <w:color w:val="3370ff"/>
      </w:rPr>
    </w:lvl>
  </w:abstractNum>
  <w:abstractNum w:abstractNumId="1899154">
    <w:lvl>
      <w:start w:val="5"/>
      <w:numFmt w:val="decimal"/>
      <w:suff w:val="tab"/>
      <w:lvlText w:val="%1."/>
      <w:rPr>
        <w:color w:val="3370ff"/>
      </w:rPr>
    </w:lvl>
  </w:abstractNum>
  <w:abstractNum w:abstractNumId="1899155">
    <w:lvl>
      <w:numFmt w:val="bullet"/>
      <w:suff w:val="tab"/>
      <w:lvlText w:val="•"/>
      <w:rPr>
        <w:color w:val="3370ff"/>
      </w:rPr>
    </w:lvl>
  </w:abstractNum>
  <w:abstractNum w:abstractNumId="1899156">
    <w:lvl>
      <w:numFmt w:val="bullet"/>
      <w:suff w:val="tab"/>
      <w:lvlText w:val="•"/>
      <w:rPr>
        <w:color w:val="3370ff"/>
      </w:rPr>
    </w:lvl>
  </w:abstractNum>
  <w:abstractNum w:abstractNumId="1899157">
    <w:lvl>
      <w:numFmt w:val="bullet"/>
      <w:suff w:val="tab"/>
      <w:lvlText w:val="•"/>
      <w:rPr>
        <w:color w:val="3370ff"/>
      </w:rPr>
    </w:lvl>
  </w:abstractNum>
  <w:abstractNum w:abstractNumId="1899158">
    <w:lvl>
      <w:numFmt w:val="bullet"/>
      <w:suff w:val="tab"/>
      <w:lvlText w:val="•"/>
      <w:rPr>
        <w:color w:val="3370ff"/>
      </w:rPr>
    </w:lvl>
  </w:abstractNum>
  <w:abstractNum w:abstractNumId="1899159">
    <w:lvl>
      <w:numFmt w:val="bullet"/>
      <w:suff w:val="tab"/>
      <w:lvlText w:val="•"/>
      <w:rPr>
        <w:color w:val="3370ff"/>
      </w:rPr>
    </w:lvl>
  </w:abstractNum>
  <w:abstractNum w:abstractNumId="1899160">
    <w:lvl>
      <w:start w:val="1"/>
      <w:numFmt w:val="decimal"/>
      <w:suff w:val="tab"/>
      <w:lvlText w:val="%1."/>
      <w:rPr>
        <w:color w:val="3370ff"/>
      </w:rPr>
    </w:lvl>
  </w:abstractNum>
  <w:abstractNum w:abstractNumId="1899161">
    <w:lvl>
      <w:start w:val="2"/>
      <w:numFmt w:val="decimal"/>
      <w:suff w:val="tab"/>
      <w:lvlText w:val="%1."/>
      <w:rPr>
        <w:color w:val="3370ff"/>
      </w:rPr>
    </w:lvl>
  </w:abstractNum>
  <w:abstractNum w:abstractNumId="1899162">
    <w:lvl>
      <w:start w:val="3"/>
      <w:numFmt w:val="decimal"/>
      <w:suff w:val="tab"/>
      <w:lvlText w:val="%1."/>
      <w:rPr>
        <w:color w:val="3370ff"/>
      </w:rPr>
    </w:lvl>
  </w:abstractNum>
  <w:abstractNum w:abstractNumId="1899163">
    <w:lvl>
      <w:start w:val="4"/>
      <w:numFmt w:val="decimal"/>
      <w:suff w:val="tab"/>
      <w:lvlText w:val="%1."/>
      <w:rPr>
        <w:color w:val="3370ff"/>
      </w:rPr>
    </w:lvl>
  </w:abstractNum>
  <w:abstractNum w:abstractNumId="1899164">
    <w:lvl>
      <w:start w:val="5"/>
      <w:numFmt w:val="decimal"/>
      <w:suff w:val="tab"/>
      <w:lvlText w:val="%1."/>
      <w:rPr>
        <w:color w:val="3370ff"/>
      </w:rPr>
    </w:lvl>
  </w:abstractNum>
  <w:abstractNum w:abstractNumId="1899165">
    <w:lvl>
      <w:start w:val="6"/>
      <w:numFmt w:val="decimal"/>
      <w:suff w:val="tab"/>
      <w:lvlText w:val="%1."/>
      <w:rPr>
        <w:color w:val="3370ff"/>
      </w:rPr>
    </w:lvl>
  </w:abstractNum>
  <w:abstractNum w:abstractNumId="1899166">
    <w:lvl>
      <w:numFmt w:val="bullet"/>
      <w:suff w:val="tab"/>
      <w:lvlText w:val="•"/>
      <w:rPr>
        <w:color w:val="3370ff"/>
      </w:rPr>
    </w:lvl>
  </w:abstractNum>
  <w:abstractNum w:abstractNumId="1899167">
    <w:lvl>
      <w:numFmt w:val="bullet"/>
      <w:suff w:val="tab"/>
      <w:lvlText w:val="•"/>
      <w:rPr>
        <w:color w:val="3370ff"/>
      </w:rPr>
    </w:lvl>
  </w:abstractNum>
  <w:abstractNum w:abstractNumId="1899168">
    <w:lvl>
      <w:numFmt w:val="bullet"/>
      <w:suff w:val="tab"/>
      <w:lvlText w:val="•"/>
      <w:rPr>
        <w:color w:val="3370ff"/>
      </w:rPr>
    </w:lvl>
  </w:abstractNum>
  <w:abstractNum w:abstractNumId="1899169">
    <w:lvl>
      <w:numFmt w:val="bullet"/>
      <w:suff w:val="tab"/>
      <w:lvlText w:val="•"/>
      <w:rPr>
        <w:color w:val="3370ff"/>
      </w:rPr>
    </w:lvl>
  </w:abstractNum>
  <w:abstractNum w:abstractNumId="1899170">
    <w:lvl>
      <w:numFmt w:val="bullet"/>
      <w:suff w:val="tab"/>
      <w:lvlText w:val="•"/>
      <w:rPr>
        <w:color w:val="3370ff"/>
      </w:rPr>
    </w:lvl>
  </w:abstractNum>
  <w:abstractNum w:abstractNumId="1899171">
    <w:lvl>
      <w:numFmt w:val="bullet"/>
      <w:suff w:val="tab"/>
      <w:lvlText w:val="•"/>
      <w:rPr>
        <w:color w:val="3370ff"/>
      </w:rPr>
    </w:lvl>
  </w:abstractNum>
  <w:abstractNum w:abstractNumId="1899172">
    <w:lvl>
      <w:numFmt w:val="bullet"/>
      <w:suff w:val="tab"/>
      <w:lvlText w:val="•"/>
      <w:rPr>
        <w:color w:val="3370ff"/>
      </w:rPr>
    </w:lvl>
  </w:abstractNum>
  <w:abstractNum w:abstractNumId="1899173">
    <w:lvl>
      <w:numFmt w:val="bullet"/>
      <w:suff w:val="tab"/>
      <w:lvlText w:val="•"/>
      <w:rPr>
        <w:color w:val="3370ff"/>
      </w:rPr>
    </w:lvl>
  </w:abstractNum>
  <w:abstractNum w:abstractNumId="1899174">
    <w:lvl>
      <w:numFmt w:val="bullet"/>
      <w:suff w:val="tab"/>
      <w:lvlText w:val="•"/>
      <w:rPr>
        <w:color w:val="3370ff"/>
      </w:rPr>
    </w:lvl>
  </w:abstractNum>
  <w:abstractNum w:abstractNumId="1899175">
    <w:lvl>
      <w:numFmt w:val="bullet"/>
      <w:suff w:val="tab"/>
      <w:lvlText w:val="•"/>
      <w:rPr>
        <w:color w:val="3370ff"/>
      </w:rPr>
    </w:lvl>
  </w:abstractNum>
  <w:abstractNum w:abstractNumId="1899176">
    <w:lvl>
      <w:numFmt w:val="bullet"/>
      <w:suff w:val="tab"/>
      <w:lvlText w:val="•"/>
      <w:rPr>
        <w:color w:val="3370ff"/>
      </w:rPr>
    </w:lvl>
  </w:abstractNum>
  <w:abstractNum w:abstractNumId="1899177">
    <w:lvl>
      <w:start w:val="1"/>
      <w:numFmt w:val="decimal"/>
      <w:suff w:val="tab"/>
      <w:lvlText w:val="%1."/>
      <w:rPr>
        <w:color w:val="3370ff"/>
      </w:rPr>
    </w:lvl>
  </w:abstractNum>
  <w:abstractNum w:abstractNumId="1899178">
    <w:lvl>
      <w:start w:val="2"/>
      <w:numFmt w:val="decimal"/>
      <w:suff w:val="tab"/>
      <w:lvlText w:val="%1."/>
      <w:rPr>
        <w:color w:val="3370ff"/>
      </w:rPr>
    </w:lvl>
  </w:abstractNum>
  <w:abstractNum w:abstractNumId="1899179">
    <w:lvl>
      <w:start w:val="3"/>
      <w:numFmt w:val="decimal"/>
      <w:suff w:val="tab"/>
      <w:lvlText w:val="%1."/>
      <w:rPr>
        <w:color w:val="3370ff"/>
      </w:rPr>
    </w:lvl>
  </w:abstractNum>
  <w:abstractNum w:abstractNumId="1899180">
    <w:lvl>
      <w:numFmt w:val="bullet"/>
      <w:suff w:val="tab"/>
      <w:lvlText w:val="￮"/>
      <w:rPr>
        <w:color w:val="3370ff"/>
      </w:rPr>
    </w:lvl>
  </w:abstractNum>
  <w:abstractNum w:abstractNumId="1899181">
    <w:lvl>
      <w:numFmt w:val="bullet"/>
      <w:suff w:val="tab"/>
      <w:lvlText w:val="￮"/>
      <w:rPr>
        <w:color w:val="3370ff"/>
      </w:rPr>
    </w:lvl>
  </w:abstractNum>
  <w:abstractNum w:abstractNumId="1899182">
    <w:lvl>
      <w:numFmt w:val="bullet"/>
      <w:suff w:val="tab"/>
      <w:lvlText w:val="￮"/>
      <w:rPr>
        <w:color w:val="3370ff"/>
      </w:rPr>
    </w:lvl>
  </w:abstractNum>
  <w:abstractNum w:abstractNumId="1899183">
    <w:lvl>
      <w:numFmt w:val="bullet"/>
      <w:suff w:val="tab"/>
      <w:lvlText w:val="￮"/>
      <w:rPr>
        <w:color w:val="3370ff"/>
      </w:rPr>
    </w:lvl>
  </w:abstractNum>
  <w:abstractNum w:abstractNumId="1899184">
    <w:lvl>
      <w:start w:val="4"/>
      <w:numFmt w:val="decimal"/>
      <w:suff w:val="tab"/>
      <w:lvlText w:val="%1."/>
      <w:rPr>
        <w:color w:val="3370ff"/>
      </w:rPr>
    </w:lvl>
  </w:abstractNum>
  <w:abstractNum w:abstractNumId="1899185">
    <w:lvl>
      <w:start w:val="1"/>
      <w:numFmt w:val="decimal"/>
      <w:suff w:val="tab"/>
      <w:lvlText w:val="%1."/>
      <w:rPr>
        <w:color w:val="3370ff"/>
      </w:rPr>
    </w:lvl>
  </w:abstractNum>
  <w:abstractNum w:abstractNumId="1899186">
    <w:lvl>
      <w:start w:val="2"/>
      <w:numFmt w:val="decimal"/>
      <w:suff w:val="tab"/>
      <w:lvlText w:val="%1."/>
      <w:rPr>
        <w:color w:val="3370ff"/>
      </w:rPr>
    </w:lvl>
  </w:abstractNum>
  <w:abstractNum w:abstractNumId="1899187">
    <w:lvl>
      <w:start w:val="3"/>
      <w:numFmt w:val="decimal"/>
      <w:suff w:val="tab"/>
      <w:lvlText w:val="%1."/>
      <w:rPr>
        <w:color w:val="3370ff"/>
      </w:rPr>
    </w:lvl>
  </w:abstractNum>
  <w:abstractNum w:abstractNumId="1899188">
    <w:lvl>
      <w:start w:val="4"/>
      <w:numFmt w:val="decimal"/>
      <w:suff w:val="tab"/>
      <w:lvlText w:val="%1."/>
      <w:rPr>
        <w:color w:val="3370ff"/>
      </w:rPr>
    </w:lvl>
  </w:abstractNum>
  <w:abstractNum w:abstractNumId="1899189">
    <w:lvl>
      <w:start w:val="1"/>
      <w:numFmt w:val="decimal"/>
      <w:suff w:val="tab"/>
      <w:lvlText w:val="%1."/>
      <w:rPr>
        <w:color w:val="3370ff"/>
      </w:rPr>
    </w:lvl>
  </w:abstractNum>
  <w:abstractNum w:abstractNumId="1899190">
    <w:lvl>
      <w:start w:val="2"/>
      <w:numFmt w:val="decimal"/>
      <w:suff w:val="tab"/>
      <w:lvlText w:val="%1."/>
      <w:rPr>
        <w:color w:val="3370ff"/>
      </w:rPr>
    </w:lvl>
  </w:abstractNum>
  <w:abstractNum w:abstractNumId="1899191">
    <w:lvl>
      <w:start w:val="3"/>
      <w:numFmt w:val="decimal"/>
      <w:suff w:val="tab"/>
      <w:lvlText w:val="%1."/>
      <w:rPr>
        <w:color w:val="3370ff"/>
      </w:rPr>
    </w:lvl>
  </w:abstractNum>
  <w:abstractNum w:abstractNumId="1899192">
    <w:lvl>
      <w:start w:val="4"/>
      <w:numFmt w:val="decimal"/>
      <w:suff w:val="tab"/>
      <w:lvlText w:val="%1."/>
      <w:rPr>
        <w:color w:val="3370ff"/>
      </w:rPr>
    </w:lvl>
  </w:abstractNum>
  <w:abstractNum w:abstractNumId="1899193">
    <w:lvl>
      <w:numFmt w:val="bullet"/>
      <w:suff w:val="tab"/>
      <w:lvlText w:val="•"/>
      <w:rPr>
        <w:color w:val="3370ff"/>
      </w:rPr>
    </w:lvl>
  </w:abstractNum>
  <w:abstractNum w:abstractNumId="1899194">
    <w:lvl>
      <w:numFmt w:val="bullet"/>
      <w:suff w:val="tab"/>
      <w:lvlText w:val="•"/>
      <w:rPr>
        <w:color w:val="3370ff"/>
      </w:rPr>
    </w:lvl>
  </w:abstractNum>
  <w:abstractNum w:abstractNumId="1899195">
    <w:lvl>
      <w:numFmt w:val="bullet"/>
      <w:suff w:val="tab"/>
      <w:lvlText w:val="•"/>
      <w:rPr>
        <w:color w:val="3370ff"/>
      </w:rPr>
    </w:lvl>
  </w:abstractNum>
  <w:abstractNum w:abstractNumId="1899196">
    <w:lvl>
      <w:numFmt w:val="bullet"/>
      <w:suff w:val="tab"/>
      <w:lvlText w:val="•"/>
      <w:rPr>
        <w:color w:val="3370ff"/>
      </w:rPr>
    </w:lvl>
  </w:abstractNum>
  <w:abstractNum w:abstractNumId="1899197">
    <w:lvl>
      <w:numFmt w:val="bullet"/>
      <w:suff w:val="tab"/>
      <w:lvlText w:val="•"/>
      <w:rPr>
        <w:color w:val="3370ff"/>
      </w:rPr>
    </w:lvl>
  </w:abstractNum>
  <w:abstractNum w:abstractNumId="1899198">
    <w:lvl>
      <w:numFmt w:val="bullet"/>
      <w:suff w:val="tab"/>
      <w:lvlText w:val="•"/>
      <w:rPr>
        <w:color w:val="3370ff"/>
      </w:rPr>
    </w:lvl>
  </w:abstractNum>
  <w:abstractNum w:abstractNumId="1899199">
    <w:lvl>
      <w:numFmt w:val="bullet"/>
      <w:suff w:val="tab"/>
      <w:lvlText w:val="•"/>
      <w:rPr>
        <w:color w:val="3370ff"/>
      </w:rPr>
    </w:lvl>
  </w:abstractNum>
  <w:abstractNum w:abstractNumId="1899200">
    <w:lvl>
      <w:numFmt w:val="bullet"/>
      <w:suff w:val="tab"/>
      <w:lvlText w:val="•"/>
      <w:rPr>
        <w:color w:val="3370ff"/>
      </w:rPr>
    </w:lvl>
  </w:abstractNum>
  <w:abstractNum w:abstractNumId="1899201">
    <w:lvl>
      <w:numFmt w:val="bullet"/>
      <w:suff w:val="tab"/>
      <w:lvlText w:val="•"/>
      <w:rPr>
        <w:color w:val="3370ff"/>
      </w:rPr>
    </w:lvl>
  </w:abstractNum>
  <w:abstractNum w:abstractNumId="1899202">
    <w:lvl>
      <w:numFmt w:val="bullet"/>
      <w:suff w:val="tab"/>
      <w:lvlText w:val="￮"/>
      <w:rPr>
        <w:color w:val="3370ff"/>
      </w:rPr>
    </w:lvl>
  </w:abstractNum>
  <w:abstractNum w:abstractNumId="1899203">
    <w:lvl>
      <w:numFmt w:val="bullet"/>
      <w:suff w:val="tab"/>
      <w:lvlText w:val="￮"/>
      <w:rPr>
        <w:color w:val="3370ff"/>
      </w:rPr>
    </w:lvl>
  </w:abstractNum>
  <w:abstractNum w:abstractNumId="1899204">
    <w:lvl>
      <w:numFmt w:val="bullet"/>
      <w:suff w:val="tab"/>
      <w:lvlText w:val="￮"/>
      <w:rPr>
        <w:color w:val="3370ff"/>
      </w:rPr>
    </w:lvl>
  </w:abstractNum>
  <w:abstractNum w:abstractNumId="1899205">
    <w:lvl>
      <w:numFmt w:val="bullet"/>
      <w:suff w:val="tab"/>
      <w:lvlText w:val="￮"/>
      <w:rPr>
        <w:color w:val="3370ff"/>
      </w:rPr>
    </w:lvl>
  </w:abstractNum>
  <w:abstractNum w:abstractNumId="1899206">
    <w:lvl>
      <w:numFmt w:val="bullet"/>
      <w:suff w:val="tab"/>
      <w:lvlText w:val="•"/>
      <w:rPr>
        <w:color w:val="3370ff"/>
      </w:rPr>
    </w:lvl>
  </w:abstractNum>
  <w:abstractNum w:abstractNumId="1899207">
    <w:lvl>
      <w:numFmt w:val="bullet"/>
      <w:suff w:val="tab"/>
      <w:lvlText w:val="•"/>
      <w:rPr>
        <w:color w:val="3370ff"/>
      </w:rPr>
    </w:lvl>
  </w:abstractNum>
  <w:abstractNum w:abstractNumId="1899208">
    <w:lvl>
      <w:numFmt w:val="bullet"/>
      <w:suff w:val="tab"/>
      <w:lvlText w:val="•"/>
      <w:rPr>
        <w:color w:val="3370ff"/>
      </w:rPr>
    </w:lvl>
  </w:abstractNum>
  <w:abstractNum w:abstractNumId="1899209">
    <w:lvl>
      <w:numFmt w:val="bullet"/>
      <w:suff w:val="tab"/>
      <w:lvlText w:val="•"/>
      <w:rPr>
        <w:color w:val="3370ff"/>
      </w:rPr>
    </w:lvl>
  </w:abstractNum>
  <w:abstractNum w:abstractNumId="1899210">
    <w:lvl>
      <w:numFmt w:val="bullet"/>
      <w:suff w:val="tab"/>
      <w:lvlText w:val="•"/>
      <w:rPr>
        <w:color w:val="3370ff"/>
      </w:rPr>
    </w:lvl>
  </w:abstractNum>
  <w:abstractNum w:abstractNumId="1899211">
    <w:lvl>
      <w:numFmt w:val="bullet"/>
      <w:suff w:val="tab"/>
      <w:lvlText w:val="•"/>
      <w:rPr>
        <w:color w:val="3370ff"/>
      </w:rPr>
    </w:lvl>
  </w:abstractNum>
  <w:abstractNum w:abstractNumId="1899212">
    <w:lvl>
      <w:numFmt w:val="bullet"/>
      <w:suff w:val="tab"/>
      <w:lvlText w:val="•"/>
      <w:rPr>
        <w:color w:val="3370ff"/>
      </w:rPr>
    </w:lvl>
  </w:abstractNum>
  <w:abstractNum w:abstractNumId="1899213">
    <w:lvl>
      <w:numFmt w:val="bullet"/>
      <w:suff w:val="tab"/>
      <w:lvlText w:val="•"/>
      <w:rPr>
        <w:color w:val="3370ff"/>
      </w:rPr>
    </w:lvl>
  </w:abstractNum>
  <w:abstractNum w:abstractNumId="1899214">
    <w:lvl>
      <w:numFmt w:val="bullet"/>
      <w:suff w:val="tab"/>
      <w:lvlText w:val="•"/>
      <w:rPr>
        <w:color w:val="3370ff"/>
      </w:rPr>
    </w:lvl>
  </w:abstractNum>
  <w:abstractNum w:abstractNumId="1899215">
    <w:lvl>
      <w:start w:val="1"/>
      <w:numFmt w:val="decimal"/>
      <w:suff w:val="tab"/>
      <w:lvlText w:val="%1."/>
      <w:rPr>
        <w:color w:val="3370ff"/>
      </w:rPr>
    </w:lvl>
  </w:abstractNum>
  <w:abstractNum w:abstractNumId="1899216">
    <w:lvl>
      <w:start w:val="2"/>
      <w:numFmt w:val="decimal"/>
      <w:suff w:val="tab"/>
      <w:lvlText w:val="%1."/>
      <w:rPr>
        <w:color w:val="3370ff"/>
      </w:rPr>
    </w:lvl>
  </w:abstractNum>
  <w:abstractNum w:abstractNumId="1899217">
    <w:lvl>
      <w:start w:val="3"/>
      <w:numFmt w:val="decimal"/>
      <w:suff w:val="tab"/>
      <w:lvlText w:val="%1."/>
      <w:rPr>
        <w:color w:val="3370ff"/>
      </w:rPr>
    </w:lvl>
  </w:abstractNum>
  <w:abstractNum w:abstractNumId="1899218">
    <w:lvl>
      <w:start w:val="4"/>
      <w:numFmt w:val="decimal"/>
      <w:suff w:val="tab"/>
      <w:lvlText w:val="%1."/>
      <w:rPr>
        <w:color w:val="3370ff"/>
      </w:rPr>
    </w:lvl>
  </w:abstractNum>
  <w:abstractNum w:abstractNumId="1899219">
    <w:lvl>
      <w:numFmt w:val="bullet"/>
      <w:suff w:val="tab"/>
      <w:lvlText w:val="•"/>
      <w:rPr>
        <w:color w:val="3370ff"/>
      </w:rPr>
    </w:lvl>
  </w:abstractNum>
  <w:abstractNum w:abstractNumId="1899220">
    <w:lvl>
      <w:numFmt w:val="bullet"/>
      <w:suff w:val="tab"/>
      <w:lvlText w:val="•"/>
      <w:rPr>
        <w:color w:val="3370ff"/>
      </w:rPr>
    </w:lvl>
  </w:abstractNum>
  <w:abstractNum w:abstractNumId="1899221">
    <w:lvl>
      <w:numFmt w:val="bullet"/>
      <w:suff w:val="tab"/>
      <w:lvlText w:val="•"/>
      <w:rPr>
        <w:color w:val="3370ff"/>
      </w:rPr>
    </w:lvl>
  </w:abstractNum>
  <w:abstractNum w:abstractNumId="1899222">
    <w:lvl>
      <w:numFmt w:val="bullet"/>
      <w:suff w:val="tab"/>
      <w:lvlText w:val="•"/>
      <w:rPr>
        <w:color w:val="3370ff"/>
      </w:rPr>
    </w:lvl>
  </w:abstractNum>
  <w:abstractNum w:abstractNumId="1899223">
    <w:lvl>
      <w:numFmt w:val="bullet"/>
      <w:suff w:val="tab"/>
      <w:lvlText w:val="•"/>
      <w:rPr>
        <w:color w:val="3370ff"/>
      </w:rPr>
    </w:lvl>
  </w:abstractNum>
  <w:abstractNum w:abstractNumId="1899224">
    <w:lvl>
      <w:numFmt w:val="bullet"/>
      <w:suff w:val="tab"/>
      <w:lvlText w:val="•"/>
      <w:rPr>
        <w:color w:val="3370ff"/>
      </w:rPr>
    </w:lvl>
  </w:abstractNum>
  <w:abstractNum w:abstractNumId="1899225">
    <w:lvl>
      <w:numFmt w:val="bullet"/>
      <w:suff w:val="tab"/>
      <w:lvlText w:val="•"/>
      <w:rPr>
        <w:color w:val="3370ff"/>
      </w:rPr>
    </w:lvl>
  </w:abstractNum>
  <w:abstractNum w:abstractNumId="1899226">
    <w:lvl>
      <w:numFmt w:val="bullet"/>
      <w:suff w:val="tab"/>
      <w:lvlText w:val="•"/>
      <w:rPr>
        <w:color w:val="3370ff"/>
      </w:rPr>
    </w:lvl>
  </w:abstractNum>
  <w:abstractNum w:abstractNumId="1899227">
    <w:lvl>
      <w:numFmt w:val="bullet"/>
      <w:suff w:val="tab"/>
      <w:lvlText w:val="•"/>
      <w:rPr>
        <w:color w:val="3370ff"/>
      </w:rPr>
    </w:lvl>
  </w:abstractNum>
  <w:abstractNum w:abstractNumId="1899228">
    <w:lvl>
      <w:start w:val="1"/>
      <w:numFmt w:val="decimal"/>
      <w:suff w:val="tab"/>
      <w:lvlText w:val="%1."/>
      <w:rPr>
        <w:color w:val="3370ff"/>
      </w:rPr>
    </w:lvl>
  </w:abstractNum>
  <w:abstractNum w:abstractNumId="1899229">
    <w:lvl>
      <w:start w:val="2"/>
      <w:numFmt w:val="decimal"/>
      <w:suff w:val="tab"/>
      <w:lvlText w:val="%1."/>
      <w:rPr>
        <w:color w:val="3370ff"/>
      </w:rPr>
    </w:lvl>
  </w:abstractNum>
  <w:abstractNum w:abstractNumId="1899230">
    <w:lvl>
      <w:numFmt w:val="bullet"/>
      <w:suff w:val="tab"/>
      <w:lvlText w:val="￮"/>
      <w:rPr>
        <w:color w:val="3370ff"/>
      </w:rPr>
    </w:lvl>
  </w:abstractNum>
  <w:abstractNum w:abstractNumId="1899231">
    <w:lvl>
      <w:numFmt w:val="bullet"/>
      <w:suff w:val="tab"/>
      <w:lvlText w:val="￮"/>
      <w:rPr>
        <w:color w:val="3370ff"/>
      </w:rPr>
    </w:lvl>
  </w:abstractNum>
  <w:abstractNum w:abstractNumId="1899232">
    <w:lvl>
      <w:numFmt w:val="bullet"/>
      <w:suff w:val="tab"/>
      <w:lvlText w:val="￮"/>
      <w:rPr>
        <w:color w:val="3370ff"/>
      </w:rPr>
    </w:lvl>
  </w:abstractNum>
  <w:abstractNum w:abstractNumId="1899233">
    <w:lvl>
      <w:start w:val="3"/>
      <w:numFmt w:val="decimal"/>
      <w:suff w:val="tab"/>
      <w:lvlText w:val="%1."/>
      <w:rPr>
        <w:color w:val="3370ff"/>
      </w:rPr>
    </w:lvl>
  </w:abstractNum>
  <w:abstractNum w:abstractNumId="1899234">
    <w:lvl>
      <w:numFmt w:val="bullet"/>
      <w:suff w:val="tab"/>
      <w:lvlText w:val="￮"/>
      <w:rPr>
        <w:color w:val="3370ff"/>
      </w:rPr>
    </w:lvl>
  </w:abstractNum>
  <w:abstractNum w:abstractNumId="1899235">
    <w:lvl>
      <w:numFmt w:val="bullet"/>
      <w:suff w:val="tab"/>
      <w:lvlText w:val="￮"/>
      <w:rPr>
        <w:color w:val="3370ff"/>
      </w:rPr>
    </w:lvl>
  </w:abstractNum>
  <w:abstractNum w:abstractNumId="1899236">
    <w:lvl>
      <w:start w:val="4"/>
      <w:numFmt w:val="decimal"/>
      <w:suff w:val="tab"/>
      <w:lvlText w:val="%1."/>
      <w:rPr>
        <w:color w:val="3370ff"/>
      </w:rPr>
    </w:lvl>
  </w:abstractNum>
  <w:abstractNum w:abstractNumId="1899237">
    <w:lvl>
      <w:start w:val="5"/>
      <w:numFmt w:val="decimal"/>
      <w:suff w:val="tab"/>
      <w:lvlText w:val="%1."/>
      <w:rPr>
        <w:color w:val="3370ff"/>
      </w:rPr>
    </w:lvl>
  </w:abstractNum>
  <w:abstractNum w:abstractNumId="1899238">
    <w:lvl>
      <w:numFmt w:val="bullet"/>
      <w:suff w:val="tab"/>
      <w:lvlText w:val="•"/>
      <w:rPr>
        <w:color w:val="3370ff"/>
      </w:rPr>
    </w:lvl>
  </w:abstractNum>
  <w:abstractNum w:abstractNumId="1899239">
    <w:lvl>
      <w:numFmt w:val="bullet"/>
      <w:suff w:val="tab"/>
      <w:lvlText w:val="•"/>
      <w:rPr>
        <w:color w:val="3370ff"/>
      </w:rPr>
    </w:lvl>
  </w:abstractNum>
  <w:abstractNum w:abstractNumId="1899240">
    <w:lvl>
      <w:numFmt w:val="bullet"/>
      <w:suff w:val="tab"/>
      <w:lvlText w:val="•"/>
      <w:rPr>
        <w:color w:val="3370ff"/>
      </w:rPr>
    </w:lvl>
  </w:abstractNum>
  <w:abstractNum w:abstractNumId="1899241">
    <w:lvl>
      <w:start w:val="1"/>
      <w:numFmt w:val="decimal"/>
      <w:suff w:val="tab"/>
      <w:lvlText w:val="%1."/>
      <w:rPr>
        <w:color w:val="3370ff"/>
      </w:rPr>
    </w:lvl>
  </w:abstractNum>
  <w:abstractNum w:abstractNumId="1899242">
    <w:lvl>
      <w:start w:val="2"/>
      <w:numFmt w:val="decimal"/>
      <w:suff w:val="tab"/>
      <w:lvlText w:val="%1."/>
      <w:rPr>
        <w:color w:val="3370ff"/>
      </w:rPr>
    </w:lvl>
  </w:abstractNum>
  <w:abstractNum w:abstractNumId="1899243">
    <w:lvl>
      <w:numFmt w:val="bullet"/>
      <w:suff w:val="tab"/>
      <w:lvlText w:val="￮"/>
      <w:rPr>
        <w:color w:val="3370ff"/>
      </w:rPr>
    </w:lvl>
  </w:abstractNum>
  <w:abstractNum w:abstractNumId="1899244">
    <w:lvl>
      <w:numFmt w:val="bullet"/>
      <w:suff w:val="tab"/>
      <w:lvlText w:val="￮"/>
      <w:rPr>
        <w:color w:val="3370ff"/>
      </w:rPr>
    </w:lvl>
  </w:abstractNum>
  <w:abstractNum w:abstractNumId="1899245">
    <w:lvl>
      <w:numFmt w:val="bullet"/>
      <w:suff w:val="tab"/>
      <w:lvlText w:val="￮"/>
      <w:rPr>
        <w:color w:val="3370ff"/>
      </w:rPr>
    </w:lvl>
  </w:abstractNum>
  <w:abstractNum w:abstractNumId="1899246">
    <w:lvl>
      <w:start w:val="3"/>
      <w:numFmt w:val="decimal"/>
      <w:suff w:val="tab"/>
      <w:lvlText w:val="%1."/>
      <w:rPr>
        <w:color w:val="3370ff"/>
      </w:rPr>
    </w:lvl>
  </w:abstractNum>
  <w:abstractNum w:abstractNumId="1899247">
    <w:lvl>
      <w:start w:val="4"/>
      <w:numFmt w:val="decimal"/>
      <w:suff w:val="tab"/>
      <w:lvlText w:val="%1."/>
      <w:rPr>
        <w:color w:val="3370ff"/>
      </w:rPr>
    </w:lvl>
  </w:abstractNum>
  <w:abstractNum w:abstractNumId="1899248">
    <w:lvl>
      <w:start w:val="5"/>
      <w:numFmt w:val="decimal"/>
      <w:suff w:val="tab"/>
      <w:lvlText w:val="%1."/>
      <w:rPr>
        <w:color w:val="3370ff"/>
      </w:rPr>
    </w:lvl>
  </w:abstractNum>
  <w:abstractNum w:abstractNumId="1899249">
    <w:lvl>
      <w:numFmt w:val="bullet"/>
      <w:suff w:val="tab"/>
      <w:lvlText w:val="•"/>
      <w:rPr>
        <w:color w:val="3370ff"/>
      </w:rPr>
    </w:lvl>
  </w:abstractNum>
  <w:abstractNum w:abstractNumId="1899250">
    <w:lvl>
      <w:numFmt w:val="bullet"/>
      <w:suff w:val="tab"/>
      <w:lvlText w:val="•"/>
      <w:rPr>
        <w:color w:val="3370ff"/>
      </w:rPr>
    </w:lvl>
  </w:abstractNum>
  <w:abstractNum w:abstractNumId="1899251">
    <w:lvl>
      <w:numFmt w:val="bullet"/>
      <w:suff w:val="tab"/>
      <w:lvlText w:val="•"/>
      <w:rPr>
        <w:color w:val="3370ff"/>
      </w:rPr>
    </w:lvl>
  </w:abstractNum>
  <w:abstractNum w:abstractNumId="1899252">
    <w:lvl>
      <w:numFmt w:val="bullet"/>
      <w:suff w:val="tab"/>
      <w:lvlText w:val="•"/>
      <w:rPr>
        <w:color w:val="3370ff"/>
      </w:rPr>
    </w:lvl>
  </w:abstractNum>
  <w:abstractNum w:abstractNumId="1899253">
    <w:lvl>
      <w:numFmt w:val="bullet"/>
      <w:suff w:val="tab"/>
      <w:lvlText w:val="•"/>
      <w:rPr>
        <w:color w:val="3370ff"/>
      </w:rPr>
    </w:lvl>
  </w:abstractNum>
  <w:abstractNum w:abstractNumId="1899254">
    <w:lvl>
      <w:numFmt w:val="bullet"/>
      <w:suff w:val="tab"/>
      <w:lvlText w:val="•"/>
      <w:rPr>
        <w:color w:val="3370ff"/>
      </w:rPr>
    </w:lvl>
  </w:abstractNum>
  <w:abstractNum w:abstractNumId="1899255">
    <w:lvl>
      <w:numFmt w:val="bullet"/>
      <w:suff w:val="tab"/>
      <w:lvlText w:val="•"/>
      <w:rPr>
        <w:color w:val="3370ff"/>
      </w:rPr>
    </w:lvl>
  </w:abstractNum>
  <w:abstractNum w:abstractNumId="1899256">
    <w:lvl>
      <w:numFmt w:val="bullet"/>
      <w:suff w:val="tab"/>
      <w:lvlText w:val="•"/>
      <w:rPr>
        <w:color w:val="3370ff"/>
      </w:rPr>
    </w:lvl>
  </w:abstractNum>
  <w:abstractNum w:abstractNumId="1899257">
    <w:lvl>
      <w:numFmt w:val="bullet"/>
      <w:suff w:val="tab"/>
      <w:lvlText w:val="•"/>
      <w:rPr>
        <w:color w:val="3370ff"/>
      </w:rPr>
    </w:lvl>
  </w:abstractNum>
  <w:abstractNum w:abstractNumId="1899258">
    <w:lvl>
      <w:numFmt w:val="bullet"/>
      <w:suff w:val="tab"/>
      <w:lvlText w:val="•"/>
      <w:rPr>
        <w:color w:val="3370ff"/>
      </w:rPr>
    </w:lvl>
  </w:abstractNum>
  <w:abstractNum w:abstractNumId="1899259">
    <w:lvl>
      <w:numFmt w:val="bullet"/>
      <w:suff w:val="tab"/>
      <w:lvlText w:val="•"/>
      <w:rPr>
        <w:color w:val="3370ff"/>
      </w:rPr>
    </w:lvl>
  </w:abstractNum>
  <w:abstractNum w:abstractNumId="1899260">
    <w:lvl>
      <w:numFmt w:val="bullet"/>
      <w:suff w:val="tab"/>
      <w:lvlText w:val="•"/>
      <w:rPr>
        <w:color w:val="3370ff"/>
      </w:rPr>
    </w:lvl>
  </w:abstractNum>
  <w:abstractNum w:abstractNumId="1899261">
    <w:lvl>
      <w:numFmt w:val="bullet"/>
      <w:suff w:val="tab"/>
      <w:lvlText w:val="•"/>
      <w:rPr>
        <w:color w:val="3370ff"/>
      </w:rPr>
    </w:lvl>
  </w:abstractNum>
  <w:abstractNum w:abstractNumId="1899262">
    <w:lvl>
      <w:numFmt w:val="bullet"/>
      <w:suff w:val="tab"/>
      <w:lvlText w:val="•"/>
      <w:rPr>
        <w:color w:val="3370ff"/>
      </w:rPr>
    </w:lvl>
  </w:abstractNum>
  <w:abstractNum w:abstractNumId="1899263">
    <w:lvl>
      <w:numFmt w:val="bullet"/>
      <w:suff w:val="tab"/>
      <w:lvlText w:val="•"/>
      <w:rPr>
        <w:color w:val="3370ff"/>
      </w:rPr>
    </w:lvl>
  </w:abstractNum>
  <w:abstractNum w:abstractNumId="1899264">
    <w:lvl>
      <w:numFmt w:val="bullet"/>
      <w:suff w:val="tab"/>
      <w:lvlText w:val="•"/>
      <w:rPr>
        <w:color w:val="3370ff"/>
      </w:rPr>
    </w:lvl>
  </w:abstractNum>
  <w:abstractNum w:abstractNumId="1899265">
    <w:lvl>
      <w:numFmt w:val="bullet"/>
      <w:suff w:val="tab"/>
      <w:lvlText w:val="•"/>
      <w:rPr>
        <w:color w:val="3370ff"/>
      </w:rPr>
    </w:lvl>
  </w:abstractNum>
  <w:abstractNum w:abstractNumId="1899266">
    <w:lvl>
      <w:numFmt w:val="bullet"/>
      <w:suff w:val="tab"/>
      <w:lvlText w:val="•"/>
      <w:rPr>
        <w:color w:val="3370ff"/>
      </w:rPr>
    </w:lvl>
  </w:abstractNum>
  <w:abstractNum w:abstractNumId="1899267">
    <w:lvl>
      <w:start w:val="1"/>
      <w:numFmt w:val="decimal"/>
      <w:suff w:val="tab"/>
      <w:lvlText w:val="%1."/>
      <w:rPr>
        <w:color w:val="3370ff"/>
      </w:rPr>
    </w:lvl>
  </w:abstractNum>
  <w:abstractNum w:abstractNumId="1899268">
    <w:lvl>
      <w:start w:val="2"/>
      <w:numFmt w:val="decimal"/>
      <w:suff w:val="tab"/>
      <w:lvlText w:val="%1."/>
      <w:rPr>
        <w:color w:val="3370ff"/>
      </w:rPr>
    </w:lvl>
  </w:abstractNum>
  <w:abstractNum w:abstractNumId="1899269">
    <w:lvl>
      <w:start w:val="3"/>
      <w:numFmt w:val="decimal"/>
      <w:suff w:val="tab"/>
      <w:lvlText w:val="%1."/>
      <w:rPr>
        <w:color w:val="3370ff"/>
      </w:rPr>
    </w:lvl>
  </w:abstractNum>
  <w:abstractNum w:abstractNumId="1899270">
    <w:lvl>
      <w:start w:val="4"/>
      <w:numFmt w:val="decimal"/>
      <w:suff w:val="tab"/>
      <w:lvlText w:val="%1."/>
      <w:rPr>
        <w:color w:val="3370ff"/>
      </w:rPr>
    </w:lvl>
  </w:abstractNum>
  <w:abstractNum w:abstractNumId="1899271">
    <w:lvl>
      <w:start w:val="5"/>
      <w:numFmt w:val="decimal"/>
      <w:suff w:val="tab"/>
      <w:lvlText w:val="%1."/>
      <w:rPr>
        <w:color w:val="3370ff"/>
      </w:rPr>
    </w:lvl>
  </w:abstractNum>
  <w:abstractNum w:abstractNumId="1899272">
    <w:lvl>
      <w:numFmt w:val="bullet"/>
      <w:suff w:val="tab"/>
      <w:lvlText w:val="•"/>
      <w:rPr>
        <w:color w:val="3370ff"/>
      </w:rPr>
    </w:lvl>
  </w:abstractNum>
  <w:abstractNum w:abstractNumId="1899273">
    <w:lvl>
      <w:numFmt w:val="bullet"/>
      <w:suff w:val="tab"/>
      <w:lvlText w:val="•"/>
      <w:rPr>
        <w:color w:val="3370ff"/>
      </w:rPr>
    </w:lvl>
  </w:abstractNum>
  <w:abstractNum w:abstractNumId="1899274">
    <w:lvl>
      <w:numFmt w:val="bullet"/>
      <w:suff w:val="tab"/>
      <w:lvlText w:val="•"/>
      <w:rPr>
        <w:color w:val="3370ff"/>
      </w:rPr>
    </w:lvl>
  </w:abstractNum>
  <w:abstractNum w:abstractNumId="1899275">
    <w:lvl>
      <w:numFmt w:val="bullet"/>
      <w:suff w:val="tab"/>
      <w:lvlText w:val="•"/>
      <w:rPr>
        <w:color w:val="3370ff"/>
      </w:rPr>
    </w:lvl>
  </w:abstractNum>
  <w:abstractNum w:abstractNumId="1899276">
    <w:lvl>
      <w:numFmt w:val="bullet"/>
      <w:suff w:val="tab"/>
      <w:lvlText w:val="•"/>
      <w:rPr>
        <w:color w:val="3370ff"/>
      </w:rPr>
    </w:lvl>
  </w:abstractNum>
  <w:abstractNum w:abstractNumId="1899277">
    <w:lvl>
      <w:numFmt w:val="bullet"/>
      <w:suff w:val="tab"/>
      <w:lvlText w:val="•"/>
      <w:rPr>
        <w:color w:val="3370ff"/>
      </w:rPr>
    </w:lvl>
  </w:abstractNum>
  <w:abstractNum w:abstractNumId="1899278">
    <w:lvl>
      <w:numFmt w:val="bullet"/>
      <w:suff w:val="tab"/>
      <w:lvlText w:val="•"/>
      <w:rPr>
        <w:color w:val="3370ff"/>
      </w:rPr>
    </w:lvl>
  </w:abstractNum>
  <w:abstractNum w:abstractNumId="1899279">
    <w:lvl>
      <w:numFmt w:val="bullet"/>
      <w:suff w:val="tab"/>
      <w:lvlText w:val="•"/>
      <w:rPr>
        <w:color w:val="3370ff"/>
      </w:rPr>
    </w:lvl>
  </w:abstractNum>
  <w:abstractNum w:abstractNumId="1899280">
    <w:lvl>
      <w:numFmt w:val="bullet"/>
      <w:suff w:val="tab"/>
      <w:lvlText w:val="•"/>
      <w:rPr>
        <w:color w:val="3370ff"/>
      </w:rPr>
    </w:lvl>
  </w:abstractNum>
  <w:abstractNum w:abstractNumId="1899281">
    <w:lvl>
      <w:numFmt w:val="bullet"/>
      <w:suff w:val="tab"/>
      <w:lvlText w:val="•"/>
      <w:rPr>
        <w:color w:val="3370ff"/>
      </w:rPr>
    </w:lvl>
  </w:abstractNum>
  <w:abstractNum w:abstractNumId="1899282">
    <w:lvl>
      <w:numFmt w:val="bullet"/>
      <w:suff w:val="tab"/>
      <w:lvlText w:val="•"/>
      <w:rPr>
        <w:color w:val="3370ff"/>
      </w:rPr>
    </w:lvl>
  </w:abstractNum>
  <w:abstractNum w:abstractNumId="1899283">
    <w:lvl>
      <w:numFmt w:val="bullet"/>
      <w:suff w:val="tab"/>
      <w:lvlText w:val="•"/>
      <w:rPr>
        <w:color w:val="3370ff"/>
      </w:rPr>
    </w:lvl>
  </w:abstractNum>
  <w:abstractNum w:abstractNumId="1899284">
    <w:lvl>
      <w:numFmt w:val="bullet"/>
      <w:suff w:val="tab"/>
      <w:lvlText w:val="•"/>
      <w:rPr>
        <w:color w:val="3370ff"/>
      </w:rPr>
    </w:lvl>
  </w:abstractNum>
  <w:abstractNum w:abstractNumId="1899285">
    <w:lvl>
      <w:numFmt w:val="bullet"/>
      <w:suff w:val="tab"/>
      <w:lvlText w:val="•"/>
      <w:rPr>
        <w:color w:val="3370ff"/>
      </w:rPr>
    </w:lvl>
  </w:abstractNum>
  <w:abstractNum w:abstractNumId="1899286">
    <w:lvl>
      <w:numFmt w:val="bullet"/>
      <w:suff w:val="tab"/>
      <w:lvlText w:val="•"/>
      <w:rPr>
        <w:color w:val="3370ff"/>
      </w:rPr>
    </w:lvl>
  </w:abstractNum>
  <w:abstractNum w:abstractNumId="1899287">
    <w:lvl>
      <w:numFmt w:val="bullet"/>
      <w:suff w:val="tab"/>
      <w:lvlText w:val="•"/>
      <w:rPr>
        <w:color w:val="3370ff"/>
      </w:rPr>
    </w:lvl>
  </w:abstractNum>
  <w:abstractNum w:abstractNumId="1899288">
    <w:lvl>
      <w:start w:val="1"/>
      <w:numFmt w:val="decimal"/>
      <w:suff w:val="tab"/>
      <w:lvlText w:val="%1."/>
      <w:rPr>
        <w:color w:val="3370ff"/>
      </w:rPr>
    </w:lvl>
  </w:abstractNum>
  <w:abstractNum w:abstractNumId="1899289">
    <w:lvl>
      <w:start w:val="2"/>
      <w:numFmt w:val="decimal"/>
      <w:suff w:val="tab"/>
      <w:lvlText w:val="%1."/>
      <w:rPr>
        <w:color w:val="3370ff"/>
      </w:rPr>
    </w:lvl>
  </w:abstractNum>
  <w:abstractNum w:abstractNumId="1899290">
    <w:lvl>
      <w:numFmt w:val="bullet"/>
      <w:suff w:val="tab"/>
      <w:lvlText w:val="￮"/>
      <w:rPr>
        <w:color w:val="3370ff"/>
      </w:rPr>
    </w:lvl>
  </w:abstractNum>
  <w:abstractNum w:abstractNumId="1899291">
    <w:lvl>
      <w:numFmt w:val="bullet"/>
      <w:suff w:val="tab"/>
      <w:lvlText w:val="￮"/>
      <w:rPr>
        <w:color w:val="3370ff"/>
      </w:rPr>
    </w:lvl>
  </w:abstractNum>
  <w:abstractNum w:abstractNumId="1899292">
    <w:lvl>
      <w:numFmt w:val="bullet"/>
      <w:suff w:val="tab"/>
      <w:lvlText w:val="￮"/>
      <w:rPr>
        <w:color w:val="3370ff"/>
      </w:rPr>
    </w:lvl>
  </w:abstractNum>
  <w:abstractNum w:abstractNumId="1899293">
    <w:lvl>
      <w:numFmt w:val="bullet"/>
      <w:suff w:val="tab"/>
      <w:lvlText w:val="￮"/>
      <w:rPr>
        <w:color w:val="3370ff"/>
      </w:rPr>
    </w:lvl>
  </w:abstractNum>
  <w:abstractNum w:abstractNumId="1899294">
    <w:lvl>
      <w:start w:val="3"/>
      <w:numFmt w:val="decimal"/>
      <w:suff w:val="tab"/>
      <w:lvlText w:val="%1."/>
      <w:rPr>
        <w:color w:val="3370ff"/>
      </w:rPr>
    </w:lvl>
  </w:abstractNum>
  <w:abstractNum w:abstractNumId="1899295">
    <w:lvl>
      <w:start w:val="4"/>
      <w:numFmt w:val="decimal"/>
      <w:suff w:val="tab"/>
      <w:lvlText w:val="%1."/>
      <w:rPr>
        <w:color w:val="3370ff"/>
      </w:rPr>
    </w:lvl>
  </w:abstractNum>
  <w:abstractNum w:abstractNumId="1899296">
    <w:lvl>
      <w:numFmt w:val="bullet"/>
      <w:suff w:val="tab"/>
      <w:lvlText w:val="•"/>
      <w:rPr>
        <w:color w:val="3370ff"/>
      </w:rPr>
    </w:lvl>
  </w:abstractNum>
  <w:abstractNum w:abstractNumId="1899297">
    <w:lvl>
      <w:start w:val="1"/>
      <w:numFmt w:val="lowerLetter"/>
      <w:suff w:val="tab"/>
      <w:lvlText w:val="%1."/>
      <w:rPr>
        <w:color w:val="3370ff"/>
      </w:rPr>
    </w:lvl>
  </w:abstractNum>
  <w:abstractNum w:abstractNumId="1899298">
    <w:lvl>
      <w:start w:val="2"/>
      <w:numFmt w:val="lowerLetter"/>
      <w:suff w:val="tab"/>
      <w:lvlText w:val="%1."/>
      <w:rPr>
        <w:color w:val="3370ff"/>
      </w:rPr>
    </w:lvl>
  </w:abstractNum>
  <w:abstractNum w:abstractNumId="1899299">
    <w:lvl>
      <w:start w:val="3"/>
      <w:numFmt w:val="lowerLetter"/>
      <w:suff w:val="tab"/>
      <w:lvlText w:val="%1."/>
      <w:rPr>
        <w:color w:val="3370ff"/>
      </w:rPr>
    </w:lvl>
  </w:abstractNum>
  <w:abstractNum w:abstractNumId="1899300">
    <w:lvl>
      <w:start w:val="4"/>
      <w:numFmt w:val="lowerLetter"/>
      <w:suff w:val="tab"/>
      <w:lvlText w:val="%1."/>
      <w:rPr>
        <w:color w:val="3370ff"/>
      </w:rPr>
    </w:lvl>
  </w:abstractNum>
  <w:abstractNum w:abstractNumId="1899301">
    <w:lvl>
      <w:numFmt w:val="bullet"/>
      <w:suff w:val="tab"/>
      <w:lvlText w:val="•"/>
      <w:rPr>
        <w:color w:val="3370ff"/>
      </w:rPr>
    </w:lvl>
  </w:abstractNum>
  <w:abstractNum w:abstractNumId="1899302">
    <w:lvl>
      <w:numFmt w:val="bullet"/>
      <w:suff w:val="tab"/>
      <w:lvlText w:val="•"/>
      <w:rPr>
        <w:color w:val="3370ff"/>
      </w:rPr>
    </w:lvl>
  </w:abstractNum>
  <w:abstractNum w:abstractNumId="1899303">
    <w:lvl>
      <w:numFmt w:val="bullet"/>
      <w:suff w:val="tab"/>
      <w:lvlText w:val="•"/>
      <w:rPr>
        <w:color w:val="3370ff"/>
      </w:rPr>
    </w:lvl>
  </w:abstractNum>
  <w:abstractNum w:abstractNumId="1899304">
    <w:lvl>
      <w:numFmt w:val="bullet"/>
      <w:suff w:val="tab"/>
      <w:lvlText w:val="•"/>
      <w:rPr>
        <w:color w:val="3370ff"/>
      </w:rPr>
    </w:lvl>
  </w:abstractNum>
  <w:abstractNum w:abstractNumId="1899305">
    <w:lvl>
      <w:numFmt w:val="bullet"/>
      <w:suff w:val="tab"/>
      <w:lvlText w:val="•"/>
      <w:rPr>
        <w:color w:val="3370ff"/>
      </w:rPr>
    </w:lvl>
  </w:abstractNum>
  <w:abstractNum w:abstractNumId="1899306">
    <w:lvl>
      <w:numFmt w:val="bullet"/>
      <w:suff w:val="tab"/>
      <w:lvlText w:val="•"/>
      <w:rPr>
        <w:color w:val="3370ff"/>
      </w:rPr>
    </w:lvl>
  </w:abstractNum>
  <w:abstractNum w:abstractNumId="1899307">
    <w:lvl>
      <w:numFmt w:val="bullet"/>
      <w:suff w:val="tab"/>
      <w:lvlText w:val="•"/>
      <w:rPr>
        <w:color w:val="3370ff"/>
      </w:rPr>
    </w:lvl>
  </w:abstractNum>
  <w:abstractNum w:abstractNumId="1899308">
    <w:lvl>
      <w:numFmt w:val="bullet"/>
      <w:suff w:val="tab"/>
      <w:lvlText w:val="•"/>
      <w:rPr>
        <w:color w:val="3370ff"/>
      </w:rPr>
    </w:lvl>
  </w:abstractNum>
  <w:abstractNum w:abstractNumId="1899309">
    <w:lvl>
      <w:numFmt w:val="bullet"/>
      <w:suff w:val="tab"/>
      <w:lvlText w:val="•"/>
      <w:rPr>
        <w:color w:val="3370ff"/>
      </w:rPr>
    </w:lvl>
  </w:abstractNum>
  <w:abstractNum w:abstractNumId="1899310">
    <w:lvl>
      <w:numFmt w:val="bullet"/>
      <w:suff w:val="tab"/>
      <w:lvlText w:val="•"/>
      <w:rPr>
        <w:color w:val="3370ff"/>
      </w:rPr>
    </w:lvl>
  </w:abstractNum>
  <w:abstractNum w:abstractNumId="1899311">
    <w:lvl>
      <w:start w:val="1"/>
      <w:numFmt w:val="decimal"/>
      <w:suff w:val="tab"/>
      <w:lvlText w:val="%1."/>
      <w:rPr>
        <w:color w:val="3370ff"/>
      </w:rPr>
    </w:lvl>
  </w:abstractNum>
  <w:abstractNum w:abstractNumId="1899312">
    <w:lvl>
      <w:start w:val="2"/>
      <w:numFmt w:val="decimal"/>
      <w:suff w:val="tab"/>
      <w:lvlText w:val="%1."/>
      <w:rPr>
        <w:color w:val="3370ff"/>
      </w:rPr>
    </w:lvl>
  </w:abstractNum>
  <w:abstractNum w:abstractNumId="1899313">
    <w:lvl>
      <w:start w:val="3"/>
      <w:numFmt w:val="decimal"/>
      <w:suff w:val="tab"/>
      <w:lvlText w:val="%1."/>
      <w:rPr>
        <w:color w:val="3370ff"/>
      </w:rPr>
    </w:lvl>
  </w:abstractNum>
  <w:abstractNum w:abstractNumId="1899314">
    <w:lvl>
      <w:start w:val="4"/>
      <w:numFmt w:val="decimal"/>
      <w:suff w:val="tab"/>
      <w:lvlText w:val="%1."/>
      <w:rPr>
        <w:color w:val="3370ff"/>
      </w:rPr>
    </w:lvl>
  </w:abstractNum>
  <w:abstractNum w:abstractNumId="1899315">
    <w:lvl>
      <w:start w:val="5"/>
      <w:numFmt w:val="decimal"/>
      <w:suff w:val="tab"/>
      <w:lvlText w:val="%1."/>
      <w:rPr>
        <w:color w:val="3370ff"/>
      </w:rPr>
    </w:lvl>
  </w:abstractNum>
  <w:abstractNum w:abstractNumId="1899316">
    <w:lvl>
      <w:start w:val="6"/>
      <w:numFmt w:val="decimal"/>
      <w:suff w:val="tab"/>
      <w:lvlText w:val="%1."/>
      <w:rPr>
        <w:color w:val="3370ff"/>
      </w:rPr>
    </w:lvl>
  </w:abstractNum>
  <w:abstractNum w:abstractNumId="1899317">
    <w:lvl>
      <w:numFmt w:val="bullet"/>
      <w:suff w:val="tab"/>
      <w:lvlText w:val="•"/>
      <w:rPr>
        <w:color w:val="3370ff"/>
      </w:rPr>
    </w:lvl>
  </w:abstractNum>
  <w:abstractNum w:abstractNumId="1899318">
    <w:lvl>
      <w:numFmt w:val="bullet"/>
      <w:suff w:val="tab"/>
      <w:lvlText w:val="•"/>
      <w:rPr>
        <w:color w:val="3370ff"/>
      </w:rPr>
    </w:lvl>
  </w:abstractNum>
  <w:abstractNum w:abstractNumId="1899319">
    <w:lvl>
      <w:numFmt w:val="bullet"/>
      <w:suff w:val="tab"/>
      <w:lvlText w:val="•"/>
      <w:rPr>
        <w:color w:val="3370ff"/>
      </w:rPr>
    </w:lvl>
  </w:abstractNum>
  <w:abstractNum w:abstractNumId="1899320">
    <w:lvl>
      <w:numFmt w:val="bullet"/>
      <w:suff w:val="tab"/>
      <w:lvlText w:val="•"/>
      <w:rPr>
        <w:color w:val="3370ff"/>
      </w:rPr>
    </w:lvl>
  </w:abstractNum>
  <w:abstractNum w:abstractNumId="1899321">
    <w:lvl>
      <w:start w:val="1"/>
      <w:numFmt w:val="decimal"/>
      <w:suff w:val="tab"/>
      <w:lvlText w:val="%1."/>
      <w:rPr>
        <w:color w:val="3370ff"/>
      </w:rPr>
    </w:lvl>
  </w:abstractNum>
  <w:abstractNum w:abstractNumId="1899322">
    <w:lvl>
      <w:numFmt w:val="bullet"/>
      <w:suff w:val="tab"/>
      <w:lvlText w:val="￮"/>
      <w:rPr>
        <w:color w:val="3370ff"/>
      </w:rPr>
    </w:lvl>
  </w:abstractNum>
  <w:abstractNum w:abstractNumId="1899323">
    <w:lvl>
      <w:numFmt w:val="bullet"/>
      <w:suff w:val="tab"/>
      <w:lvlText w:val="￮"/>
      <w:rPr>
        <w:color w:val="3370ff"/>
      </w:rPr>
    </w:lvl>
  </w:abstractNum>
  <w:abstractNum w:abstractNumId="1899324">
    <w:lvl>
      <w:numFmt w:val="bullet"/>
      <w:suff w:val="tab"/>
      <w:lvlText w:val="￮"/>
      <w:rPr>
        <w:color w:val="3370ff"/>
      </w:rPr>
    </w:lvl>
  </w:abstractNum>
  <w:abstractNum w:abstractNumId="1899325">
    <w:lvl>
      <w:start w:val="2"/>
      <w:numFmt w:val="decimal"/>
      <w:suff w:val="tab"/>
      <w:lvlText w:val="%1."/>
      <w:rPr>
        <w:color w:val="3370ff"/>
      </w:rPr>
    </w:lvl>
  </w:abstractNum>
  <w:abstractNum w:abstractNumId="1899326">
    <w:lvl>
      <w:numFmt w:val="bullet"/>
      <w:suff w:val="tab"/>
      <w:lvlText w:val="￮"/>
      <w:rPr>
        <w:color w:val="3370ff"/>
      </w:rPr>
    </w:lvl>
  </w:abstractNum>
  <w:abstractNum w:abstractNumId="1899327">
    <w:lvl>
      <w:numFmt w:val="bullet"/>
      <w:suff w:val="tab"/>
      <w:lvlText w:val="￮"/>
      <w:rPr>
        <w:color w:val="3370ff"/>
      </w:rPr>
    </w:lvl>
  </w:abstractNum>
  <w:abstractNum w:abstractNumId="1899328">
    <w:lvl>
      <w:start w:val="3"/>
      <w:numFmt w:val="decimal"/>
      <w:suff w:val="tab"/>
      <w:lvlText w:val="%1."/>
      <w:rPr>
        <w:color w:val="3370ff"/>
      </w:rPr>
    </w:lvl>
  </w:abstractNum>
  <w:abstractNum w:abstractNumId="1899329">
    <w:lvl>
      <w:numFmt w:val="bullet"/>
      <w:suff w:val="tab"/>
      <w:lvlText w:val="￮"/>
      <w:rPr>
        <w:color w:val="3370ff"/>
      </w:rPr>
    </w:lvl>
  </w:abstractNum>
  <w:abstractNum w:abstractNumId="1899330">
    <w:lvl>
      <w:numFmt w:val="bullet"/>
      <w:suff w:val="tab"/>
      <w:lvlText w:val="￮"/>
      <w:rPr>
        <w:color w:val="3370ff"/>
      </w:rPr>
    </w:lvl>
  </w:abstractNum>
  <w:abstractNum w:abstractNumId="1899331">
    <w:lvl>
      <w:start w:val="4"/>
      <w:numFmt w:val="decimal"/>
      <w:suff w:val="tab"/>
      <w:lvlText w:val="%1."/>
      <w:rPr>
        <w:color w:val="3370ff"/>
      </w:rPr>
    </w:lvl>
  </w:abstractNum>
  <w:abstractNum w:abstractNumId="1899332">
    <w:lvl>
      <w:numFmt w:val="bullet"/>
      <w:suff w:val="tab"/>
      <w:lvlText w:val="￮"/>
      <w:rPr>
        <w:color w:val="3370ff"/>
      </w:rPr>
    </w:lvl>
  </w:abstractNum>
  <w:abstractNum w:abstractNumId="1899333">
    <w:lvl>
      <w:numFmt w:val="bullet"/>
      <w:suff w:val="tab"/>
      <w:lvlText w:val="￮"/>
      <w:rPr>
        <w:color w:val="3370ff"/>
      </w:rPr>
    </w:lvl>
  </w:abstractNum>
  <w:abstractNum w:abstractNumId="1899334">
    <w:lvl>
      <w:start w:val="5"/>
      <w:numFmt w:val="decimal"/>
      <w:suff w:val="tab"/>
      <w:lvlText w:val="%1."/>
      <w:rPr>
        <w:color w:val="3370ff"/>
      </w:rPr>
    </w:lvl>
  </w:abstractNum>
  <w:abstractNum w:abstractNumId="1899335">
    <w:lvl>
      <w:numFmt w:val="bullet"/>
      <w:suff w:val="tab"/>
      <w:lvlText w:val="￮"/>
      <w:rPr>
        <w:color w:val="3370ff"/>
      </w:rPr>
    </w:lvl>
  </w:abstractNum>
  <w:abstractNum w:abstractNumId="1899336">
    <w:lvl>
      <w:numFmt w:val="bullet"/>
      <w:suff w:val="tab"/>
      <w:lvlText w:val="￮"/>
      <w:rPr>
        <w:color w:val="3370ff"/>
      </w:rPr>
    </w:lvl>
  </w:abstractNum>
  <w:abstractNum w:abstractNumId="1899337">
    <w:lvl>
      <w:numFmt w:val="bullet"/>
      <w:suff w:val="tab"/>
      <w:lvlText w:val="•"/>
      <w:rPr>
        <w:color w:val="3370ff"/>
      </w:rPr>
    </w:lvl>
  </w:abstractNum>
  <w:abstractNum w:abstractNumId="1899338">
    <w:lvl>
      <w:numFmt w:val="bullet"/>
      <w:suff w:val="tab"/>
      <w:lvlText w:val="•"/>
      <w:rPr>
        <w:color w:val="3370ff"/>
      </w:rPr>
    </w:lvl>
  </w:abstractNum>
  <w:abstractNum w:abstractNumId="1899339">
    <w:lvl>
      <w:numFmt w:val="bullet"/>
      <w:suff w:val="tab"/>
      <w:lvlText w:val="•"/>
      <w:rPr>
        <w:color w:val="3370ff"/>
      </w:rPr>
    </w:lvl>
  </w:abstractNum>
  <w:abstractNum w:abstractNumId="1899340">
    <w:lvl>
      <w:numFmt w:val="bullet"/>
      <w:suff w:val="tab"/>
      <w:lvlText w:val="•"/>
      <w:rPr>
        <w:color w:val="3370ff"/>
      </w:rPr>
    </w:lvl>
  </w:abstractNum>
  <w:abstractNum w:abstractNumId="1899341">
    <w:lvl>
      <w:numFmt w:val="bullet"/>
      <w:suff w:val="tab"/>
      <w:lvlText w:val="•"/>
      <w:rPr>
        <w:color w:val="3370ff"/>
      </w:rPr>
    </w:lvl>
  </w:abstractNum>
  <w:abstractNum w:abstractNumId="1899342">
    <w:lvl>
      <w:numFmt w:val="bullet"/>
      <w:suff w:val="tab"/>
      <w:lvlText w:val="•"/>
      <w:rPr>
        <w:color w:val="3370ff"/>
      </w:rPr>
    </w:lvl>
  </w:abstractNum>
  <w:abstractNum w:abstractNumId="1899343">
    <w:lvl>
      <w:numFmt w:val="bullet"/>
      <w:suff w:val="tab"/>
      <w:lvlText w:val="•"/>
      <w:rPr>
        <w:color w:val="3370ff"/>
      </w:rPr>
    </w:lvl>
  </w:abstractNum>
  <w:abstractNum w:abstractNumId="1899344">
    <w:lvl>
      <w:numFmt w:val="bullet"/>
      <w:suff w:val="tab"/>
      <w:lvlText w:val="•"/>
      <w:rPr>
        <w:color w:val="3370ff"/>
      </w:rPr>
    </w:lvl>
  </w:abstractNum>
  <w:abstractNum w:abstractNumId="1899345">
    <w:lvl>
      <w:numFmt w:val="bullet"/>
      <w:suff w:val="tab"/>
      <w:lvlText w:val="•"/>
      <w:rPr>
        <w:color w:val="3370ff"/>
      </w:rPr>
    </w:lvl>
  </w:abstractNum>
  <w:abstractNum w:abstractNumId="1899346">
    <w:lvl>
      <w:numFmt w:val="bullet"/>
      <w:suff w:val="tab"/>
      <w:lvlText w:val="•"/>
      <w:rPr>
        <w:color w:val="3370ff"/>
      </w:rPr>
    </w:lvl>
  </w:abstractNum>
  <w:abstractNum w:abstractNumId="1899347">
    <w:lvl>
      <w:numFmt w:val="bullet"/>
      <w:suff w:val="tab"/>
      <w:lvlText w:val="•"/>
      <w:rPr>
        <w:color w:val="3370ff"/>
      </w:rPr>
    </w:lvl>
  </w:abstractNum>
  <w:abstractNum w:abstractNumId="1899348">
    <w:lvl>
      <w:numFmt w:val="bullet"/>
      <w:suff w:val="tab"/>
      <w:lvlText w:val="•"/>
      <w:rPr>
        <w:color w:val="3370ff"/>
      </w:rPr>
    </w:lvl>
  </w:abstractNum>
  <w:abstractNum w:abstractNumId="1899349">
    <w:lvl>
      <w:numFmt w:val="bullet"/>
      <w:suff w:val="tab"/>
      <w:lvlText w:val="•"/>
      <w:rPr>
        <w:color w:val="3370ff"/>
      </w:rPr>
    </w:lvl>
  </w:abstractNum>
  <w:abstractNum w:abstractNumId="1899350">
    <w:lvl>
      <w:numFmt w:val="bullet"/>
      <w:suff w:val="tab"/>
      <w:lvlText w:val="•"/>
      <w:rPr>
        <w:color w:val="3370ff"/>
      </w:rPr>
    </w:lvl>
  </w:abstractNum>
  <w:abstractNum w:abstractNumId="1899351">
    <w:lvl>
      <w:numFmt w:val="bullet"/>
      <w:suff w:val="tab"/>
      <w:lvlText w:val="•"/>
      <w:rPr>
        <w:color w:val="3370ff"/>
      </w:rPr>
    </w:lvl>
  </w:abstractNum>
  <w:abstractNum w:abstractNumId="1899352">
    <w:lvl>
      <w:numFmt w:val="bullet"/>
      <w:suff w:val="tab"/>
      <w:lvlText w:val="•"/>
      <w:rPr>
        <w:color w:val="3370ff"/>
      </w:rPr>
    </w:lvl>
  </w:abstractNum>
  <w:abstractNum w:abstractNumId="1899353">
    <w:lvl>
      <w:numFmt w:val="bullet"/>
      <w:suff w:val="tab"/>
      <w:lvlText w:val="•"/>
      <w:rPr>
        <w:color w:val="3370ff"/>
      </w:rPr>
    </w:lvl>
  </w:abstractNum>
  <w:abstractNum w:abstractNumId="1899354">
    <w:lvl>
      <w:numFmt w:val="bullet"/>
      <w:suff w:val="tab"/>
      <w:lvlText w:val="•"/>
      <w:rPr>
        <w:color w:val="3370ff"/>
      </w:rPr>
    </w:lvl>
  </w:abstractNum>
  <w:abstractNum w:abstractNumId="1899355">
    <w:lvl>
      <w:numFmt w:val="bullet"/>
      <w:suff w:val="tab"/>
      <w:lvlText w:val="•"/>
      <w:rPr>
        <w:color w:val="3370ff"/>
      </w:rPr>
    </w:lvl>
  </w:abstractNum>
  <w:abstractNum w:abstractNumId="1899356">
    <w:lvl>
      <w:numFmt w:val="bullet"/>
      <w:suff w:val="tab"/>
      <w:lvlText w:val="•"/>
      <w:rPr>
        <w:color w:val="3370ff"/>
      </w:rPr>
    </w:lvl>
  </w:abstractNum>
  <w:abstractNum w:abstractNumId="1899357">
    <w:lvl>
      <w:numFmt w:val="bullet"/>
      <w:suff w:val="tab"/>
      <w:lvlText w:val="•"/>
      <w:rPr>
        <w:color w:val="3370ff"/>
      </w:rPr>
    </w:lvl>
  </w:abstractNum>
  <w:abstractNum w:abstractNumId="1899358">
    <w:lvl>
      <w:numFmt w:val="bullet"/>
      <w:suff w:val="tab"/>
      <w:lvlText w:val="•"/>
      <w:rPr>
        <w:color w:val="3370ff"/>
      </w:rPr>
    </w:lvl>
  </w:abstractNum>
  <w:abstractNum w:abstractNumId="1899359">
    <w:lvl>
      <w:numFmt w:val="bullet"/>
      <w:suff w:val="tab"/>
      <w:lvlText w:val="•"/>
      <w:rPr>
        <w:color w:val="3370ff"/>
      </w:rPr>
    </w:lvl>
  </w:abstractNum>
  <w:abstractNum w:abstractNumId="1899360">
    <w:lvl>
      <w:numFmt w:val="bullet"/>
      <w:suff w:val="tab"/>
      <w:lvlText w:val="•"/>
      <w:rPr>
        <w:color w:val="3370ff"/>
      </w:rPr>
    </w:lvl>
  </w:abstractNum>
  <w:abstractNum w:abstractNumId="1899361">
    <w:lvl>
      <w:numFmt w:val="bullet"/>
      <w:suff w:val="tab"/>
      <w:lvlText w:val="•"/>
      <w:rPr>
        <w:color w:val="3370ff"/>
      </w:rPr>
    </w:lvl>
  </w:abstractNum>
  <w:abstractNum w:abstractNumId="1899362">
    <w:lvl>
      <w:numFmt w:val="bullet"/>
      <w:suff w:val="tab"/>
      <w:lvlText w:val="•"/>
      <w:rPr>
        <w:color w:val="3370ff"/>
      </w:rPr>
    </w:lvl>
  </w:abstractNum>
  <w:abstractNum w:abstractNumId="1899363">
    <w:lvl>
      <w:numFmt w:val="bullet"/>
      <w:suff w:val="tab"/>
      <w:lvlText w:val="•"/>
      <w:rPr>
        <w:color w:val="3370ff"/>
      </w:rPr>
    </w:lvl>
  </w:abstractNum>
  <w:abstractNum w:abstractNumId="1899364">
    <w:lvl>
      <w:numFmt w:val="bullet"/>
      <w:suff w:val="tab"/>
      <w:lvlText w:val="•"/>
      <w:rPr>
        <w:color w:val="3370ff"/>
      </w:rPr>
    </w:lvl>
  </w:abstractNum>
  <w:abstractNum w:abstractNumId="1899365">
    <w:lvl>
      <w:numFmt w:val="bullet"/>
      <w:suff w:val="tab"/>
      <w:lvlText w:val="•"/>
      <w:rPr>
        <w:color w:val="3370ff"/>
      </w:rPr>
    </w:lvl>
  </w:abstractNum>
  <w:abstractNum w:abstractNumId="1899366">
    <w:lvl>
      <w:numFmt w:val="bullet"/>
      <w:suff w:val="tab"/>
      <w:lvlText w:val="•"/>
      <w:rPr>
        <w:color w:val="3370ff"/>
      </w:rPr>
    </w:lvl>
  </w:abstractNum>
  <w:abstractNum w:abstractNumId="1899367">
    <w:lvl>
      <w:numFmt w:val="bullet"/>
      <w:suff w:val="tab"/>
      <w:lvlText w:val="•"/>
      <w:rPr>
        <w:color w:val="3370ff"/>
      </w:rPr>
    </w:lvl>
  </w:abstractNum>
  <w:abstractNum w:abstractNumId="1899368">
    <w:lvl>
      <w:start w:val="1"/>
      <w:numFmt w:val="decimal"/>
      <w:suff w:val="tab"/>
      <w:lvlText w:val="%1."/>
      <w:rPr>
        <w:color w:val="3370ff"/>
      </w:rPr>
    </w:lvl>
  </w:abstractNum>
  <w:abstractNum w:abstractNumId="1899369">
    <w:lvl>
      <w:start w:val="2"/>
      <w:numFmt w:val="decimal"/>
      <w:suff w:val="tab"/>
      <w:lvlText w:val="%1."/>
      <w:rPr>
        <w:color w:val="3370ff"/>
      </w:rPr>
    </w:lvl>
  </w:abstractNum>
  <w:abstractNum w:abstractNumId="1899370">
    <w:lvl>
      <w:start w:val="3"/>
      <w:numFmt w:val="decimal"/>
      <w:suff w:val="tab"/>
      <w:lvlText w:val="%1."/>
      <w:rPr>
        <w:color w:val="3370ff"/>
      </w:rPr>
    </w:lvl>
  </w:abstractNum>
  <w:abstractNum w:abstractNumId="1899371">
    <w:lvl>
      <w:start w:val="4"/>
      <w:numFmt w:val="decimal"/>
      <w:suff w:val="tab"/>
      <w:lvlText w:val="%1."/>
      <w:rPr>
        <w:color w:val="3370ff"/>
      </w:rPr>
    </w:lvl>
  </w:abstractNum>
  <w:abstractNum w:abstractNumId="1899372">
    <w:lvl>
      <w:start w:val="1"/>
      <w:numFmt w:val="decimal"/>
      <w:suff w:val="tab"/>
      <w:lvlText w:val="%1."/>
      <w:rPr>
        <w:color w:val="3370ff"/>
      </w:rPr>
    </w:lvl>
  </w:abstractNum>
  <w:abstractNum w:abstractNumId="1899373">
    <w:lvl>
      <w:start w:val="2"/>
      <w:numFmt w:val="decimal"/>
      <w:suff w:val="tab"/>
      <w:lvlText w:val="%1."/>
      <w:rPr>
        <w:color w:val="3370ff"/>
      </w:rPr>
    </w:lvl>
  </w:abstractNum>
  <w:abstractNum w:abstractNumId="1899374">
    <w:lvl>
      <w:start w:val="3"/>
      <w:numFmt w:val="decimal"/>
      <w:suff w:val="tab"/>
      <w:lvlText w:val="%1."/>
      <w:rPr>
        <w:color w:val="3370ff"/>
      </w:rPr>
    </w:lvl>
  </w:abstractNum>
  <w:abstractNum w:abstractNumId="1899375">
    <w:lvl>
      <w:start w:val="4"/>
      <w:numFmt w:val="decimal"/>
      <w:suff w:val="tab"/>
      <w:lvlText w:val="%1."/>
      <w:rPr>
        <w:color w:val="3370ff"/>
      </w:rPr>
    </w:lvl>
  </w:abstractNum>
  <w:abstractNum w:abstractNumId="1899376">
    <w:lvl>
      <w:start w:val="1"/>
      <w:numFmt w:val="decimal"/>
      <w:suff w:val="tab"/>
      <w:lvlText w:val="%1."/>
      <w:rPr>
        <w:color w:val="3370ff"/>
      </w:rPr>
    </w:lvl>
  </w:abstractNum>
  <w:abstractNum w:abstractNumId="1899377">
    <w:lvl>
      <w:start w:val="2"/>
      <w:numFmt w:val="decimal"/>
      <w:suff w:val="tab"/>
      <w:lvlText w:val="%1."/>
      <w:rPr>
        <w:color w:val="3370ff"/>
      </w:rPr>
    </w:lvl>
  </w:abstractNum>
  <w:abstractNum w:abstractNumId="1899378">
    <w:lvl>
      <w:start w:val="3"/>
      <w:numFmt w:val="decimal"/>
      <w:suff w:val="tab"/>
      <w:lvlText w:val="%1."/>
      <w:rPr>
        <w:color w:val="3370ff"/>
      </w:rPr>
    </w:lvl>
  </w:abstractNum>
  <w:abstractNum w:abstractNumId="1899379">
    <w:lvl>
      <w:start w:val="1"/>
      <w:numFmt w:val="decimal"/>
      <w:suff w:val="tab"/>
      <w:lvlText w:val="%1."/>
      <w:rPr>
        <w:color w:val="3370ff"/>
      </w:rPr>
    </w:lvl>
  </w:abstractNum>
  <w:abstractNum w:abstractNumId="1899380">
    <w:lvl>
      <w:start w:val="2"/>
      <w:numFmt w:val="decimal"/>
      <w:suff w:val="tab"/>
      <w:lvlText w:val="%1."/>
      <w:rPr>
        <w:color w:val="3370ff"/>
      </w:rPr>
    </w:lvl>
  </w:abstractNum>
  <w:abstractNum w:abstractNumId="1899381">
    <w:lvl>
      <w:start w:val="3"/>
      <w:numFmt w:val="decimal"/>
      <w:suff w:val="tab"/>
      <w:lvlText w:val="%1."/>
      <w:rPr>
        <w:color w:val="3370ff"/>
      </w:rPr>
    </w:lvl>
  </w:abstractNum>
  <w:num w:numId="1">
    <w:abstractNumId w:val="1899089"/>
  </w:num>
  <w:num w:numId="2">
    <w:abstractNumId w:val="1899090"/>
  </w:num>
  <w:num w:numId="3">
    <w:abstractNumId w:val="1899091"/>
  </w:num>
  <w:num w:numId="4">
    <w:abstractNumId w:val="1899092"/>
  </w:num>
  <w:num w:numId="5">
    <w:abstractNumId w:val="1899093"/>
  </w:num>
  <w:num w:numId="6">
    <w:abstractNumId w:val="1899094"/>
  </w:num>
  <w:num w:numId="7">
    <w:abstractNumId w:val="1899095"/>
  </w:num>
  <w:num w:numId="8">
    <w:abstractNumId w:val="1899096"/>
  </w:num>
  <w:num w:numId="9">
    <w:abstractNumId w:val="1899097"/>
  </w:num>
  <w:num w:numId="10">
    <w:abstractNumId w:val="1899098"/>
  </w:num>
  <w:num w:numId="11">
    <w:abstractNumId w:val="1899099"/>
  </w:num>
  <w:num w:numId="12">
    <w:abstractNumId w:val="1899100"/>
  </w:num>
  <w:num w:numId="13">
    <w:abstractNumId w:val="1899101"/>
  </w:num>
  <w:num w:numId="14">
    <w:abstractNumId w:val="1899102"/>
  </w:num>
  <w:num w:numId="15">
    <w:abstractNumId w:val="1899103"/>
  </w:num>
  <w:num w:numId="16">
    <w:abstractNumId w:val="1899104"/>
  </w:num>
  <w:num w:numId="17">
    <w:abstractNumId w:val="1899105"/>
  </w:num>
  <w:num w:numId="18">
    <w:abstractNumId w:val="1899106"/>
  </w:num>
  <w:num w:numId="19">
    <w:abstractNumId w:val="1899107"/>
  </w:num>
  <w:num w:numId="20">
    <w:abstractNumId w:val="1899108"/>
  </w:num>
  <w:num w:numId="21">
    <w:abstractNumId w:val="1899109"/>
  </w:num>
  <w:num w:numId="22">
    <w:abstractNumId w:val="1899110"/>
  </w:num>
  <w:num w:numId="23">
    <w:abstractNumId w:val="1899111"/>
  </w:num>
  <w:num w:numId="24">
    <w:abstractNumId w:val="1899112"/>
  </w:num>
  <w:num w:numId="25">
    <w:abstractNumId w:val="1899113"/>
  </w:num>
  <w:num w:numId="26">
    <w:abstractNumId w:val="1899114"/>
  </w:num>
  <w:num w:numId="27">
    <w:abstractNumId w:val="1899115"/>
  </w:num>
  <w:num w:numId="28">
    <w:abstractNumId w:val="1899116"/>
  </w:num>
  <w:num w:numId="29">
    <w:abstractNumId w:val="1899117"/>
  </w:num>
  <w:num w:numId="30">
    <w:abstractNumId w:val="1899118"/>
  </w:num>
  <w:num w:numId="31">
    <w:abstractNumId w:val="1899119"/>
  </w:num>
  <w:num w:numId="32">
    <w:abstractNumId w:val="1899120"/>
  </w:num>
  <w:num w:numId="33">
    <w:abstractNumId w:val="1899121"/>
  </w:num>
  <w:num w:numId="34">
    <w:abstractNumId w:val="1899122"/>
  </w:num>
  <w:num w:numId="35">
    <w:abstractNumId w:val="1899123"/>
  </w:num>
  <w:num w:numId="36">
    <w:abstractNumId w:val="1899124"/>
  </w:num>
  <w:num w:numId="37">
    <w:abstractNumId w:val="1899125"/>
  </w:num>
  <w:num w:numId="38">
    <w:abstractNumId w:val="1899126"/>
  </w:num>
  <w:num w:numId="39">
    <w:abstractNumId w:val="1899127"/>
  </w:num>
  <w:num w:numId="40">
    <w:abstractNumId w:val="1899128"/>
  </w:num>
  <w:num w:numId="41">
    <w:abstractNumId w:val="1899129"/>
  </w:num>
  <w:num w:numId="42">
    <w:abstractNumId w:val="1899130"/>
  </w:num>
  <w:num w:numId="43">
    <w:abstractNumId w:val="1899131"/>
  </w:num>
  <w:num w:numId="44">
    <w:abstractNumId w:val="1899132"/>
  </w:num>
  <w:num w:numId="45">
    <w:abstractNumId w:val="1899133"/>
  </w:num>
  <w:num w:numId="46">
    <w:abstractNumId w:val="1899134"/>
  </w:num>
  <w:num w:numId="47">
    <w:abstractNumId w:val="1899135"/>
  </w:num>
  <w:num w:numId="48">
    <w:abstractNumId w:val="1899136"/>
  </w:num>
  <w:num w:numId="49">
    <w:abstractNumId w:val="1899137"/>
  </w:num>
  <w:num w:numId="50">
    <w:abstractNumId w:val="1899138"/>
  </w:num>
  <w:num w:numId="51">
    <w:abstractNumId w:val="1899139"/>
  </w:num>
  <w:num w:numId="52">
    <w:abstractNumId w:val="1899140"/>
  </w:num>
  <w:num w:numId="53">
    <w:abstractNumId w:val="1899141"/>
  </w:num>
  <w:num w:numId="54">
    <w:abstractNumId w:val="1899142"/>
  </w:num>
  <w:num w:numId="55">
    <w:abstractNumId w:val="1899143"/>
  </w:num>
  <w:num w:numId="56">
    <w:abstractNumId w:val="1899144"/>
  </w:num>
  <w:num w:numId="57">
    <w:abstractNumId w:val="1899145"/>
  </w:num>
  <w:num w:numId="58">
    <w:abstractNumId w:val="1899146"/>
  </w:num>
  <w:num w:numId="59">
    <w:abstractNumId w:val="1899147"/>
  </w:num>
  <w:num w:numId="60">
    <w:abstractNumId w:val="1899148"/>
  </w:num>
  <w:num w:numId="61">
    <w:abstractNumId w:val="1899149"/>
  </w:num>
  <w:num w:numId="62">
    <w:abstractNumId w:val="1899150"/>
  </w:num>
  <w:num w:numId="63">
    <w:abstractNumId w:val="1899151"/>
  </w:num>
  <w:num w:numId="64">
    <w:abstractNumId w:val="1899152"/>
  </w:num>
  <w:num w:numId="65">
    <w:abstractNumId w:val="1899153"/>
  </w:num>
  <w:num w:numId="66">
    <w:abstractNumId w:val="1899154"/>
  </w:num>
  <w:num w:numId="67">
    <w:abstractNumId w:val="1899155"/>
  </w:num>
  <w:num w:numId="68">
    <w:abstractNumId w:val="1899156"/>
  </w:num>
  <w:num w:numId="69">
    <w:abstractNumId w:val="1899157"/>
  </w:num>
  <w:num w:numId="70">
    <w:abstractNumId w:val="1899158"/>
  </w:num>
  <w:num w:numId="71">
    <w:abstractNumId w:val="1899159"/>
  </w:num>
  <w:num w:numId="72">
    <w:abstractNumId w:val="1899160"/>
  </w:num>
  <w:num w:numId="73">
    <w:abstractNumId w:val="1899161"/>
  </w:num>
  <w:num w:numId="74">
    <w:abstractNumId w:val="1899162"/>
  </w:num>
  <w:num w:numId="75">
    <w:abstractNumId w:val="1899163"/>
  </w:num>
  <w:num w:numId="76">
    <w:abstractNumId w:val="1899164"/>
  </w:num>
  <w:num w:numId="77">
    <w:abstractNumId w:val="1899165"/>
  </w:num>
  <w:num w:numId="78">
    <w:abstractNumId w:val="1899166"/>
  </w:num>
  <w:num w:numId="79">
    <w:abstractNumId w:val="1899167"/>
  </w:num>
  <w:num w:numId="80">
    <w:abstractNumId w:val="1899168"/>
  </w:num>
  <w:num w:numId="81">
    <w:abstractNumId w:val="1899169"/>
  </w:num>
  <w:num w:numId="82">
    <w:abstractNumId w:val="1899170"/>
  </w:num>
  <w:num w:numId="83">
    <w:abstractNumId w:val="1899171"/>
  </w:num>
  <w:num w:numId="84">
    <w:abstractNumId w:val="1899172"/>
  </w:num>
  <w:num w:numId="85">
    <w:abstractNumId w:val="1899173"/>
  </w:num>
  <w:num w:numId="86">
    <w:abstractNumId w:val="1899174"/>
  </w:num>
  <w:num w:numId="87">
    <w:abstractNumId w:val="1899175"/>
  </w:num>
  <w:num w:numId="88">
    <w:abstractNumId w:val="1899176"/>
  </w:num>
  <w:num w:numId="89">
    <w:abstractNumId w:val="1899177"/>
  </w:num>
  <w:num w:numId="90">
    <w:abstractNumId w:val="1899178"/>
  </w:num>
  <w:num w:numId="91">
    <w:abstractNumId w:val="1899179"/>
  </w:num>
  <w:num w:numId="92">
    <w:abstractNumId w:val="1899180"/>
  </w:num>
  <w:num w:numId="93">
    <w:abstractNumId w:val="1899181"/>
  </w:num>
  <w:num w:numId="94">
    <w:abstractNumId w:val="1899182"/>
  </w:num>
  <w:num w:numId="95">
    <w:abstractNumId w:val="1899183"/>
  </w:num>
  <w:num w:numId="96">
    <w:abstractNumId w:val="1899184"/>
  </w:num>
  <w:num w:numId="97">
    <w:abstractNumId w:val="1899185"/>
  </w:num>
  <w:num w:numId="98">
    <w:abstractNumId w:val="1899186"/>
  </w:num>
  <w:num w:numId="99">
    <w:abstractNumId w:val="1899187"/>
  </w:num>
  <w:num w:numId="100">
    <w:abstractNumId w:val="1899188"/>
  </w:num>
  <w:num w:numId="101">
    <w:abstractNumId w:val="1899189"/>
  </w:num>
  <w:num w:numId="102">
    <w:abstractNumId w:val="1899190"/>
  </w:num>
  <w:num w:numId="103">
    <w:abstractNumId w:val="1899191"/>
  </w:num>
  <w:num w:numId="104">
    <w:abstractNumId w:val="1899192"/>
  </w:num>
  <w:num w:numId="105">
    <w:abstractNumId w:val="1899193"/>
  </w:num>
  <w:num w:numId="106">
    <w:abstractNumId w:val="1899194"/>
  </w:num>
  <w:num w:numId="107">
    <w:abstractNumId w:val="1899195"/>
  </w:num>
  <w:num w:numId="108">
    <w:abstractNumId w:val="1899196"/>
  </w:num>
  <w:num w:numId="109">
    <w:abstractNumId w:val="1899197"/>
  </w:num>
  <w:num w:numId="110">
    <w:abstractNumId w:val="1899198"/>
  </w:num>
  <w:num w:numId="111">
    <w:abstractNumId w:val="1899199"/>
  </w:num>
  <w:num w:numId="112">
    <w:abstractNumId w:val="1899200"/>
  </w:num>
  <w:num w:numId="113">
    <w:abstractNumId w:val="1899201"/>
  </w:num>
  <w:num w:numId="114">
    <w:abstractNumId w:val="1899202"/>
  </w:num>
  <w:num w:numId="115">
    <w:abstractNumId w:val="1899203"/>
  </w:num>
  <w:num w:numId="116">
    <w:abstractNumId w:val="1899204"/>
  </w:num>
  <w:num w:numId="117">
    <w:abstractNumId w:val="1899205"/>
  </w:num>
  <w:num w:numId="118">
    <w:abstractNumId w:val="1899206"/>
  </w:num>
  <w:num w:numId="119">
    <w:abstractNumId w:val="1899207"/>
  </w:num>
  <w:num w:numId="120">
    <w:abstractNumId w:val="1899208"/>
  </w:num>
  <w:num w:numId="121">
    <w:abstractNumId w:val="1899209"/>
  </w:num>
  <w:num w:numId="122">
    <w:abstractNumId w:val="1899210"/>
  </w:num>
  <w:num w:numId="123">
    <w:abstractNumId w:val="1899211"/>
  </w:num>
  <w:num w:numId="124">
    <w:abstractNumId w:val="1899212"/>
  </w:num>
  <w:num w:numId="125">
    <w:abstractNumId w:val="1899213"/>
  </w:num>
  <w:num w:numId="126">
    <w:abstractNumId w:val="1899214"/>
  </w:num>
  <w:num w:numId="127">
    <w:abstractNumId w:val="1899215"/>
  </w:num>
  <w:num w:numId="128">
    <w:abstractNumId w:val="1899216"/>
  </w:num>
  <w:num w:numId="129">
    <w:abstractNumId w:val="1899217"/>
  </w:num>
  <w:num w:numId="130">
    <w:abstractNumId w:val="1899218"/>
  </w:num>
  <w:num w:numId="131">
    <w:abstractNumId w:val="1899219"/>
  </w:num>
  <w:num w:numId="132">
    <w:abstractNumId w:val="1899220"/>
  </w:num>
  <w:num w:numId="133">
    <w:abstractNumId w:val="1899221"/>
  </w:num>
  <w:num w:numId="134">
    <w:abstractNumId w:val="1899222"/>
  </w:num>
  <w:num w:numId="135">
    <w:abstractNumId w:val="1899223"/>
  </w:num>
  <w:num w:numId="136">
    <w:abstractNumId w:val="1899224"/>
  </w:num>
  <w:num w:numId="137">
    <w:abstractNumId w:val="1899225"/>
  </w:num>
  <w:num w:numId="138">
    <w:abstractNumId w:val="1899226"/>
  </w:num>
  <w:num w:numId="139">
    <w:abstractNumId w:val="1899227"/>
  </w:num>
  <w:num w:numId="140">
    <w:abstractNumId w:val="1899228"/>
  </w:num>
  <w:num w:numId="141">
    <w:abstractNumId w:val="1899229"/>
  </w:num>
  <w:num w:numId="142">
    <w:abstractNumId w:val="1899230"/>
  </w:num>
  <w:num w:numId="143">
    <w:abstractNumId w:val="1899231"/>
  </w:num>
  <w:num w:numId="144">
    <w:abstractNumId w:val="1899232"/>
  </w:num>
  <w:num w:numId="145">
    <w:abstractNumId w:val="1899233"/>
  </w:num>
  <w:num w:numId="146">
    <w:abstractNumId w:val="1899234"/>
  </w:num>
  <w:num w:numId="147">
    <w:abstractNumId w:val="1899235"/>
  </w:num>
  <w:num w:numId="148">
    <w:abstractNumId w:val="1899236"/>
  </w:num>
  <w:num w:numId="149">
    <w:abstractNumId w:val="1899237"/>
  </w:num>
  <w:num w:numId="150">
    <w:abstractNumId w:val="1899238"/>
  </w:num>
  <w:num w:numId="151">
    <w:abstractNumId w:val="1899239"/>
  </w:num>
  <w:num w:numId="152">
    <w:abstractNumId w:val="1899240"/>
  </w:num>
  <w:num w:numId="153">
    <w:abstractNumId w:val="1899241"/>
  </w:num>
  <w:num w:numId="154">
    <w:abstractNumId w:val="1899242"/>
  </w:num>
  <w:num w:numId="155">
    <w:abstractNumId w:val="1899243"/>
  </w:num>
  <w:num w:numId="156">
    <w:abstractNumId w:val="1899244"/>
  </w:num>
  <w:num w:numId="157">
    <w:abstractNumId w:val="1899245"/>
  </w:num>
  <w:num w:numId="158">
    <w:abstractNumId w:val="1899246"/>
  </w:num>
  <w:num w:numId="159">
    <w:abstractNumId w:val="1899247"/>
  </w:num>
  <w:num w:numId="160">
    <w:abstractNumId w:val="1899248"/>
  </w:num>
  <w:num w:numId="161">
    <w:abstractNumId w:val="1899249"/>
  </w:num>
  <w:num w:numId="162">
    <w:abstractNumId w:val="1899250"/>
  </w:num>
  <w:num w:numId="163">
    <w:abstractNumId w:val="1899251"/>
  </w:num>
  <w:num w:numId="164">
    <w:abstractNumId w:val="1899252"/>
  </w:num>
  <w:num w:numId="165">
    <w:abstractNumId w:val="1899253"/>
  </w:num>
  <w:num w:numId="166">
    <w:abstractNumId w:val="1899254"/>
  </w:num>
  <w:num w:numId="167">
    <w:abstractNumId w:val="1899255"/>
  </w:num>
  <w:num w:numId="168">
    <w:abstractNumId w:val="1899256"/>
  </w:num>
  <w:num w:numId="169">
    <w:abstractNumId w:val="1899257"/>
  </w:num>
  <w:num w:numId="170">
    <w:abstractNumId w:val="1899258"/>
  </w:num>
  <w:num w:numId="171">
    <w:abstractNumId w:val="1899259"/>
  </w:num>
  <w:num w:numId="172">
    <w:abstractNumId w:val="1899260"/>
  </w:num>
  <w:num w:numId="173">
    <w:abstractNumId w:val="1899261"/>
  </w:num>
  <w:num w:numId="174">
    <w:abstractNumId w:val="1899262"/>
  </w:num>
  <w:num w:numId="175">
    <w:abstractNumId w:val="1899263"/>
  </w:num>
  <w:num w:numId="176">
    <w:abstractNumId w:val="1899264"/>
  </w:num>
  <w:num w:numId="177">
    <w:abstractNumId w:val="1899265"/>
  </w:num>
  <w:num w:numId="178">
    <w:abstractNumId w:val="1899266"/>
  </w:num>
  <w:num w:numId="179">
    <w:abstractNumId w:val="1899267"/>
  </w:num>
  <w:num w:numId="180">
    <w:abstractNumId w:val="1899268"/>
  </w:num>
  <w:num w:numId="181">
    <w:abstractNumId w:val="1899269"/>
  </w:num>
  <w:num w:numId="182">
    <w:abstractNumId w:val="1899270"/>
  </w:num>
  <w:num w:numId="183">
    <w:abstractNumId w:val="1899271"/>
  </w:num>
  <w:num w:numId="184">
    <w:abstractNumId w:val="1899272"/>
  </w:num>
  <w:num w:numId="185">
    <w:abstractNumId w:val="1899273"/>
  </w:num>
  <w:num w:numId="186">
    <w:abstractNumId w:val="1899274"/>
  </w:num>
  <w:num w:numId="187">
    <w:abstractNumId w:val="1899275"/>
  </w:num>
  <w:num w:numId="188">
    <w:abstractNumId w:val="1899276"/>
  </w:num>
  <w:num w:numId="189">
    <w:abstractNumId w:val="1899277"/>
  </w:num>
  <w:num w:numId="190">
    <w:abstractNumId w:val="1899278"/>
  </w:num>
  <w:num w:numId="191">
    <w:abstractNumId w:val="1899279"/>
  </w:num>
  <w:num w:numId="192">
    <w:abstractNumId w:val="1899280"/>
  </w:num>
  <w:num w:numId="193">
    <w:abstractNumId w:val="1899281"/>
  </w:num>
  <w:num w:numId="194">
    <w:abstractNumId w:val="1899282"/>
  </w:num>
  <w:num w:numId="195">
    <w:abstractNumId w:val="1899283"/>
  </w:num>
  <w:num w:numId="196">
    <w:abstractNumId w:val="1899284"/>
  </w:num>
  <w:num w:numId="197">
    <w:abstractNumId w:val="1899285"/>
  </w:num>
  <w:num w:numId="198">
    <w:abstractNumId w:val="1899286"/>
  </w:num>
  <w:num w:numId="199">
    <w:abstractNumId w:val="1899287"/>
  </w:num>
  <w:num w:numId="200">
    <w:abstractNumId w:val="1899288"/>
  </w:num>
  <w:num w:numId="201">
    <w:abstractNumId w:val="1899289"/>
  </w:num>
  <w:num w:numId="202">
    <w:abstractNumId w:val="1899290"/>
  </w:num>
  <w:num w:numId="203">
    <w:abstractNumId w:val="1899291"/>
  </w:num>
  <w:num w:numId="204">
    <w:abstractNumId w:val="1899292"/>
  </w:num>
  <w:num w:numId="205">
    <w:abstractNumId w:val="1899293"/>
  </w:num>
  <w:num w:numId="206">
    <w:abstractNumId w:val="1899294"/>
  </w:num>
  <w:num w:numId="207">
    <w:abstractNumId w:val="1899295"/>
  </w:num>
  <w:num w:numId="208">
    <w:abstractNumId w:val="1899296"/>
  </w:num>
  <w:num w:numId="209">
    <w:abstractNumId w:val="1899297"/>
  </w:num>
  <w:num w:numId="210">
    <w:abstractNumId w:val="1899298"/>
  </w:num>
  <w:num w:numId="211">
    <w:abstractNumId w:val="1899299"/>
  </w:num>
  <w:num w:numId="212">
    <w:abstractNumId w:val="1899300"/>
  </w:num>
  <w:num w:numId="213">
    <w:abstractNumId w:val="1899301"/>
  </w:num>
  <w:num w:numId="214">
    <w:abstractNumId w:val="1899302"/>
  </w:num>
  <w:num w:numId="215">
    <w:abstractNumId w:val="1899303"/>
  </w:num>
  <w:num w:numId="216">
    <w:abstractNumId w:val="1899304"/>
  </w:num>
  <w:num w:numId="217">
    <w:abstractNumId w:val="1899305"/>
  </w:num>
  <w:num w:numId="218">
    <w:abstractNumId w:val="1899306"/>
  </w:num>
  <w:num w:numId="219">
    <w:abstractNumId w:val="1899307"/>
  </w:num>
  <w:num w:numId="220">
    <w:abstractNumId w:val="1899308"/>
  </w:num>
  <w:num w:numId="221">
    <w:abstractNumId w:val="1899309"/>
  </w:num>
  <w:num w:numId="222">
    <w:abstractNumId w:val="1899310"/>
  </w:num>
  <w:num w:numId="223">
    <w:abstractNumId w:val="1899311"/>
  </w:num>
  <w:num w:numId="224">
    <w:abstractNumId w:val="1899312"/>
  </w:num>
  <w:num w:numId="225">
    <w:abstractNumId w:val="1899313"/>
  </w:num>
  <w:num w:numId="226">
    <w:abstractNumId w:val="1899314"/>
  </w:num>
  <w:num w:numId="227">
    <w:abstractNumId w:val="1899315"/>
  </w:num>
  <w:num w:numId="228">
    <w:abstractNumId w:val="1899316"/>
  </w:num>
  <w:num w:numId="229">
    <w:abstractNumId w:val="1899317"/>
  </w:num>
  <w:num w:numId="230">
    <w:abstractNumId w:val="1899318"/>
  </w:num>
  <w:num w:numId="231">
    <w:abstractNumId w:val="1899319"/>
  </w:num>
  <w:num w:numId="232">
    <w:abstractNumId w:val="1899320"/>
  </w:num>
  <w:num w:numId="233">
    <w:abstractNumId w:val="1899321"/>
  </w:num>
  <w:num w:numId="234">
    <w:abstractNumId w:val="1899322"/>
  </w:num>
  <w:num w:numId="235">
    <w:abstractNumId w:val="1899323"/>
  </w:num>
  <w:num w:numId="236">
    <w:abstractNumId w:val="1899324"/>
  </w:num>
  <w:num w:numId="237">
    <w:abstractNumId w:val="1899325"/>
  </w:num>
  <w:num w:numId="238">
    <w:abstractNumId w:val="1899326"/>
  </w:num>
  <w:num w:numId="239">
    <w:abstractNumId w:val="1899327"/>
  </w:num>
  <w:num w:numId="240">
    <w:abstractNumId w:val="1899328"/>
  </w:num>
  <w:num w:numId="241">
    <w:abstractNumId w:val="1899329"/>
  </w:num>
  <w:num w:numId="242">
    <w:abstractNumId w:val="1899330"/>
  </w:num>
  <w:num w:numId="243">
    <w:abstractNumId w:val="1899331"/>
  </w:num>
  <w:num w:numId="244">
    <w:abstractNumId w:val="1899332"/>
  </w:num>
  <w:num w:numId="245">
    <w:abstractNumId w:val="1899333"/>
  </w:num>
  <w:num w:numId="246">
    <w:abstractNumId w:val="1899334"/>
  </w:num>
  <w:num w:numId="247">
    <w:abstractNumId w:val="1899335"/>
  </w:num>
  <w:num w:numId="248">
    <w:abstractNumId w:val="1899336"/>
  </w:num>
  <w:num w:numId="249">
    <w:abstractNumId w:val="1899337"/>
  </w:num>
  <w:num w:numId="250">
    <w:abstractNumId w:val="1899338"/>
  </w:num>
  <w:num w:numId="251">
    <w:abstractNumId w:val="1899339"/>
  </w:num>
  <w:num w:numId="252">
    <w:abstractNumId w:val="1899340"/>
  </w:num>
  <w:num w:numId="253">
    <w:abstractNumId w:val="1899341"/>
  </w:num>
  <w:num w:numId="254">
    <w:abstractNumId w:val="1899342"/>
  </w:num>
  <w:num w:numId="255">
    <w:abstractNumId w:val="1899343"/>
  </w:num>
  <w:num w:numId="256">
    <w:abstractNumId w:val="1899344"/>
  </w:num>
  <w:num w:numId="257">
    <w:abstractNumId w:val="1899345"/>
  </w:num>
  <w:num w:numId="258">
    <w:abstractNumId w:val="1899346"/>
  </w:num>
  <w:num w:numId="259">
    <w:abstractNumId w:val="1899347"/>
  </w:num>
  <w:num w:numId="260">
    <w:abstractNumId w:val="1899348"/>
  </w:num>
  <w:num w:numId="261">
    <w:abstractNumId w:val="1899349"/>
  </w:num>
  <w:num w:numId="262">
    <w:abstractNumId w:val="1899350"/>
  </w:num>
  <w:num w:numId="263">
    <w:abstractNumId w:val="1899351"/>
  </w:num>
  <w:num w:numId="264">
    <w:abstractNumId w:val="1899352"/>
  </w:num>
  <w:num w:numId="265">
    <w:abstractNumId w:val="1899353"/>
  </w:num>
  <w:num w:numId="266">
    <w:abstractNumId w:val="1899354"/>
  </w:num>
  <w:num w:numId="267">
    <w:abstractNumId w:val="1899355"/>
  </w:num>
  <w:num w:numId="268">
    <w:abstractNumId w:val="1899356"/>
  </w:num>
  <w:num w:numId="269">
    <w:abstractNumId w:val="1899357"/>
  </w:num>
  <w:num w:numId="270">
    <w:abstractNumId w:val="1899358"/>
  </w:num>
  <w:num w:numId="271">
    <w:abstractNumId w:val="1899359"/>
  </w:num>
  <w:num w:numId="272">
    <w:abstractNumId w:val="1899360"/>
  </w:num>
  <w:num w:numId="273">
    <w:abstractNumId w:val="1899361"/>
  </w:num>
  <w:num w:numId="274">
    <w:abstractNumId w:val="1899362"/>
  </w:num>
  <w:num w:numId="275">
    <w:abstractNumId w:val="1899363"/>
  </w:num>
  <w:num w:numId="276">
    <w:abstractNumId w:val="1899364"/>
  </w:num>
  <w:num w:numId="277">
    <w:abstractNumId w:val="1899365"/>
  </w:num>
  <w:num w:numId="278">
    <w:abstractNumId w:val="1899366"/>
  </w:num>
  <w:num w:numId="279">
    <w:abstractNumId w:val="1899367"/>
  </w:num>
  <w:num w:numId="280">
    <w:abstractNumId w:val="1899368"/>
  </w:num>
  <w:num w:numId="281">
    <w:abstractNumId w:val="1899369"/>
  </w:num>
  <w:num w:numId="282">
    <w:abstractNumId w:val="1899370"/>
  </w:num>
  <w:num w:numId="283">
    <w:abstractNumId w:val="1899371"/>
  </w:num>
  <w:num w:numId="284">
    <w:abstractNumId w:val="1899372"/>
  </w:num>
  <w:num w:numId="285">
    <w:abstractNumId w:val="1899373"/>
  </w:num>
  <w:num w:numId="286">
    <w:abstractNumId w:val="1899374"/>
  </w:num>
  <w:num w:numId="287">
    <w:abstractNumId w:val="1899375"/>
  </w:num>
  <w:num w:numId="288">
    <w:abstractNumId w:val="1899376"/>
  </w:num>
  <w:num w:numId="289">
    <w:abstractNumId w:val="1899377"/>
  </w:num>
  <w:num w:numId="290">
    <w:abstractNumId w:val="1899378"/>
  </w:num>
  <w:num w:numId="291">
    <w:abstractNumId w:val="1899379"/>
  </w:num>
  <w:num w:numId="292">
    <w:abstractNumId w:val="1899380"/>
  </w:num>
  <w:num w:numId="293">
    <w:abstractNumId w:val="18993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2026-07-28T02:08:04Z</dcterms:created>
  <dc:creator>Apache POI</dc:creator>
</cp:coreProperties>
</file>