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第二阶段 · 产品需求文档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天机OS · 墨西哥合规智能模块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产品需求文档 PRD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Tianji OS — Mexico Compliance Intelligence Modules · Product Requirements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v0.1　2026年7月 · 机密 · 内部产品文件</w:t>
      </w:r>
    </w:p>
    <w:p>
      <w:r>
        <w:br w:type="page"/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一、产品概述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1.1　背景与定位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墨西哥跨境合规的成本主要压在‘重复性专业工时’上：预扣计算、发票核验、申报数据整理、政策解读、客户答疑。这些任务规则明确、高频重复、文本密集——正是AI最擅长的类型。天机OS的墨西哥合规模块，目标是把这些工时变成算力，形成竞品无法在短期复制的‘税务专业 × 运营know-how × 全栈AI’三角壁垒。</w:t>
      </w:r>
    </w:p>
    <w:tbl>
      <w:tblPr>
        <w:tblW w:type="pct" w:w="100%"/>
        <w:tblBorders>
          <w:top w:val="single" w:color="FFF2CC" w:sz="2"/>
          <w:left w:val="single" w:color="C00000" w:sz="30"/>
          <w:bottom w:val="single" w:color="FFF2CC" w:sz="2"/>
          <w:right w:val="single" w:color="FFF2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一句话产品定位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面向中国跨境卖家的‘墨西哥合规智能副驾’：把预扣测算、政策监控、CFDI核验、申报整理、合规健康分做成自助工具与内部提效引擎——对内降本、对外获客、长期成为SaaS订阅收入。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1.2　三重战略价值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对内提效（毛利）：</w:t>
      </w:r>
      <w:r>
        <w:rPr>
          <w:rFonts w:ascii="Arial" w:cs="Arial" w:eastAsia="Arial" w:hAnsi="Arial"/>
          <w:sz w:val="21"/>
          <w:szCs w:val="21"/>
        </w:rPr>
        <w:t xml:space="preserve">把交付团队的重复工时自动化，降低单客交付成本，直接改善财务模型里的‘交付成本/活跃客户’。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对外获客（钩子）：</w:t>
      </w:r>
      <w:r>
        <w:rPr>
          <w:rFonts w:ascii="Arial" w:cs="Arial" w:eastAsia="Arial" w:hAnsi="Arial"/>
          <w:sz w:val="21"/>
          <w:szCs w:val="21"/>
        </w:rPr>
        <w:t xml:space="preserve">免费的‘预扣测算器/合规健康分’作为流量入口与线索沉淀，呼应GTM的内容+工具获客。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长期壁垒（估值）：</w:t>
      </w:r>
      <w:r>
        <w:rPr>
          <w:rFonts w:ascii="Arial" w:cs="Arial" w:eastAsia="Arial" w:hAnsi="Arial"/>
          <w:sz w:val="21"/>
          <w:szCs w:val="21"/>
        </w:rPr>
        <w:t xml:space="preserve">模块产品化后可独立成SaaS订阅（财务模型第⑤条收入线），极高毛利、可规模化、有估值想象空间。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1.3　目标用户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用户角色</w:t>
            </w:r>
          </w:p>
        </w:tc>
        <w:tc>
          <w:tcPr>
            <w:tcW w:type="dxa" w:w="374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55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核心诉求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跨境卖家（自助）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算清预扣、判断该选哪种税号、看政策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简单、准确、中文、免费入口</w:t>
            </w:r>
          </w:p>
        </w:tc>
      </w:tr>
      <w:tr>
        <w:tc>
          <w:tcPr>
            <w:tcW w:type="dxa" w:w="2059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公司交付/顾问团队</w:t>
            </w:r>
          </w:p>
        </w:tc>
        <w:tc>
          <w:tcPr>
            <w:tcW w:type="dxa" w:w="374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为客户做测算、申报整理、健康巡检</w:t>
            </w:r>
          </w:p>
        </w:tc>
        <w:tc>
          <w:tcPr>
            <w:tcW w:type="dxa" w:w="3557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效率、准确、可追溯、减少人工错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外部SaaS订阅者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长期使用测算/监控/提醒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稳定、可靠、可集成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二、功能模块（对应报告第八章六场景）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六个模块按‘见效速度 + 壁垒高度’排优先级：先做①②快速见效并获客，再向⑤⑥壁垒型能力演进。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1685"/>
        <w:gridCol w:w="1685"/>
        <w:gridCol w:w="1498"/>
        <w:gridCol w:w="2808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对应场景</w:t>
            </w:r>
          </w:p>
        </w:tc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AI能力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80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价值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① 预扣税测算器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预扣计算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规则引擎+计算</w:t>
            </w:r>
          </w:p>
        </w:tc>
        <w:tc>
          <w:tcPr>
            <w:tcW w:type="dxa" w:w="1498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P0 MVP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获客钩子+对内提效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② 政策雷达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政策监控摘要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LLM检索+摘要</w:t>
            </w:r>
          </w:p>
        </w:tc>
        <w:tc>
          <w:tcPr>
            <w:tcW w:type="dxa" w:w="1498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P0 MVP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预警+专业形象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③ 申报提醒/日历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申报数据整理(前置)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日历+规则提醒</w:t>
            </w:r>
          </w:p>
        </w:tc>
        <w:tc>
          <w:tcPr>
            <w:tcW w:type="dxa" w:w="1498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黏性+降漏报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④ CFDI 核验助手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发票核验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文档抽取+校验</w:t>
            </w:r>
          </w:p>
        </w:tc>
        <w:tc>
          <w:tcPr>
            <w:tcW w:type="dxa" w:w="1498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降开票失败率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⑤ 智能答疑 Agent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智能客服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RAG问答</w:t>
            </w:r>
          </w:p>
        </w:tc>
        <w:tc>
          <w:tcPr>
            <w:tcW w:type="dxa" w:w="1498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7×24降客服成本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⑥ 合规健康分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健康分/预测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评分+预测模型</w:t>
            </w:r>
          </w:p>
        </w:tc>
        <w:tc>
          <w:tcPr>
            <w:tcW w:type="dxa" w:w="1498"/>
            <w:shd w:fill="FFC7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主动风控+高壁垒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2-1：模块优先级。P0=MVP首发，P1=第二批，P2=壁垒型能力。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三、模块详细需求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模块① 预扣税测算器 Withholding Calculator（P0）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作为卖家，我输入客单价/月销量/主体类型/收款账户地，就能立刻算清我被预扣多少、以及月度还要补缴多少，并知道换成本土RFC+本地账户能省多少。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三变量档位判定（有无RFC/是否本土/账户在不在境内）→ 10.5/16/18.5/36；② 两步计算：含税价÷1.16倒推不含税→按档预扣→拆分IVA/ISR；③ 差额补缴估算；④ 方案对比（当前 vs 建议路径的省钱额）。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输入：含税单价、预计月销量、主体类型、账户地、品类税率(默认16%)。输出：预扣额/率、IVA与ISR拆分、月度补缴估算、方案对比表、‘立即咨询’CTA。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预扣规则表（可配置，随SAT政策更新）、IVA标准/边境税率、ISR预扣率、平台差异参数。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纯前端规则引擎即可实现MVP（呼应报告：低难度）；规则参数集中配置，便于政策变动热更新；结果可导出/分享做获客。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给定标准案例，计算结果与人工核算一致；政策参数改动后结果自动更新；移动端可用；有免费额度+留资转化。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税务免责声明必显；结果标注‘估算，非最终税负，需申报核实’；不替代持牌会计师。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模块② 政策雷达 Policy Radar（P0）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作为顾问/卖家，我希望SAT与各平台的新规一出，就收到中文摘要与影响提示，不用自己盯西语公告。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来源监控（SAT、平台公告、权威税务源）；② LLM生成中文摘要+‘对谁有影响/建议动作’；③ 分级推送（重大/一般）；④ 归档形成政策时间线。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输入：监控源列表、关键词。输出：中文摘要卡片（原文链接+影响+建议）、推送、政策时间线。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可信来源白名单（SAT官网、四大/合规厂商、平台公告）；RAG接真实来源、可溯源。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检索+LLM摘要管道；必须可溯源、防幻觉（政策类不得编造条款）；人工审核开关（重大政策发布前顾问复核）。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重大新规48小时内产出摘要；摘要附可点击原文；抽检准确率达标；误报率受控。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政策解读错误风险高——必须标注来源、保留人工复核、免责声明；不得断言未证实条款。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模块③ 申报提醒与合规日历 Filing Calendar（P1）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作为交付团队，我希望每个客户的月度/年度申报、CFDI取消窗口、验证复查都能自动提醒，避免漏报导致CSD吊销。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按主体生成合规日历（月度约次月25日、年度、CFDI当年取消窗口、RFC验证复查）；② 到期提醒+负责人指派；③ 完成度看板。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输入：客户主体清单、申报周期。输出：日历、提醒、完成度看板、逾期预警。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申报周期规则、各客户主体档案、任务状态。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日历+任务引擎；与客户主体档案打通；可与外部日历/IM集成。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关键截止日不漏提醒；逾期即时预警；看板反映真实完成度。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提醒≠代办；仍需人工执行申报；数据准确性依赖主体档案维护。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模块④ CFDI 核验助手 CFDI Validator（P1）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作为交付团队，我希望开票前能预校验收件方RFC/名称/税制/用途与SAT是否一致，降低timbrar失败与作废返工。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抽取发票要素；② 校验RFC/名称/Régimen/Uso一致性；③ 缺失complemento（如Carta Porte）提示；④ 批量校验。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输入：发票草稿/CSV/客户税务信息。输出：校验报告（通过/问题项+修正建议）。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RFC验证API（如Signzy/TaxDo）、SAT catálogos、complemento规则。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文档抽取+规则校验+验证API；对接PAC前置；批量处理。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常见错误（RFC不符/税制错误/缺complemento）能被拦截；批量校验稳定。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以SAT实时数据为准；API配额与稳定性；不保证100%覆盖SAT所有校验。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模块⑤ 智能答疑 Agent Compliance Copilot（P2）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作为卖家，我半夜有RFC/申报/开票问题，希望AI用中文基于真实规则即时回答，复杂问题再转人工。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RAG问答（接政策库+SOP库）；② 溯源引用；③ 置信度低/涉具体税务结论时转人工；④ 沉淀高频问题。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输入：自然语言问题。输出：带来源的中文回答、置信度、转人工入口。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政策库、SOP库、FAQ；与②政策雷达共享知识库。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RAG+护栏；政策/税务结论必须溯源、标注置信度；低置信转人工。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高频问题准确可溯源；不编造；顺畅转人工；降低重复客服量。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幻觉与错误税务意见风险——AI做助手不做裁决，关键结论人工复核。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模块⑥ 合规健康分 Compliance Health Score（P2·壁垒）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7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用户故事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作为顾问，我希望系统给每个客户打‘合规健康分’，提前预警验证/稽查/跳档风险，主动干预。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 多因子评分（主体一致性、账户合规、申报及时率、CFDI异常、预扣档位）；② 风险预测与预警；③ 改进建议清单。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输入 / 输出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输入：客户合规数据（主体、申报、发票、预扣）。输出：健康分、风险预警、改进建议。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 / 数据依赖</w:t>
            </w:r>
          </w:p>
        </w:tc>
        <w:tc>
          <w:tcPr>
            <w:tcW w:type="dxa" w:w="767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客户全量合规数据（跨模块聚合）、历史风险样本。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技术要点</w:t>
            </w:r>
          </w:p>
        </w:tc>
        <w:tc>
          <w:tcPr>
            <w:tcW w:type="dxa" w:w="7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评分模型（起步用规则权重，积累数据后上模型）；跨模块数据聚合；是最高壁垒模块。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7675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健康分与真实风险相关；高风险客户能被提前识别；建议可执行。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风险 / 边界</w:t>
            </w:r>
          </w:p>
        </w:tc>
        <w:tc>
          <w:tcPr>
            <w:tcW w:type="dxa" w:w="7675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预测非保证；需持续用真实结果校准；数据质量是前提。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四、技术架构与数据合规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4.1　架构原则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规则与数据分离：预扣/申报/税率等规则集中可配置，政策变动热更新，不改代码。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可溯源优先：所有政策/税务类AI输出必须接真实来源、标注置信度，防幻觉。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人在环中：AI做助手不做最终裁决，关键税务/法律结论由持牌专业人士复核。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模块解耦、数据聚合：六模块可独立上线，又共享客户主体档案与政策知识库，为⑥健康分聚合数据。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4.2　与天机OS/智能体平台的结合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上述模块沉淀为天机智能决策OS的可复用能力（预扣模拟器、政策雷达、申报提醒、合规健康分），并可由智能体平台编排成端到端工作流（如‘新客入驻→测算→建主体→配日历→上线巡检’）。这把你的个人能力放大成公司级、可复制、可售卖的产品资产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4.3　数据合规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客户税务数据敏感：符合墨西哥/中国数据与隐私要求，做隔离与最小化收集。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留痕与审计：关键操作留痕，支撑SAT防御性文档与内部质控。</w:t>
      </w:r>
    </w:p>
    <w:tbl>
      <w:tblPr>
        <w:tblW w:type="pct" w:w="100%"/>
        <w:tblBorders>
          <w:top w:val="single" w:color="FFF2CC" w:sz="2"/>
          <w:left w:val="single" w:color="C00000" w:sz="30"/>
          <w:bottom w:val="single" w:color="FFF2CC" w:sz="2"/>
          <w:right w:val="single" w:color="FFF2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护城河逻辑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竞品要么懂税务不懂技术，要么懂物流/支付不懂财税产品化。‘税务专业 × 运营know-how × 全栈AI’的交汇处无人占据——PRD的意义就是把这个交汇处一步步变成可运行、可售卖的产品。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五、产品路线图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23"/>
        <w:gridCol w:w="1310"/>
        <w:gridCol w:w="3744"/>
        <w:gridCol w:w="3182"/>
      </w:tblGrid>
      <w:tr>
        <w:trPr>
          <w:tblHeader/>
        </w:trPr>
        <w:tc>
          <w:tcPr>
            <w:tcW w:type="dxa" w:w="112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31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时间(示意)</w:t>
            </w:r>
          </w:p>
        </w:tc>
        <w:tc>
          <w:tcPr>
            <w:tcW w:type="dxa" w:w="374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交付模块</w:t>
            </w:r>
          </w:p>
        </w:tc>
        <w:tc>
          <w:tcPr>
            <w:tcW w:type="dxa" w:w="318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type="dxa" w:w="1123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MVP</w:t>
            </w:r>
          </w:p>
        </w:tc>
        <w:tc>
          <w:tcPr>
            <w:tcW w:type="dxa" w:w="131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0–3月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① 预扣测算器　② 政策雷达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上线获客工具、验证需求、沉淀线索</w:t>
            </w:r>
          </w:p>
        </w:tc>
      </w:tr>
      <w:tr>
        <w:tc>
          <w:tcPr>
            <w:tcW w:type="dxa" w:w="1123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V1</w:t>
            </w:r>
          </w:p>
        </w:tc>
        <w:tc>
          <w:tcPr>
            <w:tcW w:type="dxa" w:w="131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3–9月</w:t>
            </w:r>
          </w:p>
        </w:tc>
        <w:tc>
          <w:tcPr>
            <w:tcW w:type="dxa" w:w="374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③ 申报提醒　④ CFDI核验</w:t>
            </w:r>
          </w:p>
        </w:tc>
        <w:tc>
          <w:tcPr>
            <w:tcW w:type="dxa" w:w="318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对内提效、降漏报/开票失败</w:t>
            </w:r>
          </w:p>
        </w:tc>
      </w:tr>
      <w:tr>
        <w:tc>
          <w:tcPr>
            <w:tcW w:type="dxa" w:w="1123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V2</w:t>
            </w:r>
          </w:p>
        </w:tc>
        <w:tc>
          <w:tcPr>
            <w:tcW w:type="dxa" w:w="131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9–18月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⑤ 答疑Agent　⑥ 合规健康分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降客服成本、主动风控、建壁垒</w:t>
            </w:r>
          </w:p>
        </w:tc>
      </w:tr>
      <w:tr>
        <w:tc>
          <w:tcPr>
            <w:tcW w:type="dxa" w:w="1123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V3</w:t>
            </w:r>
          </w:p>
        </w:tc>
        <w:tc>
          <w:tcPr>
            <w:tcW w:type="dxa" w:w="131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18月+</w:t>
            </w:r>
          </w:p>
        </w:tc>
        <w:tc>
          <w:tcPr>
            <w:tcW w:type="dxa" w:w="374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SaaS化对外 + 工作流编排</w:t>
            </w:r>
          </w:p>
        </w:tc>
        <w:tc>
          <w:tcPr>
            <w:tcW w:type="dxa" w:w="318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独立SaaS收入线、平台化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5-1：产品路线图，与商业计划四阶段对齐（打地基→建复利→扩闭环→做产品）。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5.1　北极星与度量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工具MAU与留资转化率（获客价值）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单客交付工时下降幅度（对内提效，回写财务模型交付成本）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政策雷达覆盖率与摘要准确率（专业可信度）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SaaS订阅数与续费率（长期壁垒与收入）</w:t>
      </w:r>
    </w:p>
    <w:tbl>
      <w:tblPr>
        <w:tblW w:type="pct" w:w="100%"/>
        <w:tblBorders>
          <w:top w:val="single" w:color="E2EFDA" w:sz="2"/>
          <w:left w:val="single" w:color="C6EFCE" w:sz="30"/>
          <w:bottom w:val="single" w:color="E2EFDA" w:sz="2"/>
          <w:right w:val="single" w:color="E2EFD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PRD 总结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先用①②两个轻量模块把‘技术感知’的品牌与获客工具立起来，再用③④⑤⑥把专业工时转成算力、把服务转成产品。这份PRD是把你的技术优势，从‘一个人的能力’变成‘一家公司的护城河’的施工图。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机密 CONFIDENTIAL   ·   第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5"/>
        <w:szCs w:val="15"/>
      </w:rPr>
      <w:t xml:space="preserve">天机OS 墨西哥合规模块 PRD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天机OS 墨西哥合规模块 PRD</dc:title>
  <dc:creator>Strategy Research</dc:creator>
  <cp:lastModifiedBy>Un-named</cp:lastModifiedBy>
  <cp:revision>1</cp:revision>
  <dcterms:created xsi:type="dcterms:W3CDTF">2026-07-27T07:40:57.155Z</dcterms:created>
  <dcterms:modified xsi:type="dcterms:W3CDTF">2026-07-27T07:40:57.155Z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