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65FE7">
      <w:pPr>
        <w:spacing w:before="1500"/>
      </w:pPr>
      <w:bookmarkStart w:id="0" w:name="_GoBack"/>
      <w:bookmarkEnd w:id="0"/>
    </w:p>
    <w:p w14:paraId="55850568">
      <w:pPr>
        <w:spacing w:after="60"/>
        <w:jc w:val="center"/>
      </w:pPr>
      <w:r>
        <w:rPr>
          <w:rFonts w:ascii="Arial" w:hAnsi="Arial" w:eastAsia="Arial" w:cs="Arial"/>
          <w:b/>
          <w:bCs/>
          <w:color w:val="2E5496"/>
          <w:sz w:val="26"/>
          <w:szCs w:val="26"/>
        </w:rPr>
        <w:t>第二阶段 · 运营手册</w:t>
      </w:r>
    </w:p>
    <w:p w14:paraId="68D9738E">
      <w:pPr>
        <w:spacing w:after="200"/>
        <w:jc w:val="center"/>
      </w:pPr>
      <w:r>
        <w:rPr>
          <w:rFonts w:ascii="Arial" w:hAnsi="Arial" w:eastAsia="Arial" w:cs="Arial"/>
          <w:b/>
          <w:bCs/>
          <w:color w:val="1F3864"/>
          <w:sz w:val="42"/>
          <w:szCs w:val="42"/>
        </w:rPr>
        <w:t>各平台运营 SOP 手册</w:t>
      </w:r>
    </w:p>
    <w:p w14:paraId="089BAF6A">
      <w:pPr>
        <w:spacing w:after="300"/>
        <w:jc w:val="center"/>
      </w:pPr>
      <w:r>
        <w:rPr>
          <w:rFonts w:ascii="Arial" w:hAnsi="Arial" w:eastAsia="Arial" w:cs="Arial"/>
          <w:i/>
          <w:iCs/>
          <w:color w:val="595959"/>
          <w:sz w:val="17"/>
          <w:szCs w:val="17"/>
        </w:rPr>
        <w:t>Platform Operations SOP — MercadoLibre / Amazon MX / TikTok Shop MX / Walmart MX + 合规入驻</w:t>
      </w:r>
    </w:p>
    <w:p w14:paraId="0C482897">
      <w:pPr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>2026年7月 · 机密 · 内部作业手册</w:t>
      </w:r>
    </w:p>
    <w:p w14:paraId="642E1347">
      <w:r>
        <w:br w:type="page"/>
      </w:r>
    </w:p>
    <w:p w14:paraId="1E1B5456">
      <w:pPr>
        <w:spacing w:after="14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使用说明</w:t>
      </w:r>
    </w:p>
    <w:p w14:paraId="1C1E8781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本手册为标准作业程序（SOP），供交付团队按统一流程为客户落地各平台。每章结构一致：适用对象 → 前置条件 → 分步流程 → 合规检查点 → 常见坑 → 交付清单。政策高频变动，执行前务必核对平台后台与SAT最新规则；带“☐”为可勾选检查项。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2EB55A1D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1AB5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SOP 的价值</w:t>
            </w:r>
          </w:p>
          <w:p w14:paraId="19A417AB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SOP是把‘个人能力’变成‘公司可复制能力’的载体。它降低对个别熟手的依赖、保证交付质量一致、并为后续用天机OS自动化打下流程基础。</w:t>
            </w:r>
          </w:p>
        </w:tc>
      </w:tr>
    </w:tbl>
    <w:p w14:paraId="6079B418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第〇章　通用合规入驻 SOP（所有平台共用）</w:t>
      </w:r>
    </w:p>
    <w:p w14:paraId="3E0B1D9A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无论哪个平台，中国卖家在墨西哥合规落地的主干流程是一致的。本章是所有平台SOP的公共前置。</w:t>
      </w:r>
    </w:p>
    <w:p w14:paraId="6EC4BEBA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0.1　适用对象</w:t>
      </w:r>
    </w:p>
    <w:p w14:paraId="12165D1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在墨西哥境内备货（官方仓/海外仓）并销售的跨境卖家</w:t>
      </w:r>
    </w:p>
    <w:p w14:paraId="42FF42C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希望从36%高预扣降到10.5%档、或需要平台强制RFC合规的卖家</w:t>
      </w:r>
    </w:p>
    <w:p w14:paraId="6FFD46CE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0.2　主干流程（自持本土主体路径）</w:t>
      </w:r>
    </w:p>
    <w:p w14:paraId="5A497EE7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需求诊断：按‘月流水/紧迫度/长期意愿’三维定位路径（自持SA / 离岸 / 挂靠过渡）。</w:t>
      </w:r>
    </w:p>
    <w:p w14:paraId="4D351A07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公司设立：核名（SRE，备3个名）→ 公证人起草并公证章程 → 商业登记 → 外资登记。</w:t>
      </w:r>
    </w:p>
    <w:p w14:paraId="610C7116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税务登记：向SAT申请RFC；法人需到场做生物识别；一般4–5工作日下号。</w:t>
      </w:r>
    </w:p>
    <w:p w14:paraId="490921F8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电子签与开票：办理 e.firma；接入 PAC 具备 CFDI 4.0 开票能力。</w:t>
      </w:r>
    </w:p>
    <w:p w14:paraId="69EDC2F0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本地银行账户：开立墨西哥本地对公账户（解锁8% IVA档的前提）。</w:t>
      </w:r>
    </w:p>
    <w:p w14:paraId="66F2D22E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平台绑定：在卖家后台上传/绑定RFC，确保‘店铺主体=RFC主体’一致。</w:t>
      </w:r>
    </w:p>
    <w:p w14:paraId="6FA5228A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申报托管：建立月度（次月约25日前）与年度申报节奏，留存CFDI XML≥5年。</w:t>
      </w:r>
    </w:p>
    <w:p w14:paraId="411AB220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0.3　合规检查点</w:t>
      </w:r>
    </w:p>
    <w:p w14:paraId="1E62533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店铺注册主体与绑定RFC主体完全一致（不一致将触发验证失败、跳36%）</w:t>
      </w:r>
    </w:p>
    <w:p w14:paraId="29134AF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收款账户为墨西哥本地对公账户（境外美金账户仍被强扣16% IVA）</w:t>
      </w:r>
    </w:p>
    <w:p w14:paraId="02CA8F7A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e.firma 在有效期内；CSD（数字证书）状态正常</w:t>
      </w:r>
    </w:p>
    <w:p w14:paraId="2F4A04D4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SAT《税务合规意见书》结果为 Positivo（合规）</w:t>
      </w:r>
    </w:p>
    <w:p w14:paraId="0486E04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月度申报按时；差额（IVA/ISR）已测算并补缴</w:t>
      </w:r>
    </w:p>
    <w:tbl>
      <w:tblPr>
        <w:tblStyle w:val="11"/>
        <w:tblW w:w="5000" w:type="pct"/>
        <w:tblInd w:w="0" w:type="dxa"/>
        <w:tblBorders>
          <w:top w:val="single" w:color="FCE4D6" w:sz="2" w:space="0"/>
          <w:left w:val="single" w:color="C00000" w:sz="30" w:space="0"/>
          <w:bottom w:val="single" w:color="FCE4D6" w:sz="2" w:space="0"/>
          <w:right w:val="single" w:color="FCE4D6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3BEB6EBD">
        <w:tblPrEx>
          <w:tblBorders>
            <w:top w:val="single" w:color="FCE4D6" w:sz="2" w:space="0"/>
            <w:left w:val="single" w:color="C00000" w:sz="30" w:space="0"/>
            <w:bottom w:val="single" w:color="FCE4D6" w:sz="2" w:space="0"/>
            <w:right w:val="single" w:color="FCE4D6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867E23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最常见的致命坑</w:t>
            </w:r>
          </w:p>
          <w:p w14:paraId="0E214FA1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‘先上车后补票’已失效：2026年起绑定RFC会同步触发CSF邮箱验证，主体不一致或申报缺失会导致预扣从10.5%跳到36%，且已扣不退。务必一开始就把主体、账户、申报三件事对齐。</w:t>
            </w:r>
          </w:p>
        </w:tc>
      </w:tr>
    </w:tbl>
    <w:p w14:paraId="3BFF76CE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0.4　交付清单</w:t>
      </w:r>
    </w:p>
    <w:p w14:paraId="3CF55F3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章程与营业执照　☐ RFC证书　☐ e.firma　☐ 外资登记证　☐ 本地银行账户　☐ 平台RFC绑定截图　☐ 申报节奏表</w:t>
      </w:r>
    </w:p>
    <w:p w14:paraId="18C2E0AF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第一章　Mercado Libre 运营 SOP（主战场）</w:t>
      </w:r>
    </w:p>
    <w:p w14:paraId="5D655C3A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1.1　适用对象与生态位</w:t>
      </w:r>
    </w:p>
    <w:p w14:paraId="21C4970D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美客多是核心主入口。本土店在流量、曝光、物流、品牌化上享最佳待遇；跨境/海外仓店受RFC绑定与验证约束。SOP覆盖入驻、合规、运营、广告四段。</w:t>
      </w:r>
    </w:p>
    <w:p w14:paraId="7ED3F4FC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1.2　入驻与合规 SOP</w:t>
      </w:r>
    </w:p>
    <w:p w14:paraId="11FC45A2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完成第〇章通用合规主干（主体+RFC+本地账户）。</w:t>
      </w:r>
    </w:p>
    <w:p w14:paraId="110C4823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在卖家后台（Global Selling）→ 账户信息 / Setup a Mexican account → 税务信息，上传/更新RFC，确保主体一致。</w:t>
      </w:r>
    </w:p>
    <w:p w14:paraId="36A1E97B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配置本地收款：Sales Preferences → Payment Methods 绑定墨西哥本地银行账户，避免境外账户被强扣16% IVA。</w:t>
      </w:r>
    </w:p>
    <w:p w14:paraId="71B6FE67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确认预扣档位：核对后台个性化通知显示的档位（目标10.5%）。</w:t>
      </w:r>
    </w:p>
    <w:tbl>
      <w:tblPr>
        <w:tblStyle w:val="11"/>
        <w:tblW w:w="5000" w:type="pct"/>
        <w:tblInd w:w="0" w:type="dxa"/>
        <w:tblBorders>
          <w:top w:val="single" w:color="FCE4D6" w:sz="2" w:space="0"/>
          <w:left w:val="single" w:color="C00000" w:sz="30" w:space="0"/>
          <w:bottom w:val="single" w:color="FCE4D6" w:sz="2" w:space="0"/>
          <w:right w:val="single" w:color="FCE4D6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78436503">
        <w:tblPrEx>
          <w:tblBorders>
            <w:top w:val="single" w:color="FCE4D6" w:sz="2" w:space="0"/>
            <w:left w:val="single" w:color="C00000" w:sz="30" w:space="0"/>
            <w:bottom w:val="single" w:color="FCE4D6" w:sz="2" w:space="0"/>
            <w:right w:val="single" w:color="FCE4D6" w:sz="2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C05C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RFC 验证特别提醒</w:t>
            </w:r>
          </w:p>
          <w:p w14:paraId="29567E17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平台会定期做RFC有效性验证（对‘店铺主体≠绑定RFC主体’的海外仓卖家）。未通过将从10.5%跳至36%且不退。交付后必须把‘验证状态复查’列入月度巡检。</w:t>
            </w:r>
          </w:p>
        </w:tc>
      </w:tr>
    </w:tbl>
    <w:p w14:paraId="3783D007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1.3　运营 SOP（Listing 与流量）</w:t>
      </w:r>
    </w:p>
    <w:p w14:paraId="1D9D064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Listing：西语标题/属性完整、主图合规、价格含税倒推清晰（前台含税价 ÷1.16 为不含税基数）。</w:t>
      </w:r>
    </w:p>
    <w:p w14:paraId="070BFEB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履约：优先评估 Full（官方仓）以获得流量与配送权重；核对入仓合规与RFC绑定。</w:t>
      </w:r>
    </w:p>
    <w:p w14:paraId="3169FF2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声誉：紧盯 reputation 等级（影响曝光与尾程费减免），管控发货时效与纠纷率。</w:t>
      </w:r>
    </w:p>
    <w:p w14:paraId="61EF3CEE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1.4　广告 SOP（Mercado Ads）</w:t>
      </w:r>
    </w:p>
    <w:p w14:paraId="3D16A3DE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Product Ads（SP类）：从核心词/竞品词起投，控 ACOS；用平台AI定向做冷启动。</w:t>
      </w:r>
    </w:p>
    <w:p w14:paraId="0D9AAAC5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预算：按‘可承受CPC × 目标ACOS’测算日预算（呼应PPC经济模型）；旺季（Buen Fin/圣诞）前置放量。</w:t>
      </w:r>
    </w:p>
    <w:p w14:paraId="502BED49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复盘：周维度看曝光/点击/转化/ACOS，砍无效词、加价高转化词。</w:t>
      </w:r>
    </w:p>
    <w:p w14:paraId="2C2D5DC7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1.5　交付清单</w:t>
      </w:r>
    </w:p>
    <w:p w14:paraId="42B9945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RFC绑定且主体一致　☐ 本地收款生效　☐ 预扣档=10.5%　☐ Listing合规　☐ 广告结构搭建　☐ 月度验证巡检表</w:t>
      </w:r>
    </w:p>
    <w:p w14:paraId="73BB2D35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第二章　Amazon México 运营 SOP</w:t>
      </w:r>
    </w:p>
    <w:p w14:paraId="7F27BA35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2.1　适用对象</w:t>
      </w:r>
    </w:p>
    <w:p w14:paraId="765448BC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规范化程度最高的平台，适合品牌化、标准化托管客户。FBA强制RFC；未上传RFC面临16% IVA + 20%所得税代扣。</w:t>
      </w:r>
    </w:p>
    <w:p w14:paraId="76862EEE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2.2　入驻与合规 SOP</w:t>
      </w:r>
    </w:p>
    <w:p w14:paraId="4066EA19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完成通用合规主干；在 Seller Central 上传有效RFC以继续/启用 FBA。</w:t>
      </w:r>
    </w:p>
    <w:p w14:paraId="17DC0799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税务设置：核对税务信息与开票（CFDI）配置；确保收款与申报口径一致。</w:t>
      </w:r>
    </w:p>
    <w:p w14:paraId="1E515F7A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多站点卖家：梳理美墨加（USMCA）跨站点合规与库存布局。</w:t>
      </w:r>
    </w:p>
    <w:p w14:paraId="55B7A8D9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2.3　运营 SOP</w:t>
      </w:r>
    </w:p>
    <w:p w14:paraId="7F9AAD5B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Listing：遵循Amazon MX规范（A+、图片、属性、变体）；西语本地化。</w:t>
      </w:r>
    </w:p>
    <w:p w14:paraId="0377D92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FBA：库存计划与补货节奏；关注跨境入仓与关税（非协定国19%快递关税影响直邮）。</w:t>
      </w:r>
    </w:p>
    <w:p w14:paraId="4C9C39CD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广告：SP/SB/SD结构化投放，标准化ACOS管理。</w:t>
      </w:r>
    </w:p>
    <w:p w14:paraId="2AE70F6A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2.4　服务定位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6DB34D63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77A425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Amazon MX客户更认‘标准化、可信赖’的税务托管与多站点合规。用SOP化交付+透明申报建立‘规范可靠’的品牌印象，是这里的制胜点。</w:t>
            </w:r>
          </w:p>
        </w:tc>
      </w:tr>
    </w:tbl>
    <w:p w14:paraId="33A93148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2.5　交付清单</w:t>
      </w:r>
    </w:p>
    <w:p w14:paraId="530DB3E3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RFC上传且FBA可用　☐ CFDI开票配置　☐ 多站点合规梳理　☐ 广告结构　☐ 申报托管</w:t>
      </w:r>
    </w:p>
    <w:p w14:paraId="7A0335F1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第三章　TikTok Shop México 运营 SOP（先发红利）</w:t>
      </w:r>
    </w:p>
    <w:p w14:paraId="22F1C182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3.1　适用对象</w:t>
      </w:r>
    </w:p>
    <w:p w14:paraId="3032C453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爆发中的内容电商，约70%用户18–34岁。带来大量‘新入局、不懂墨西哥合规’的卖家。SOP强调‘合规落地 + 本地履约 + 内容运营’三位一体。</w:t>
      </w:r>
    </w:p>
    <w:p w14:paraId="211CF40C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3.2　入驻与合规 SOP</w:t>
      </w:r>
    </w:p>
    <w:p w14:paraId="15E157DD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完成通用合规主干（主体+RFC+本地账户）；按平台招商节奏选择本土店/跨境店。</w:t>
      </w:r>
    </w:p>
    <w:p w14:paraId="42D6BAF1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配合平台入驻审核（企业资质、类目、履约模式）；绑定RFC与本地收款。</w:t>
      </w:r>
    </w:p>
    <w:p w14:paraId="3A99C58D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履约对接：接入本地仓/fulfillment（社媒电商订单洪峰对履约容错极低）。</w:t>
      </w:r>
    </w:p>
    <w:p w14:paraId="6D9C24B0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3.3　内容运营 SOP（差异化核心）</w:t>
      </w:r>
    </w:p>
    <w:p w14:paraId="5130CB3C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短视频：围绕痛点/场景做本地化西语内容，测爆款结构（前3秒钩子+卖点+CTA）。</w:t>
      </w:r>
    </w:p>
    <w:p w14:paraId="65213982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直播：排播+脚本+选品+促销机制；关注开播时段与转化。</w:t>
      </w:r>
    </w:p>
    <w:p w14:paraId="24A006F0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达人（Affiliate）：建立达人招募/寄样/佣金SOP，用达人矩阵放量。</w:t>
      </w:r>
    </w:p>
    <w:tbl>
      <w:tblPr>
        <w:tblStyle w:val="11"/>
        <w:tblW w:w="5000" w:type="pct"/>
        <w:tblInd w:w="0" w:type="dxa"/>
        <w:tblBorders>
          <w:top w:val="single" w:color="E2EFDA" w:sz="2" w:space="0"/>
          <w:left w:val="single" w:color="C6EFCE" w:sz="30" w:space="0"/>
          <w:bottom w:val="single" w:color="E2EFDA" w:sz="2" w:space="0"/>
          <w:right w:val="single" w:color="E2EFDA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57073E8C">
        <w:tblPrEx>
          <w:tblBorders>
            <w:top w:val="single" w:color="E2EFDA" w:sz="2" w:space="0"/>
            <w:left w:val="single" w:color="C6EFCE" w:sz="30" w:space="0"/>
            <w:bottom w:val="single" w:color="E2EFDA" w:sz="2" w:space="0"/>
            <w:right w:val="single" w:color="E2EFDA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56AB0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先发红利判断</w:t>
            </w:r>
          </w:p>
          <w:p w14:paraId="3F51A9B7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谁先建立‘TikTok Shop MX 合规+履约+内容’的标准化SOP，谁就吃到这一波先发红利。教育成本高，但先发者能建立难以撼动的位置。</w:t>
            </w:r>
          </w:p>
        </w:tc>
      </w:tr>
    </w:tbl>
    <w:p w14:paraId="0EA5B082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3.4　交付清单</w:t>
      </w:r>
    </w:p>
    <w:p w14:paraId="398AA9F8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主体+RFC落地　☐ 本地履约对接　☐ 内容日历　☐ 直播排播　☐ 达人矩阵　☐ 合规巡检</w:t>
      </w:r>
    </w:p>
    <w:p w14:paraId="1AF2176F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第四章　Walmart México 运营 SOP（外延/加分）</w:t>
      </w:r>
    </w:p>
    <w:p w14:paraId="4942FF79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4.1　适用对象与生态位</w:t>
      </w:r>
    </w:p>
    <w:p w14:paraId="3EF91BF8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Walmart既是零售巨头也在做marketplace与跨境。2026年推进‘Walmart Exports’（WFS卖家从美国发墨/加）并向墨西哥消费者开放 walmart.com。短期是外延渠道，非主入口。</w:t>
      </w:r>
    </w:p>
    <w:p w14:paraId="0568197F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4.2　SOP 要点</w:t>
      </w:r>
    </w:p>
    <w:p w14:paraId="16DBDEEA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评估适配性：对已在Walmart Marketplace（美国）上架的卖家，墨西哥可寻址买家‘免费’扩大——优先服务这类客户。</w:t>
      </w:r>
    </w:p>
    <w:p w14:paraId="33311E76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跨境项目：梳理 Walmart Exports / walmart.com 跨境的资格、税费与履约要求。</w:t>
      </w:r>
    </w:p>
    <w:p w14:paraId="541E0855"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多平台合规打包：把Walmart纳入‘一套合规中台服务多平台’的交付里，摊薄成本。</w:t>
      </w:r>
    </w:p>
    <w:p w14:paraId="60475720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4.3　服务定位</w:t>
      </w:r>
    </w:p>
    <w:tbl>
      <w:tblPr>
        <w:tblStyle w:val="11"/>
        <w:tblW w:w="5000" w:type="pct"/>
        <w:tblInd w:w="0" w:type="dxa"/>
        <w:tblBorders>
          <w:top w:val="single" w:color="D6E0F0" w:sz="2" w:space="0"/>
          <w:left w:val="single" w:color="2E5496" w:sz="30" w:space="0"/>
          <w:bottom w:val="single" w:color="D6E0F0" w:sz="2" w:space="0"/>
          <w:right w:val="single" w:color="D6E0F0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0BFD432C">
        <w:tblPrEx>
          <w:tblBorders>
            <w:top w:val="single" w:color="D6E0F0" w:sz="2" w:space="0"/>
            <w:left w:val="single" w:color="2E5496" w:sz="30" w:space="0"/>
            <w:bottom w:val="single" w:color="D6E0F0" w:sz="2" w:space="0"/>
            <w:right w:val="single" w:color="D6E0F0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D6E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A0E2C">
            <w:pPr>
              <w:spacing w:after="40" w:line="276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>Walmart作为‘多平台合规打包’的加分项与增量渠道咨询，而非独立主攻。用它提高客单价与客户黏性，不必单独重投。</w:t>
            </w:r>
          </w:p>
        </w:tc>
      </w:tr>
    </w:tbl>
    <w:p w14:paraId="6C2F437D">
      <w:pPr>
        <w:pStyle w:val="3"/>
        <w:spacing w:before="220" w:after="120"/>
      </w:pPr>
      <w:r>
        <w:rPr>
          <w:rFonts w:ascii="Arial" w:hAnsi="Arial" w:eastAsia="Arial" w:cs="Arial"/>
          <w:b/>
          <w:bCs/>
          <w:color w:val="2E5496"/>
          <w:sz w:val="25"/>
          <w:szCs w:val="25"/>
        </w:rPr>
        <w:t>4.4　交付清单</w:t>
      </w:r>
    </w:p>
    <w:p w14:paraId="2FF6A0C6"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Arial" w:hAnsi="Arial" w:eastAsia="Arial" w:cs="Arial"/>
          <w:sz w:val="21"/>
          <w:szCs w:val="21"/>
        </w:rPr>
        <w:t>☐ 渠道适配评估　☐ 跨境资格梳理　☐ 多平台合规打包　☐ 增量测算</w:t>
      </w:r>
    </w:p>
    <w:p w14:paraId="08D70E4F">
      <w:pPr>
        <w:pStyle w:val="2"/>
        <w:pageBreakBefore/>
        <w:spacing w:before="240"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第五章　跨平台运营中台（复用逻辑）</w:t>
      </w:r>
    </w:p>
    <w:p w14:paraId="1A11C091">
      <w:pPr>
        <w:spacing w:after="140" w:line="288" w:lineRule="auto"/>
        <w:jc w:val="both"/>
      </w:pPr>
      <w:r>
        <w:rPr>
          <w:rFonts w:ascii="Arial" w:hAnsi="Arial" w:eastAsia="Arial" w:cs="Arial"/>
          <w:sz w:val="21"/>
          <w:szCs w:val="21"/>
        </w:rPr>
        <w:t>四平台需求同源（主体+RFC+收款+履约+运营），但节奏与画像不同。正确做法是建一套‘合规中台’复用到四平台，用同一套SOP与团队摊薄获客与交付。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4"/>
        <w:gridCol w:w="1960"/>
        <w:gridCol w:w="1568"/>
        <w:gridCol w:w="2351"/>
        <w:gridCol w:w="2155"/>
      </w:tblGrid>
      <w:tr w14:paraId="102EAF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327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能力模块</w:t>
            </w:r>
          </w:p>
        </w:tc>
        <w:tc>
          <w:tcPr>
            <w:tcW w:w="1872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F0C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MercadoLibre</w:t>
            </w:r>
          </w:p>
        </w:tc>
        <w:tc>
          <w:tcPr>
            <w:tcW w:w="149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D1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Amazon MX</w:t>
            </w:r>
          </w:p>
        </w:tc>
        <w:tc>
          <w:tcPr>
            <w:tcW w:w="224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742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TikTok Shop</w:t>
            </w:r>
          </w:p>
        </w:tc>
        <w:tc>
          <w:tcPr>
            <w:tcW w:w="2059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ACC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Walmart MX</w:t>
            </w:r>
          </w:p>
        </w:tc>
      </w:tr>
      <w:tr w14:paraId="305803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0443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合规主体+RFC</w:t>
            </w:r>
          </w:p>
        </w:tc>
        <w:tc>
          <w:tcPr>
            <w:tcW w:w="1872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DE0D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1498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AD00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2246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CD3B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2059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62BD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视跨境模式</w:t>
            </w:r>
          </w:p>
        </w:tc>
      </w:tr>
      <w:tr w14:paraId="2A80F8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E7205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本地收款</w:t>
            </w:r>
          </w:p>
        </w:tc>
        <w:tc>
          <w:tcPr>
            <w:tcW w:w="1872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BAA3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关键(10.5%)</w:t>
            </w:r>
          </w:p>
        </w:tc>
        <w:tc>
          <w:tcPr>
            <w:tcW w:w="149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2F9A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需要</w:t>
            </w:r>
          </w:p>
        </w:tc>
        <w:tc>
          <w:tcPr>
            <w:tcW w:w="224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CF83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需要</w:t>
            </w:r>
          </w:p>
        </w:tc>
        <w:tc>
          <w:tcPr>
            <w:tcW w:w="205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A7F9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视模式</w:t>
            </w:r>
          </w:p>
        </w:tc>
      </w:tr>
      <w:tr w14:paraId="142E2E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833B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履约对接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C4E4D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Full/海外仓</w:t>
            </w:r>
          </w:p>
        </w:tc>
        <w:tc>
          <w:tcPr>
            <w:tcW w:w="149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E7DB7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FBA</w:t>
            </w:r>
          </w:p>
        </w:tc>
        <w:tc>
          <w:tcPr>
            <w:tcW w:w="2246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C338C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本地仓(容错低)</w:t>
            </w:r>
          </w:p>
        </w:tc>
        <w:tc>
          <w:tcPr>
            <w:tcW w:w="205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765A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WFS/跨境</w:t>
            </w:r>
          </w:p>
        </w:tc>
      </w:tr>
      <w:tr w14:paraId="70B5CB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3B1D3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内容/广告</w:t>
            </w:r>
          </w:p>
        </w:tc>
        <w:tc>
          <w:tcPr>
            <w:tcW w:w="187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B7E1E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Mercado Ads</w:t>
            </w:r>
          </w:p>
        </w:tc>
        <w:tc>
          <w:tcPr>
            <w:tcW w:w="1498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C663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SP/SB/SD</w:t>
            </w:r>
          </w:p>
        </w:tc>
        <w:tc>
          <w:tcPr>
            <w:tcW w:w="2246" w:type="dxa"/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C93D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短视频/直播/达人</w:t>
            </w:r>
          </w:p>
        </w:tc>
        <w:tc>
          <w:tcPr>
            <w:tcW w:w="205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586EB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基础</w:t>
            </w:r>
          </w:p>
        </w:tc>
      </w:tr>
      <w:tr w14:paraId="069988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8C5CF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sz w:val="16"/>
                <w:szCs w:val="16"/>
              </w:rPr>
              <w:t>申报托管</w:t>
            </w:r>
          </w:p>
        </w:tc>
        <w:tc>
          <w:tcPr>
            <w:tcW w:w="1872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58072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1498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6AAC6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2246" w:type="dxa"/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5ACD4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必需</w:t>
            </w:r>
          </w:p>
        </w:tc>
        <w:tc>
          <w:tcPr>
            <w:tcW w:w="205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222E9">
            <w:pPr>
              <w:spacing w:line="252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视主体</w:t>
            </w:r>
          </w:p>
        </w:tc>
      </w:tr>
    </w:tbl>
    <w:p w14:paraId="07BD5780">
      <w:pPr>
        <w:spacing w:before="40" w:after="160"/>
      </w:pPr>
      <w:r>
        <w:rPr>
          <w:rFonts w:ascii="Arial" w:hAnsi="Arial" w:eastAsia="Arial" w:cs="Arial"/>
          <w:i/>
          <w:iCs/>
          <w:color w:val="808080"/>
          <w:sz w:val="16"/>
          <w:szCs w:val="16"/>
        </w:rPr>
        <w:t>表 5-1：跨平台能力复用矩阵。以美客多为锚点建立标准能力，横向复用到其余三平台。</w:t>
      </w:r>
    </w:p>
    <w:tbl>
      <w:tblPr>
        <w:tblStyle w:val="11"/>
        <w:tblW w:w="5000" w:type="pct"/>
        <w:tblInd w:w="0" w:type="dxa"/>
        <w:tblBorders>
          <w:top w:val="single" w:color="E2EFDA" w:sz="2" w:space="0"/>
          <w:left w:val="single" w:color="C6EFCE" w:sz="30" w:space="0"/>
          <w:bottom w:val="single" w:color="E2EFDA" w:sz="2" w:space="0"/>
          <w:right w:val="single" w:color="E2EFDA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38"/>
      </w:tblGrid>
      <w:tr w14:paraId="677A4029">
        <w:tblPrEx>
          <w:tblBorders>
            <w:top w:val="single" w:color="E2EFDA" w:sz="2" w:space="0"/>
            <w:left w:val="single" w:color="C6EFCE" w:sz="30" w:space="0"/>
            <w:bottom w:val="single" w:color="E2EFDA" w:sz="2" w:space="0"/>
            <w:right w:val="single" w:color="E2EFDA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D24D9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F3864"/>
                <w:sz w:val="21"/>
                <w:szCs w:val="21"/>
              </w:rPr>
              <w:t>手册总结</w:t>
            </w:r>
          </w:p>
          <w:p w14:paraId="28BB0B16">
            <w:pPr>
              <w:spacing w:after="40" w:line="276" w:lineRule="auto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P不是文档，是可复制的交付能力。先把美客多这条最高频、最赚钱的线做成标准SOP并跑顺，再横向复制；每一步的合规检查点都要能被天机OS的自动化提醒接管——这是从‘作坊’走向‘工厂’再走向‘产品’的路径。</w:t>
            </w:r>
          </w:p>
        </w:tc>
      </w:tr>
    </w:tbl>
    <w:p w14:paraId="1E1F2BBC"/>
    <w:sectPr>
      <w:headerReference r:id="rId3" w:type="default"/>
      <w:footerReference r:id="rId4" w:type="default"/>
      <w:pgSz w:w="11906" w:h="16838"/>
      <w:pgMar w:top="1200" w:right="1134" w:bottom="12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D51C7">
    <w:pPr>
      <w:pBdr>
        <w:top w:val="single" w:color="BFBFBF" w:sz="4" w:space="4"/>
      </w:pBdr>
      <w:jc w:val="center"/>
    </w:pPr>
    <w:r>
      <w:rPr>
        <w:rFonts w:ascii="Arial" w:hAnsi="Arial" w:eastAsia="Arial" w:cs="Arial"/>
        <w:color w:val="808080"/>
        <w:sz w:val="15"/>
        <w:szCs w:val="15"/>
      </w:rPr>
      <w:t xml:space="preserve">机密 CONFIDENTIAL   ·   第 </w:t>
    </w:r>
    <w:r>
      <w:rPr>
        <w:rFonts w:ascii="Arial" w:hAnsi="Arial" w:eastAsia="Arial" w:cs="Arial"/>
        <w:color w:val="808080"/>
        <w:sz w:val="15"/>
        <w:szCs w:val="15"/>
      </w:rPr>
      <w:fldChar w:fldCharType="begin"/>
    </w:r>
    <w:r>
      <w:rPr>
        <w:rFonts w:ascii="Arial" w:hAnsi="Arial" w:eastAsia="Arial" w:cs="Arial"/>
        <w:color w:val="808080"/>
        <w:sz w:val="15"/>
        <w:szCs w:val="15"/>
      </w:rPr>
      <w:instrText xml:space="preserve">PAGE</w:instrText>
    </w:r>
    <w:r>
      <w:rPr>
        <w:rFonts w:ascii="Arial" w:hAnsi="Arial" w:eastAsia="Arial" w:cs="Arial"/>
        <w:color w:val="808080"/>
        <w:sz w:val="15"/>
        <w:szCs w:val="15"/>
      </w:rPr>
      <w:fldChar w:fldCharType="separate"/>
    </w:r>
    <w:r>
      <w:rPr>
        <w:rFonts w:ascii="Arial" w:hAnsi="Arial" w:eastAsia="Arial" w:cs="Arial"/>
        <w:color w:val="808080"/>
        <w:sz w:val="15"/>
        <w:szCs w:val="15"/>
      </w:rPr>
      <w:fldChar w:fldCharType="end"/>
    </w:r>
    <w:r>
      <w:rPr>
        <w:rFonts w:ascii="Arial" w:hAnsi="Arial" w:eastAsia="Arial" w:cs="Arial"/>
        <w:color w:val="808080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42D46">
    <w:pPr>
      <w:pBdr>
        <w:bottom w:val="single" w:color="BFBFBF" w:sz="4" w:space="4"/>
      </w:pBdr>
      <w:jc w:val="right"/>
    </w:pPr>
    <w:r>
      <w:rPr>
        <w:rFonts w:ascii="Arial" w:hAnsi="Arial" w:eastAsia="Arial" w:cs="Arial"/>
        <w:color w:val="808080"/>
        <w:sz w:val="15"/>
        <w:szCs w:val="15"/>
      </w:rPr>
      <w:t>各平台运营SOP手册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20"/>
      </w:pPr>
      <w:rPr>
        <w:color w:val="2E5496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064F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b/>
      <w:bCs/>
      <w:color w:val="2E5496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793</Words>
  <Characters>962</Characters>
  <TotalTime>0</TotalTime>
  <ScaleCrop>false</ScaleCrop>
  <LinksUpToDate>false</LinksUpToDate>
  <CharactersWithSpaces>1028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2026-07-27T07:43:00Z</dcterms:created>
  <dc:creator>Strategy Research</dc:creator>
  <cp:lastModifiedBy>孤独不苦1416034621</cp:lastModifiedBy>
  <dcterms:modified xsi:type="dcterms:W3CDTF">2026-07-27T07:48:25Z</dcterms:modified>
  <dc:title>各平台运营SOP手册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79BB4F844383417D976C0B7AC38648FB_13</vt:lpwstr>
  </property>
</Properties>
</file>