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E993C">
      <w:pPr>
        <w:spacing w:before="1600"/>
      </w:pPr>
    </w:p>
    <w:p w14:paraId="494DB142">
      <w:pPr>
        <w:spacing w:after="80"/>
        <w:jc w:val="center"/>
      </w:pPr>
      <w:r>
        <w:rPr>
          <w:rFonts w:ascii="Arial" w:hAnsi="Arial" w:eastAsia="Arial" w:cs="Arial"/>
          <w:b/>
          <w:bCs/>
          <w:color w:val="2E5496"/>
          <w:spacing w:val="60"/>
          <w:sz w:val="28"/>
          <w:szCs w:val="28"/>
        </w:rPr>
        <w:t>行业研究报告</w:t>
      </w:r>
    </w:p>
    <w:p w14:paraId="717D8D79">
      <w:pPr>
        <w:spacing w:after="60"/>
        <w:jc w:val="center"/>
      </w:pPr>
      <w:r>
        <w:rPr>
          <w:rFonts w:ascii="Arial" w:hAnsi="Arial" w:eastAsia="Arial" w:cs="Arial"/>
          <w:b/>
          <w:bCs/>
          <w:color w:val="1F3864"/>
          <w:sz w:val="52"/>
          <w:szCs w:val="52"/>
        </w:rPr>
        <w:t>墨西哥跨境企业服务行业</w:t>
      </w:r>
    </w:p>
    <w:p w14:paraId="1AF1454D">
      <w:pPr>
        <w:spacing w:after="200"/>
        <w:jc w:val="center"/>
      </w:pPr>
      <w:r>
        <w:rPr>
          <w:rFonts w:ascii="Arial" w:hAnsi="Arial" w:eastAsia="Arial" w:cs="Arial"/>
          <w:b/>
          <w:bCs/>
          <w:color w:val="1F3864"/>
          <w:sz w:val="52"/>
          <w:szCs w:val="52"/>
        </w:rPr>
        <w:t>研究报告（2026版）</w:t>
      </w:r>
    </w:p>
    <w:p w14:paraId="09B2DE01">
      <w:pPr>
        <w:spacing w:after="400"/>
        <w:jc w:val="center"/>
      </w:pPr>
      <w:r>
        <w:rPr>
          <w:rFonts w:ascii="Arial" w:hAnsi="Arial" w:eastAsia="Arial" w:cs="Arial"/>
          <w:i/>
          <w:iCs/>
          <w:color w:val="595959"/>
          <w:sz w:val="22"/>
          <w:szCs w:val="22"/>
        </w:rPr>
        <w:t>Mexico Cross-border Seller Services — Industry Research Report (2026)</w:t>
      </w:r>
    </w:p>
    <w:tbl>
      <w:tblPr>
        <w:tblStyle w:val="11"/>
        <w:tblW w:w="3000" w:type="pct"/>
        <w:jc w:val="center"/>
        <w:tblBorders>
          <w:top w:val="single" w:color="C00000" w:sz="12"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5795"/>
      </w:tblGrid>
      <w:tr w14:paraId="4E76E9AE">
        <w:tblPrEx>
          <w:tblBorders>
            <w:top w:val="single" w:color="C00000" w:sz="12"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00000" w:sz="12" w:space="0"/>
            </w:tcBorders>
          </w:tcPr>
          <w:p w14:paraId="79CD962A">
            <w:pPr>
              <w:rPr>
                <w:rFonts w:hint="eastAsia" w:eastAsia="宋体"/>
                <w:lang w:val="en-US" w:eastAsia="zh-CN"/>
              </w:rPr>
            </w:pPr>
            <w:r>
              <w:rPr>
                <w:rFonts w:hint="eastAsia" w:eastAsia="宋体"/>
                <w:lang w:val="en-US" w:eastAsia="zh-CN"/>
              </w:rPr>
              <w:t>亚运</w:t>
            </w:r>
          </w:p>
        </w:tc>
      </w:tr>
    </w:tbl>
    <w:p w14:paraId="2A26C740">
      <w:pPr>
        <w:spacing w:before="500"/>
        <w:jc w:val="center"/>
      </w:pPr>
      <w:r>
        <w:rPr>
          <w:rFonts w:ascii="Arial" w:hAnsi="Arial" w:eastAsia="Arial" w:cs="Arial"/>
          <w:b/>
          <w:bCs/>
          <w:color w:val="2E5496"/>
          <w:sz w:val="20"/>
          <w:szCs w:val="20"/>
        </w:rPr>
        <w:t>覆盖范围 · Scope</w:t>
      </w:r>
    </w:p>
    <w:p w14:paraId="7EB0BC0F">
      <w:pPr>
        <w:spacing w:after="40"/>
        <w:jc w:val="center"/>
      </w:pPr>
      <w:r>
        <w:rPr>
          <w:rFonts w:ascii="Arial" w:hAnsi="Arial" w:eastAsia="Arial" w:cs="Arial"/>
          <w:color w:val="404040"/>
          <w:sz w:val="18"/>
          <w:szCs w:val="18"/>
        </w:rPr>
        <w:t>宏观经济与电商大盘 · 四大平台生态 · SAT税务制度 · 竞争格局 · 商业模式 · 进入壁垒与风险 · AI机会 · 商业计划与执行路线图</w:t>
      </w:r>
    </w:p>
    <w:p w14:paraId="0CD1F927">
      <w:pPr>
        <w:spacing w:before="900"/>
        <w:jc w:val="center"/>
      </w:pPr>
      <w:r>
        <w:rPr>
          <w:rFonts w:ascii="Arial" w:hAnsi="Arial" w:eastAsia="Arial" w:cs="Arial"/>
          <w:color w:val="595959"/>
          <w:sz w:val="18"/>
          <w:szCs w:val="18"/>
        </w:rPr>
        <w:t>数据基准日：2026年7月  |  第一阶段·核心版（约60页）</w:t>
      </w:r>
    </w:p>
    <w:p w14:paraId="398344BA">
      <w:pPr>
        <w:spacing w:before="40"/>
        <w:jc w:val="center"/>
      </w:pPr>
      <w:r>
        <w:rPr>
          <w:rFonts w:ascii="Arial" w:hAnsi="Arial" w:eastAsia="Arial" w:cs="Arial"/>
          <w:i/>
          <w:iCs/>
          <w:color w:val="808080"/>
          <w:sz w:val="16"/>
          <w:szCs w:val="16"/>
        </w:rPr>
        <w:t>机密 · 内部战略文件  |  CONFIDENTIAL — Internal Strategy</w:t>
      </w:r>
    </w:p>
    <w:p w14:paraId="3F69A0BB">
      <w:r>
        <w:br w:type="page"/>
      </w:r>
      <w:bookmarkStart w:id="0" w:name="_GoBack"/>
      <w:bookmarkEnd w:id="0"/>
    </w:p>
    <w:p w14:paraId="15A8E7F9">
      <w:pPr>
        <w:spacing w:before="200" w:after="160"/>
      </w:pPr>
      <w:r>
        <w:rPr>
          <w:rFonts w:ascii="Arial" w:hAnsi="Arial" w:eastAsia="Arial" w:cs="Arial"/>
          <w:b/>
          <w:bCs/>
          <w:color w:val="1F3864"/>
          <w:sz w:val="26"/>
          <w:szCs w:val="26"/>
        </w:rPr>
        <w:t>重要声明 · Disclaimer</w:t>
      </w:r>
    </w:p>
    <w:p w14:paraId="072EA2B5">
      <w:pPr>
        <w:spacing w:after="140" w:line="288" w:lineRule="auto"/>
        <w:jc w:val="both"/>
      </w:pPr>
      <w:r>
        <w:rPr>
          <w:rFonts w:ascii="Arial" w:hAnsi="Arial" w:eastAsia="Arial" w:cs="Arial"/>
          <w:sz w:val="21"/>
          <w:szCs w:val="21"/>
        </w:rPr>
        <w:t>本报告为战略研究文件，整合截至2026年7月的公开信息、平台公告、企业财报及行业二手数据，用于支持拟成立的墨西哥跨境企业服务/税务咨询公司的决策。报告不构成税务、法律或投资意见。</w:t>
      </w:r>
    </w:p>
    <w:p w14:paraId="143B5B5C">
      <w:pPr>
        <w:spacing w:after="140" w:line="288" w:lineRule="auto"/>
        <w:jc w:val="both"/>
      </w:pPr>
      <w:r>
        <w:rPr>
          <w:rFonts w:ascii="Arial" w:hAnsi="Arial" w:eastAsia="Arial" w:cs="Arial"/>
          <w:sz w:val="21"/>
          <w:szCs w:val="21"/>
        </w:rPr>
        <w:t>墨西哥税务与平台政策在2025–2026年间高频变动（RFC验证、SAT第30-B条实时数据访问、平台代扣新规等）。所有费率、费用与流程为区间估算或政策快照，落地执行前必须由持牌墨西哥注册会计师（Contador Público）或律师核实SAT及各平台的最新官方规则。</w:t>
      </w:r>
    </w:p>
    <w:p w14:paraId="28C55539">
      <w:pPr>
        <w:spacing w:after="140" w:line="288" w:lineRule="auto"/>
        <w:jc w:val="both"/>
      </w:pPr>
      <w:r>
        <w:rPr>
          <w:rFonts w:ascii="Arial" w:hAnsi="Arial" w:eastAsia="Arial" w:cs="Arial"/>
          <w:sz w:val="21"/>
          <w:szCs w:val="21"/>
        </w:rPr>
        <w:t>凡标注“估”“est.”“约”的数据为推断值，需一手核实。竞品信息多来自各服务商自身宣传渠道，可能存在夸大，仅供竞争定位参考，不代表本报告对其服务质量的背书。</w:t>
      </w:r>
    </w:p>
    <w:p w14:paraId="65E6C03F">
      <w:r>
        <w:br w:type="page"/>
      </w:r>
    </w:p>
    <w:p w14:paraId="6FE08E41">
      <w:pPr>
        <w:spacing w:after="200"/>
      </w:pPr>
      <w:r>
        <w:rPr>
          <w:rFonts w:ascii="Arial" w:hAnsi="Arial" w:eastAsia="Arial" w:cs="Arial"/>
          <w:b/>
          <w:bCs/>
          <w:color w:val="1F3864"/>
          <w:sz w:val="28"/>
          <w:szCs w:val="28"/>
        </w:rPr>
        <w:t>目录 · Table of Contents</w:t>
      </w:r>
    </w:p>
    <w:p w14:paraId="27BBAA83">
      <w:pPr>
        <w:tabs>
          <w:tab w:val="right" w:leader="dot" w:pos="9200"/>
        </w:tabs>
        <w:spacing w:after="120" w:line="300" w:lineRule="auto"/>
      </w:pPr>
      <w:r>
        <w:rPr>
          <w:rFonts w:ascii="Arial" w:hAnsi="Arial" w:eastAsia="Arial" w:cs="Arial"/>
          <w:color w:val="262626"/>
          <w:sz w:val="22"/>
          <w:szCs w:val="22"/>
        </w:rPr>
        <w:t>执行摘要 · Executive Summary</w:t>
      </w:r>
    </w:p>
    <w:p w14:paraId="441388EE">
      <w:pPr>
        <w:tabs>
          <w:tab w:val="right" w:leader="dot" w:pos="9200"/>
        </w:tabs>
        <w:spacing w:after="120" w:line="300" w:lineRule="auto"/>
      </w:pPr>
      <w:r>
        <w:rPr>
          <w:rFonts w:ascii="Arial" w:hAnsi="Arial" w:eastAsia="Arial" w:cs="Arial"/>
          <w:color w:val="262626"/>
          <w:sz w:val="22"/>
          <w:szCs w:val="22"/>
        </w:rPr>
        <w:t>第一章　墨西哥宏观经济与电商市场</w:t>
      </w:r>
    </w:p>
    <w:p w14:paraId="1550A47D">
      <w:pPr>
        <w:tabs>
          <w:tab w:val="right" w:leader="dot" w:pos="9200"/>
        </w:tabs>
        <w:spacing w:after="120" w:line="300" w:lineRule="auto"/>
      </w:pPr>
      <w:r>
        <w:rPr>
          <w:rFonts w:ascii="Arial" w:hAnsi="Arial" w:eastAsia="Arial" w:cs="Arial"/>
          <w:color w:val="262626"/>
          <w:sz w:val="22"/>
          <w:szCs w:val="22"/>
        </w:rPr>
        <w:t>第二章　四大平台生态全景</w:t>
      </w:r>
    </w:p>
    <w:p w14:paraId="6BCA066C">
      <w:pPr>
        <w:tabs>
          <w:tab w:val="right" w:leader="dot" w:pos="9200"/>
        </w:tabs>
        <w:spacing w:after="120" w:line="300" w:lineRule="auto"/>
      </w:pPr>
      <w:r>
        <w:rPr>
          <w:rFonts w:ascii="Arial" w:hAnsi="Arial" w:eastAsia="Arial" w:cs="Arial"/>
          <w:color w:val="262626"/>
          <w:sz w:val="22"/>
          <w:szCs w:val="22"/>
        </w:rPr>
        <w:t>第三章　墨西哥税务制度深度解析（SAT/RFC/IVA/ISR/CFDI）</w:t>
      </w:r>
    </w:p>
    <w:p w14:paraId="21693A4F">
      <w:pPr>
        <w:tabs>
          <w:tab w:val="right" w:leader="dot" w:pos="9200"/>
        </w:tabs>
        <w:spacing w:after="120" w:line="300" w:lineRule="auto"/>
      </w:pPr>
      <w:r>
        <w:rPr>
          <w:rFonts w:ascii="Arial" w:hAnsi="Arial" w:eastAsia="Arial" w:cs="Arial"/>
          <w:color w:val="262626"/>
          <w:sz w:val="22"/>
          <w:szCs w:val="22"/>
        </w:rPr>
        <w:t>第四章　RFC获取路径与公司类型选择</w:t>
      </w:r>
    </w:p>
    <w:p w14:paraId="755ACBAB">
      <w:pPr>
        <w:tabs>
          <w:tab w:val="right" w:leader="dot" w:pos="9200"/>
        </w:tabs>
        <w:spacing w:after="120" w:line="300" w:lineRule="auto"/>
      </w:pPr>
      <w:r>
        <w:rPr>
          <w:rFonts w:ascii="Arial" w:hAnsi="Arial" w:eastAsia="Arial" w:cs="Arial"/>
          <w:color w:val="262626"/>
          <w:sz w:val="22"/>
          <w:szCs w:val="22"/>
        </w:rPr>
        <w:t>第五章　竞争格局：中国服务商与本土专业机构</w:t>
      </w:r>
    </w:p>
    <w:p w14:paraId="4A7CA22E">
      <w:pPr>
        <w:tabs>
          <w:tab w:val="right" w:leader="dot" w:pos="9200"/>
        </w:tabs>
        <w:spacing w:after="120" w:line="300" w:lineRule="auto"/>
      </w:pPr>
      <w:r>
        <w:rPr>
          <w:rFonts w:ascii="Arial" w:hAnsi="Arial" w:eastAsia="Arial" w:cs="Arial"/>
          <w:color w:val="262626"/>
          <w:sz w:val="22"/>
          <w:szCs w:val="22"/>
        </w:rPr>
        <w:t>第六章　商业模式与盈利分析</w:t>
      </w:r>
    </w:p>
    <w:p w14:paraId="4A7F078E">
      <w:pPr>
        <w:tabs>
          <w:tab w:val="right" w:leader="dot" w:pos="9200"/>
        </w:tabs>
        <w:spacing w:after="120" w:line="300" w:lineRule="auto"/>
      </w:pPr>
      <w:r>
        <w:rPr>
          <w:rFonts w:ascii="Arial" w:hAnsi="Arial" w:eastAsia="Arial" w:cs="Arial"/>
          <w:color w:val="262626"/>
          <w:sz w:val="22"/>
          <w:szCs w:val="22"/>
        </w:rPr>
        <w:t>第七章　行业进入壁垒与风险地图</w:t>
      </w:r>
    </w:p>
    <w:p w14:paraId="1E6FCA21">
      <w:pPr>
        <w:tabs>
          <w:tab w:val="right" w:leader="dot" w:pos="9200"/>
        </w:tabs>
        <w:spacing w:after="120" w:line="300" w:lineRule="auto"/>
      </w:pPr>
      <w:r>
        <w:rPr>
          <w:rFonts w:ascii="Arial" w:hAnsi="Arial" w:eastAsia="Arial" w:cs="Arial"/>
          <w:color w:val="262626"/>
          <w:sz w:val="22"/>
          <w:szCs w:val="22"/>
        </w:rPr>
        <w:t>第八章　AI 在财税与跨境服务中的机会</w:t>
      </w:r>
    </w:p>
    <w:p w14:paraId="5D988958">
      <w:pPr>
        <w:tabs>
          <w:tab w:val="right" w:leader="dot" w:pos="9200"/>
        </w:tabs>
        <w:spacing w:after="120" w:line="300" w:lineRule="auto"/>
      </w:pPr>
      <w:r>
        <w:rPr>
          <w:rFonts w:ascii="Arial" w:hAnsi="Arial" w:eastAsia="Arial" w:cs="Arial"/>
          <w:color w:val="262626"/>
          <w:sz w:val="22"/>
          <w:szCs w:val="22"/>
        </w:rPr>
        <w:t>第九章　商业计划、产品矩阵与执行路线图</w:t>
      </w:r>
    </w:p>
    <w:p w14:paraId="62BB2087">
      <w:pPr>
        <w:tabs>
          <w:tab w:val="right" w:leader="dot" w:pos="9200"/>
        </w:tabs>
        <w:spacing w:after="120" w:line="300" w:lineRule="auto"/>
      </w:pPr>
      <w:r>
        <w:rPr>
          <w:rFonts w:ascii="Arial" w:hAnsi="Arial" w:eastAsia="Arial" w:cs="Arial"/>
          <w:color w:val="262626"/>
          <w:sz w:val="22"/>
          <w:szCs w:val="22"/>
        </w:rPr>
        <w:t>附录　数据来源与研究方法</w:t>
      </w:r>
    </w:p>
    <w:p w14:paraId="5527A5BB">
      <w:pPr>
        <w:spacing w:before="200"/>
        <w:jc w:val="center"/>
      </w:pPr>
      <w:r>
        <w:rPr>
          <w:rFonts w:ascii="Arial" w:hAnsi="Arial" w:eastAsia="Arial" w:cs="Arial"/>
          <w:i/>
          <w:iCs/>
          <w:color w:val="808080"/>
          <w:sz w:val="17"/>
          <w:szCs w:val="17"/>
        </w:rPr>
        <w:t>（配套交付：《竞品对比矩阵 Competitor Matrix 2026》Excel，含6个分析Tab）</w:t>
      </w:r>
    </w:p>
    <w:p w14:paraId="2336840F">
      <w:r>
        <w:br w:type="page"/>
      </w:r>
    </w:p>
    <w:p w14:paraId="0541B691">
      <w:pPr>
        <w:pStyle w:val="2"/>
        <w:pageBreakBefore/>
        <w:spacing w:after="160"/>
      </w:pPr>
      <w:r>
        <w:rPr>
          <w:rFonts w:ascii="Arial" w:hAnsi="Arial" w:eastAsia="Arial" w:cs="Arial"/>
          <w:b/>
          <w:bCs/>
          <w:color w:val="1F3864"/>
          <w:sz w:val="30"/>
          <w:szCs w:val="30"/>
        </w:rPr>
        <w:t>执行摘要 · Executive Summary</w:t>
      </w:r>
    </w:p>
    <w:p w14:paraId="5CAF205F">
      <w:pPr>
        <w:spacing w:after="140" w:line="288" w:lineRule="auto"/>
        <w:jc w:val="both"/>
      </w:pPr>
      <w:r>
        <w:rPr>
          <w:rFonts w:ascii="Arial" w:hAnsi="Arial" w:eastAsia="Arial" w:cs="Arial"/>
          <w:sz w:val="21"/>
          <w:szCs w:val="21"/>
        </w:rPr>
        <w:t>墨西哥已成为全球跨境电商增长最快的市场之一，也是中国卖家继北美、欧洲之后的新战略高地。但2026年1月生效的电商税务新政，把“税务合规”从一个可选项变成了决定生死的必选项——这正是企业服务赛道的核心机会窗口。</w:t>
      </w:r>
    </w:p>
    <w:p w14:paraId="3A14F144">
      <w:pPr>
        <w:pStyle w:val="4"/>
        <w:spacing w:before="160" w:after="90"/>
      </w:pPr>
      <w:r>
        <w:rPr>
          <w:rFonts w:ascii="Arial" w:hAnsi="Arial" w:eastAsia="Arial" w:cs="Arial"/>
          <w:b/>
          <w:bCs/>
          <w:color w:val="404040"/>
          <w:sz w:val="22"/>
          <w:szCs w:val="22"/>
        </w:rPr>
        <w:t>三个核心判断</w:t>
      </w:r>
    </w:p>
    <w:p w14:paraId="31978257">
      <w:pPr>
        <w:pStyle w:val="16"/>
        <w:numPr>
          <w:ilvl w:val="0"/>
          <w:numId w:val="1"/>
        </w:numPr>
        <w:spacing w:after="70" w:line="276" w:lineRule="auto"/>
      </w:pPr>
      <w:r>
        <w:rPr>
          <w:rFonts w:ascii="Arial" w:hAnsi="Arial" w:eastAsia="Arial" w:cs="Arial"/>
          <w:b/>
          <w:bCs/>
          <w:sz w:val="21"/>
          <w:szCs w:val="21"/>
        </w:rPr>
        <w:t>市场足够大且在加速。</w:t>
      </w:r>
      <w:r>
        <w:rPr>
          <w:rFonts w:ascii="Arial" w:hAnsi="Arial" w:eastAsia="Arial" w:cs="Arial"/>
          <w:sz w:val="21"/>
          <w:szCs w:val="21"/>
        </w:rPr>
        <w:t>2026年墨西哥电商大盘约621.6亿美元，预计2026–2031年以约18.2%的复合增速增长；美客多墨西哥站2026年一季度GMV同比增长28%，约占集团整体指标的四分之一。平台竞争（Amazon、Walmart、TikTok Shop）进一步做大蛋糕。</w:t>
      </w:r>
    </w:p>
    <w:p w14:paraId="0D81CB8B">
      <w:pPr>
        <w:pStyle w:val="16"/>
        <w:numPr>
          <w:ilvl w:val="0"/>
          <w:numId w:val="1"/>
        </w:numPr>
        <w:spacing w:after="70" w:line="276" w:lineRule="auto"/>
      </w:pPr>
      <w:r>
        <w:rPr>
          <w:rFonts w:ascii="Arial" w:hAnsi="Arial" w:eastAsia="Arial" w:cs="Arial"/>
          <w:b/>
          <w:bCs/>
          <w:sz w:val="21"/>
          <w:szCs w:val="21"/>
        </w:rPr>
        <w:t>政策复杂度制造了刚需。</w:t>
      </w:r>
      <w:r>
        <w:rPr>
          <w:rFonts w:ascii="Arial" w:hAnsi="Arial" w:eastAsia="Arial" w:cs="Arial"/>
          <w:sz w:val="21"/>
          <w:szCs w:val="21"/>
        </w:rPr>
        <w:t>平台代扣税率在10.5%与36%之间，取决于“有无RFC、是否本土主体、收款账户在不在境内”三个变量；SAT借第30-B条实时穿透监管，挂靠等灰色玩法快速失效。合规门槛越高，专业服务的定价权越强。</w:t>
      </w:r>
    </w:p>
    <w:p w14:paraId="314F878C">
      <w:pPr>
        <w:pStyle w:val="16"/>
        <w:numPr>
          <w:ilvl w:val="0"/>
          <w:numId w:val="1"/>
        </w:numPr>
        <w:spacing w:after="70" w:line="276" w:lineRule="auto"/>
      </w:pPr>
      <w:r>
        <w:rPr>
          <w:rFonts w:ascii="Arial" w:hAnsi="Arial" w:eastAsia="Arial" w:cs="Arial"/>
          <w:b/>
          <w:bCs/>
          <w:sz w:val="21"/>
          <w:szCs w:val="21"/>
        </w:rPr>
        <w:t>现有玩家普遍“单点、浅层、信任脆弱”。</w:t>
      </w:r>
      <w:r>
        <w:rPr>
          <w:rFonts w:ascii="Arial" w:hAnsi="Arial" w:eastAsia="Arial" w:cs="Arial"/>
          <w:sz w:val="21"/>
          <w:szCs w:val="21"/>
        </w:rPr>
        <w:t>物流商、支付商、注册代理各自从自己的入口切税务，但很少有人同时具备墨西哥本地财税专业度、跨境电商运营know-how与合规自持实体。这就是差异化定位的缺口。</w:t>
      </w:r>
    </w:p>
    <w:p w14:paraId="4733B49A">
      <w:pPr>
        <w:spacing w:after="60"/>
      </w:pP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59F18A4F">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5621F8F6">
            <w:pPr>
              <w:spacing w:after="60"/>
            </w:pPr>
            <w:r>
              <w:rPr>
                <w:rFonts w:ascii="Arial" w:hAnsi="Arial" w:eastAsia="Arial" w:cs="Arial"/>
                <w:b/>
                <w:bCs/>
                <w:color w:val="1F3864"/>
                <w:sz w:val="21"/>
                <w:szCs w:val="21"/>
              </w:rPr>
              <w:t>核心机会 · The Opportunity</w:t>
            </w:r>
          </w:p>
          <w:p w14:paraId="3ED33211">
            <w:pPr>
              <w:spacing w:after="40" w:line="276" w:lineRule="auto"/>
            </w:pPr>
            <w:r>
              <w:rPr>
                <w:rFonts w:ascii="Arial" w:hAnsi="Arial" w:eastAsia="Arial" w:cs="Arial"/>
                <w:sz w:val="20"/>
                <w:szCs w:val="20"/>
              </w:rPr>
              <w:t>把生意从“卖税号”升级为“税务方案设计 + 全生命周期合规 + 收款 + 代运营”的一站式闭环；</w:t>
            </w:r>
          </w:p>
          <w:p w14:paraId="7DF8B984">
            <w:pPr>
              <w:spacing w:after="40" w:line="276" w:lineRule="auto"/>
            </w:pPr>
            <w:r>
              <w:rPr>
                <w:rFonts w:ascii="Arial" w:hAnsi="Arial" w:eastAsia="Arial" w:cs="Arial"/>
                <w:sz w:val="20"/>
                <w:szCs w:val="20"/>
              </w:rPr>
              <w:t>用墨西哥本地自持合规实体（SA de CV）做信任背书，直接打击竞品最大的“挂靠暴雷”痛点；</w:t>
            </w:r>
          </w:p>
          <w:p w14:paraId="3F528A06">
            <w:pPr>
              <w:spacing w:after="40" w:line="276" w:lineRule="auto"/>
            </w:pPr>
            <w:r>
              <w:rPr>
                <w:rFonts w:ascii="Arial" w:hAnsi="Arial" w:eastAsia="Arial" w:cs="Arial"/>
                <w:sz w:val="20"/>
                <w:szCs w:val="20"/>
              </w:rPr>
              <w:t>以12年跨境运营经验 + 全栈技术（天机OS）为杠杆，做竞品无法复制的“税务测算/预扣模拟/申报提醒”自动化产品。</w:t>
            </w:r>
          </w:p>
        </w:tc>
      </w:tr>
    </w:tbl>
    <w:p w14:paraId="3C7C648F">
      <w:pPr>
        <w:spacing w:after="60"/>
      </w:pPr>
    </w:p>
    <w:p w14:paraId="4183222A">
      <w:pPr>
        <w:pStyle w:val="4"/>
        <w:spacing w:before="160" w:after="90"/>
      </w:pPr>
      <w:r>
        <w:rPr>
          <w:rFonts w:ascii="Arial" w:hAnsi="Arial" w:eastAsia="Arial" w:cs="Arial"/>
          <w:b/>
          <w:bCs/>
          <w:color w:val="404040"/>
          <w:sz w:val="22"/>
          <w:szCs w:val="22"/>
        </w:rPr>
        <w:t>加权评分：你的定位 vs 现有玩家</w:t>
      </w:r>
    </w:p>
    <w:p w14:paraId="749493EA">
      <w:pPr>
        <w:spacing w:after="140" w:line="288" w:lineRule="auto"/>
        <w:jc w:val="both"/>
      </w:pPr>
      <w:r>
        <w:rPr>
          <w:rFonts w:ascii="Arial" w:hAnsi="Arial" w:eastAsia="Arial" w:cs="Arial"/>
          <w:sz w:val="21"/>
          <w:szCs w:val="21"/>
        </w:rPr>
        <w:t>基于本报告第五章的竞争分析，对五类玩家在七个维度做加权打分（1–5分），结果如下：</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865"/>
        <w:gridCol w:w="1049"/>
        <w:gridCol w:w="1050"/>
        <w:gridCol w:w="1400"/>
        <w:gridCol w:w="817"/>
        <w:gridCol w:w="817"/>
        <w:gridCol w:w="817"/>
        <w:gridCol w:w="817"/>
        <w:gridCol w:w="1166"/>
      </w:tblGrid>
      <w:tr w14:paraId="47AFF9B6">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783" w:type="dxa"/>
            <w:shd w:val="clear" w:color="auto" w:fill="1F3864"/>
            <w:tcMar>
              <w:top w:w="60" w:type="dxa"/>
              <w:left w:w="80" w:type="dxa"/>
              <w:bottom w:w="60" w:type="dxa"/>
              <w:right w:w="80" w:type="dxa"/>
            </w:tcMar>
          </w:tcPr>
          <w:p w14:paraId="5A8A389B">
            <w:pPr>
              <w:jc w:val="center"/>
            </w:pPr>
            <w:r>
              <w:rPr>
                <w:rFonts w:ascii="Arial" w:hAnsi="Arial" w:eastAsia="Arial" w:cs="Arial"/>
                <w:b/>
                <w:bCs/>
                <w:color w:val="FFFFFF"/>
                <w:sz w:val="16"/>
                <w:szCs w:val="16"/>
              </w:rPr>
              <w:t>玩家类型</w:t>
            </w:r>
          </w:p>
        </w:tc>
        <w:tc>
          <w:tcPr>
            <w:tcW w:w="1003" w:type="dxa"/>
            <w:shd w:val="clear" w:color="auto" w:fill="1F3864"/>
            <w:tcMar>
              <w:top w:w="60" w:type="dxa"/>
              <w:left w:w="80" w:type="dxa"/>
              <w:bottom w:w="60" w:type="dxa"/>
              <w:right w:w="80" w:type="dxa"/>
            </w:tcMar>
          </w:tcPr>
          <w:p w14:paraId="3111D42D">
            <w:pPr>
              <w:jc w:val="center"/>
            </w:pPr>
            <w:r>
              <w:rPr>
                <w:rFonts w:ascii="Arial" w:hAnsi="Arial" w:eastAsia="Arial" w:cs="Arial"/>
                <w:b/>
                <w:bCs/>
                <w:color w:val="FFFFFF"/>
                <w:sz w:val="16"/>
                <w:szCs w:val="16"/>
              </w:rPr>
              <w:t>税务深度</w:t>
            </w:r>
          </w:p>
        </w:tc>
        <w:tc>
          <w:tcPr>
            <w:tcW w:w="1003" w:type="dxa"/>
            <w:shd w:val="clear" w:color="auto" w:fill="1F3864"/>
            <w:tcMar>
              <w:top w:w="60" w:type="dxa"/>
              <w:left w:w="80" w:type="dxa"/>
              <w:bottom w:w="60" w:type="dxa"/>
              <w:right w:w="80" w:type="dxa"/>
            </w:tcMar>
          </w:tcPr>
          <w:p w14:paraId="10B8642C">
            <w:pPr>
              <w:jc w:val="center"/>
            </w:pPr>
            <w:r>
              <w:rPr>
                <w:rFonts w:ascii="Arial" w:hAnsi="Arial" w:eastAsia="Arial" w:cs="Arial"/>
                <w:b/>
                <w:bCs/>
                <w:color w:val="FFFFFF"/>
                <w:sz w:val="16"/>
                <w:szCs w:val="16"/>
              </w:rPr>
              <w:t>运营能力</w:t>
            </w:r>
          </w:p>
        </w:tc>
        <w:tc>
          <w:tcPr>
            <w:tcW w:w="1337" w:type="dxa"/>
            <w:shd w:val="clear" w:color="auto" w:fill="1F3864"/>
            <w:tcMar>
              <w:top w:w="60" w:type="dxa"/>
              <w:left w:w="80" w:type="dxa"/>
              <w:bottom w:w="60" w:type="dxa"/>
              <w:right w:w="80" w:type="dxa"/>
            </w:tcMar>
          </w:tcPr>
          <w:p w14:paraId="781AD04E">
            <w:pPr>
              <w:jc w:val="center"/>
            </w:pPr>
            <w:r>
              <w:rPr>
                <w:rFonts w:ascii="Arial" w:hAnsi="Arial" w:eastAsia="Arial" w:cs="Arial"/>
                <w:b/>
                <w:bCs/>
                <w:color w:val="FFFFFF"/>
                <w:sz w:val="16"/>
                <w:szCs w:val="16"/>
              </w:rPr>
              <w:t>本地实体/信任</w:t>
            </w:r>
          </w:p>
        </w:tc>
        <w:tc>
          <w:tcPr>
            <w:tcW w:w="780" w:type="dxa"/>
            <w:shd w:val="clear" w:color="auto" w:fill="1F3864"/>
            <w:tcMar>
              <w:top w:w="60" w:type="dxa"/>
              <w:left w:w="80" w:type="dxa"/>
              <w:bottom w:w="60" w:type="dxa"/>
              <w:right w:w="80" w:type="dxa"/>
            </w:tcMar>
          </w:tcPr>
          <w:p w14:paraId="4E051526">
            <w:pPr>
              <w:jc w:val="center"/>
            </w:pPr>
            <w:r>
              <w:rPr>
                <w:rFonts w:ascii="Arial" w:hAnsi="Arial" w:eastAsia="Arial" w:cs="Arial"/>
                <w:b/>
                <w:bCs/>
                <w:color w:val="FFFFFF"/>
                <w:sz w:val="16"/>
                <w:szCs w:val="16"/>
              </w:rPr>
              <w:t>价格</w:t>
            </w:r>
          </w:p>
        </w:tc>
        <w:tc>
          <w:tcPr>
            <w:tcW w:w="780" w:type="dxa"/>
            <w:shd w:val="clear" w:color="auto" w:fill="1F3864"/>
            <w:tcMar>
              <w:top w:w="60" w:type="dxa"/>
              <w:left w:w="80" w:type="dxa"/>
              <w:bottom w:w="60" w:type="dxa"/>
              <w:right w:w="80" w:type="dxa"/>
            </w:tcMar>
          </w:tcPr>
          <w:p w14:paraId="5F4C1919">
            <w:pPr>
              <w:jc w:val="center"/>
            </w:pPr>
            <w:r>
              <w:rPr>
                <w:rFonts w:ascii="Arial" w:hAnsi="Arial" w:eastAsia="Arial" w:cs="Arial"/>
                <w:b/>
                <w:bCs/>
                <w:color w:val="FFFFFF"/>
                <w:sz w:val="16"/>
                <w:szCs w:val="16"/>
              </w:rPr>
              <w:t>速度</w:t>
            </w:r>
          </w:p>
        </w:tc>
        <w:tc>
          <w:tcPr>
            <w:tcW w:w="780" w:type="dxa"/>
            <w:shd w:val="clear" w:color="auto" w:fill="1F3864"/>
            <w:tcMar>
              <w:top w:w="60" w:type="dxa"/>
              <w:left w:w="80" w:type="dxa"/>
              <w:bottom w:w="60" w:type="dxa"/>
              <w:right w:w="80" w:type="dxa"/>
            </w:tcMar>
          </w:tcPr>
          <w:p w14:paraId="7F717B22">
            <w:pPr>
              <w:jc w:val="center"/>
            </w:pPr>
            <w:r>
              <w:rPr>
                <w:rFonts w:ascii="Arial" w:hAnsi="Arial" w:eastAsia="Arial" w:cs="Arial"/>
                <w:b/>
                <w:bCs/>
                <w:color w:val="FFFFFF"/>
                <w:sz w:val="16"/>
                <w:szCs w:val="16"/>
              </w:rPr>
              <w:t>技术</w:t>
            </w:r>
          </w:p>
        </w:tc>
        <w:tc>
          <w:tcPr>
            <w:tcW w:w="780" w:type="dxa"/>
            <w:shd w:val="clear" w:color="auto" w:fill="1F3864"/>
            <w:tcMar>
              <w:top w:w="60" w:type="dxa"/>
              <w:left w:w="80" w:type="dxa"/>
              <w:bottom w:w="60" w:type="dxa"/>
              <w:right w:w="80" w:type="dxa"/>
            </w:tcMar>
          </w:tcPr>
          <w:p w14:paraId="1CCF4F6A">
            <w:pPr>
              <w:jc w:val="center"/>
            </w:pPr>
            <w:r>
              <w:rPr>
                <w:rFonts w:ascii="Arial" w:hAnsi="Arial" w:eastAsia="Arial" w:cs="Arial"/>
                <w:b/>
                <w:bCs/>
                <w:color w:val="FFFFFF"/>
                <w:sz w:val="16"/>
                <w:szCs w:val="16"/>
              </w:rPr>
              <w:t>闭环</w:t>
            </w:r>
          </w:p>
        </w:tc>
        <w:tc>
          <w:tcPr>
            <w:tcW w:w="1114" w:type="dxa"/>
            <w:shd w:val="clear" w:color="auto" w:fill="1F3864"/>
            <w:tcMar>
              <w:top w:w="60" w:type="dxa"/>
              <w:left w:w="80" w:type="dxa"/>
              <w:bottom w:w="60" w:type="dxa"/>
              <w:right w:w="80" w:type="dxa"/>
            </w:tcMar>
          </w:tcPr>
          <w:p w14:paraId="0B1A8579">
            <w:pPr>
              <w:jc w:val="center"/>
            </w:pPr>
            <w:r>
              <w:rPr>
                <w:rFonts w:ascii="Arial" w:hAnsi="Arial" w:eastAsia="Arial" w:cs="Arial"/>
                <w:b/>
                <w:bCs/>
                <w:color w:val="FFFFFF"/>
                <w:sz w:val="16"/>
                <w:szCs w:val="16"/>
              </w:rPr>
              <w:t>加权总分</w:t>
            </w:r>
          </w:p>
        </w:tc>
      </w:tr>
      <w:tr w14:paraId="0F81317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FFFFF"/>
            <w:tcMar>
              <w:top w:w="50" w:type="dxa"/>
              <w:left w:w="80" w:type="dxa"/>
              <w:bottom w:w="50" w:type="dxa"/>
              <w:right w:w="80" w:type="dxa"/>
            </w:tcMar>
          </w:tcPr>
          <w:p w14:paraId="0FD14E14">
            <w:pPr>
              <w:spacing w:line="252" w:lineRule="auto"/>
              <w:jc w:val="left"/>
            </w:pPr>
            <w:r>
              <w:rPr>
                <w:rFonts w:ascii="Arial" w:hAnsi="Arial" w:eastAsia="Arial" w:cs="Arial"/>
                <w:sz w:val="17"/>
                <w:szCs w:val="17"/>
              </w:rPr>
              <w:t>物流+税号型</w:t>
            </w:r>
          </w:p>
        </w:tc>
        <w:tc>
          <w:tcPr>
            <w:tcW w:w="1003" w:type="dxa"/>
            <w:shd w:val="clear" w:color="auto" w:fill="FFFFFF"/>
            <w:tcMar>
              <w:top w:w="50" w:type="dxa"/>
              <w:left w:w="80" w:type="dxa"/>
              <w:bottom w:w="50" w:type="dxa"/>
              <w:right w:w="80" w:type="dxa"/>
            </w:tcMar>
          </w:tcPr>
          <w:p w14:paraId="791D4ED8">
            <w:pPr>
              <w:spacing w:line="252" w:lineRule="auto"/>
              <w:jc w:val="center"/>
            </w:pPr>
            <w:r>
              <w:rPr>
                <w:rFonts w:ascii="Arial" w:hAnsi="Arial" w:eastAsia="Arial" w:cs="Arial"/>
                <w:b w:val="0"/>
                <w:bCs w:val="0"/>
                <w:sz w:val="17"/>
                <w:szCs w:val="17"/>
              </w:rPr>
              <w:t>2</w:t>
            </w:r>
          </w:p>
        </w:tc>
        <w:tc>
          <w:tcPr>
            <w:tcW w:w="1003" w:type="dxa"/>
            <w:shd w:val="clear" w:color="auto" w:fill="FFFFFF"/>
            <w:tcMar>
              <w:top w:w="50" w:type="dxa"/>
              <w:left w:w="80" w:type="dxa"/>
              <w:bottom w:w="50" w:type="dxa"/>
              <w:right w:w="80" w:type="dxa"/>
            </w:tcMar>
          </w:tcPr>
          <w:p w14:paraId="57DAD6BB">
            <w:pPr>
              <w:spacing w:line="252" w:lineRule="auto"/>
              <w:jc w:val="center"/>
            </w:pPr>
            <w:r>
              <w:rPr>
                <w:rFonts w:ascii="Arial" w:hAnsi="Arial" w:eastAsia="Arial" w:cs="Arial"/>
                <w:b w:val="0"/>
                <w:bCs w:val="0"/>
                <w:sz w:val="17"/>
                <w:szCs w:val="17"/>
              </w:rPr>
              <w:t>1</w:t>
            </w:r>
          </w:p>
        </w:tc>
        <w:tc>
          <w:tcPr>
            <w:tcW w:w="1337" w:type="dxa"/>
            <w:shd w:val="clear" w:color="auto" w:fill="FFFFFF"/>
            <w:tcMar>
              <w:top w:w="50" w:type="dxa"/>
              <w:left w:w="80" w:type="dxa"/>
              <w:bottom w:w="50" w:type="dxa"/>
              <w:right w:w="80" w:type="dxa"/>
            </w:tcMar>
          </w:tcPr>
          <w:p w14:paraId="188DF4AE">
            <w:pPr>
              <w:spacing w:line="252" w:lineRule="auto"/>
              <w:jc w:val="center"/>
            </w:pPr>
            <w:r>
              <w:rPr>
                <w:rFonts w:ascii="Arial" w:hAnsi="Arial" w:eastAsia="Arial" w:cs="Arial"/>
                <w:b w:val="0"/>
                <w:bCs w:val="0"/>
                <w:sz w:val="17"/>
                <w:szCs w:val="17"/>
              </w:rPr>
              <w:t>2</w:t>
            </w:r>
          </w:p>
        </w:tc>
        <w:tc>
          <w:tcPr>
            <w:tcW w:w="780" w:type="dxa"/>
            <w:shd w:val="clear" w:color="auto" w:fill="FFFFFF"/>
            <w:tcMar>
              <w:top w:w="50" w:type="dxa"/>
              <w:left w:w="80" w:type="dxa"/>
              <w:bottom w:w="50" w:type="dxa"/>
              <w:right w:w="80" w:type="dxa"/>
            </w:tcMar>
          </w:tcPr>
          <w:p w14:paraId="74166EA7">
            <w:pPr>
              <w:spacing w:line="252" w:lineRule="auto"/>
              <w:jc w:val="center"/>
            </w:pPr>
            <w:r>
              <w:rPr>
                <w:rFonts w:ascii="Arial" w:hAnsi="Arial" w:eastAsia="Arial" w:cs="Arial"/>
                <w:b w:val="0"/>
                <w:bCs w:val="0"/>
                <w:sz w:val="17"/>
                <w:szCs w:val="17"/>
              </w:rPr>
              <w:t>5</w:t>
            </w:r>
          </w:p>
        </w:tc>
        <w:tc>
          <w:tcPr>
            <w:tcW w:w="780" w:type="dxa"/>
            <w:shd w:val="clear" w:color="auto" w:fill="FFFFFF"/>
            <w:tcMar>
              <w:top w:w="50" w:type="dxa"/>
              <w:left w:w="80" w:type="dxa"/>
              <w:bottom w:w="50" w:type="dxa"/>
              <w:right w:w="80" w:type="dxa"/>
            </w:tcMar>
          </w:tcPr>
          <w:p w14:paraId="74B26CC8">
            <w:pPr>
              <w:spacing w:line="252" w:lineRule="auto"/>
              <w:jc w:val="center"/>
            </w:pPr>
            <w:r>
              <w:rPr>
                <w:rFonts w:ascii="Arial" w:hAnsi="Arial" w:eastAsia="Arial" w:cs="Arial"/>
                <w:b w:val="0"/>
                <w:bCs w:val="0"/>
                <w:sz w:val="17"/>
                <w:szCs w:val="17"/>
              </w:rPr>
              <w:t>5</w:t>
            </w:r>
          </w:p>
        </w:tc>
        <w:tc>
          <w:tcPr>
            <w:tcW w:w="780" w:type="dxa"/>
            <w:shd w:val="clear" w:color="auto" w:fill="FFFFFF"/>
            <w:tcMar>
              <w:top w:w="50" w:type="dxa"/>
              <w:left w:w="80" w:type="dxa"/>
              <w:bottom w:w="50" w:type="dxa"/>
              <w:right w:w="80" w:type="dxa"/>
            </w:tcMar>
          </w:tcPr>
          <w:p w14:paraId="6DDEA63A">
            <w:pPr>
              <w:spacing w:line="252" w:lineRule="auto"/>
              <w:jc w:val="center"/>
            </w:pPr>
            <w:r>
              <w:rPr>
                <w:rFonts w:ascii="Arial" w:hAnsi="Arial" w:eastAsia="Arial" w:cs="Arial"/>
                <w:b w:val="0"/>
                <w:bCs w:val="0"/>
                <w:sz w:val="17"/>
                <w:szCs w:val="17"/>
              </w:rPr>
              <w:t>3</w:t>
            </w:r>
          </w:p>
        </w:tc>
        <w:tc>
          <w:tcPr>
            <w:tcW w:w="780" w:type="dxa"/>
            <w:shd w:val="clear" w:color="auto" w:fill="FFFFFF"/>
            <w:tcMar>
              <w:top w:w="50" w:type="dxa"/>
              <w:left w:w="80" w:type="dxa"/>
              <w:bottom w:w="50" w:type="dxa"/>
              <w:right w:w="80" w:type="dxa"/>
            </w:tcMar>
          </w:tcPr>
          <w:p w14:paraId="6A5513BE">
            <w:pPr>
              <w:spacing w:line="252" w:lineRule="auto"/>
              <w:jc w:val="center"/>
            </w:pPr>
            <w:r>
              <w:rPr>
                <w:rFonts w:ascii="Arial" w:hAnsi="Arial" w:eastAsia="Arial" w:cs="Arial"/>
                <w:b w:val="0"/>
                <w:bCs w:val="0"/>
                <w:sz w:val="17"/>
                <w:szCs w:val="17"/>
              </w:rPr>
              <w:t>2</w:t>
            </w:r>
          </w:p>
        </w:tc>
        <w:tc>
          <w:tcPr>
            <w:tcW w:w="1114" w:type="dxa"/>
            <w:shd w:val="clear" w:color="auto" w:fill="FFFFFF"/>
            <w:tcMar>
              <w:top w:w="50" w:type="dxa"/>
              <w:left w:w="80" w:type="dxa"/>
              <w:bottom w:w="50" w:type="dxa"/>
              <w:right w:w="80" w:type="dxa"/>
            </w:tcMar>
          </w:tcPr>
          <w:p w14:paraId="09DB4C18">
            <w:pPr>
              <w:spacing w:line="252" w:lineRule="auto"/>
              <w:jc w:val="center"/>
            </w:pPr>
            <w:r>
              <w:rPr>
                <w:rFonts w:ascii="Arial" w:hAnsi="Arial" w:eastAsia="Arial" w:cs="Arial"/>
                <w:b/>
                <w:bCs/>
                <w:color w:val="000000"/>
                <w:sz w:val="17"/>
                <w:szCs w:val="17"/>
              </w:rPr>
              <w:t>2.70</w:t>
            </w:r>
          </w:p>
        </w:tc>
      </w:tr>
      <w:tr w14:paraId="0802874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2F2F2"/>
            <w:tcMar>
              <w:top w:w="50" w:type="dxa"/>
              <w:left w:w="80" w:type="dxa"/>
              <w:bottom w:w="50" w:type="dxa"/>
              <w:right w:w="80" w:type="dxa"/>
            </w:tcMar>
          </w:tcPr>
          <w:p w14:paraId="648A97B4">
            <w:pPr>
              <w:spacing w:line="252" w:lineRule="auto"/>
              <w:jc w:val="left"/>
            </w:pPr>
            <w:r>
              <w:rPr>
                <w:rFonts w:ascii="Arial" w:hAnsi="Arial" w:eastAsia="Arial" w:cs="Arial"/>
                <w:sz w:val="17"/>
                <w:szCs w:val="17"/>
              </w:rPr>
              <w:t>支付+收款型</w:t>
            </w:r>
          </w:p>
        </w:tc>
        <w:tc>
          <w:tcPr>
            <w:tcW w:w="1003" w:type="dxa"/>
            <w:shd w:val="clear" w:color="auto" w:fill="F2F2F2"/>
            <w:tcMar>
              <w:top w:w="50" w:type="dxa"/>
              <w:left w:w="80" w:type="dxa"/>
              <w:bottom w:w="50" w:type="dxa"/>
              <w:right w:w="80" w:type="dxa"/>
            </w:tcMar>
          </w:tcPr>
          <w:p w14:paraId="0B600F68">
            <w:pPr>
              <w:spacing w:line="252" w:lineRule="auto"/>
              <w:jc w:val="center"/>
            </w:pPr>
            <w:r>
              <w:rPr>
                <w:rFonts w:ascii="Arial" w:hAnsi="Arial" w:eastAsia="Arial" w:cs="Arial"/>
                <w:b w:val="0"/>
                <w:bCs w:val="0"/>
                <w:sz w:val="17"/>
                <w:szCs w:val="17"/>
              </w:rPr>
              <w:t>2</w:t>
            </w:r>
          </w:p>
        </w:tc>
        <w:tc>
          <w:tcPr>
            <w:tcW w:w="1003" w:type="dxa"/>
            <w:shd w:val="clear" w:color="auto" w:fill="F2F2F2"/>
            <w:tcMar>
              <w:top w:w="50" w:type="dxa"/>
              <w:left w:w="80" w:type="dxa"/>
              <w:bottom w:w="50" w:type="dxa"/>
              <w:right w:w="80" w:type="dxa"/>
            </w:tcMar>
          </w:tcPr>
          <w:p w14:paraId="01BFE68E">
            <w:pPr>
              <w:spacing w:line="252" w:lineRule="auto"/>
              <w:jc w:val="center"/>
            </w:pPr>
            <w:r>
              <w:rPr>
                <w:rFonts w:ascii="Arial" w:hAnsi="Arial" w:eastAsia="Arial" w:cs="Arial"/>
                <w:b w:val="0"/>
                <w:bCs w:val="0"/>
                <w:sz w:val="17"/>
                <w:szCs w:val="17"/>
              </w:rPr>
              <w:t>1</w:t>
            </w:r>
          </w:p>
        </w:tc>
        <w:tc>
          <w:tcPr>
            <w:tcW w:w="1337" w:type="dxa"/>
            <w:shd w:val="clear" w:color="auto" w:fill="F2F2F2"/>
            <w:tcMar>
              <w:top w:w="50" w:type="dxa"/>
              <w:left w:w="80" w:type="dxa"/>
              <w:bottom w:w="50" w:type="dxa"/>
              <w:right w:w="80" w:type="dxa"/>
            </w:tcMar>
          </w:tcPr>
          <w:p w14:paraId="6BC489BB">
            <w:pPr>
              <w:spacing w:line="252" w:lineRule="auto"/>
              <w:jc w:val="center"/>
            </w:pPr>
            <w:r>
              <w:rPr>
                <w:rFonts w:ascii="Arial" w:hAnsi="Arial" w:eastAsia="Arial" w:cs="Arial"/>
                <w:b w:val="0"/>
                <w:bCs w:val="0"/>
                <w:sz w:val="17"/>
                <w:szCs w:val="17"/>
              </w:rPr>
              <w:t>3</w:t>
            </w:r>
          </w:p>
        </w:tc>
        <w:tc>
          <w:tcPr>
            <w:tcW w:w="780" w:type="dxa"/>
            <w:shd w:val="clear" w:color="auto" w:fill="F2F2F2"/>
            <w:tcMar>
              <w:top w:w="50" w:type="dxa"/>
              <w:left w:w="80" w:type="dxa"/>
              <w:bottom w:w="50" w:type="dxa"/>
              <w:right w:w="80" w:type="dxa"/>
            </w:tcMar>
          </w:tcPr>
          <w:p w14:paraId="394086D8">
            <w:pPr>
              <w:spacing w:line="252" w:lineRule="auto"/>
              <w:jc w:val="center"/>
            </w:pPr>
            <w:r>
              <w:rPr>
                <w:rFonts w:ascii="Arial" w:hAnsi="Arial" w:eastAsia="Arial" w:cs="Arial"/>
                <w:b w:val="0"/>
                <w:bCs w:val="0"/>
                <w:sz w:val="17"/>
                <w:szCs w:val="17"/>
              </w:rPr>
              <w:t>5</w:t>
            </w:r>
          </w:p>
        </w:tc>
        <w:tc>
          <w:tcPr>
            <w:tcW w:w="780" w:type="dxa"/>
            <w:shd w:val="clear" w:color="auto" w:fill="F2F2F2"/>
            <w:tcMar>
              <w:top w:w="50" w:type="dxa"/>
              <w:left w:w="80" w:type="dxa"/>
              <w:bottom w:w="50" w:type="dxa"/>
              <w:right w:w="80" w:type="dxa"/>
            </w:tcMar>
          </w:tcPr>
          <w:p w14:paraId="51F7B7DC">
            <w:pPr>
              <w:spacing w:line="252" w:lineRule="auto"/>
              <w:jc w:val="center"/>
            </w:pPr>
            <w:r>
              <w:rPr>
                <w:rFonts w:ascii="Arial" w:hAnsi="Arial" w:eastAsia="Arial" w:cs="Arial"/>
                <w:b w:val="0"/>
                <w:bCs w:val="0"/>
                <w:sz w:val="17"/>
                <w:szCs w:val="17"/>
              </w:rPr>
              <w:t>5</w:t>
            </w:r>
          </w:p>
        </w:tc>
        <w:tc>
          <w:tcPr>
            <w:tcW w:w="780" w:type="dxa"/>
            <w:shd w:val="clear" w:color="auto" w:fill="F2F2F2"/>
            <w:tcMar>
              <w:top w:w="50" w:type="dxa"/>
              <w:left w:w="80" w:type="dxa"/>
              <w:bottom w:w="50" w:type="dxa"/>
              <w:right w:w="80" w:type="dxa"/>
            </w:tcMar>
          </w:tcPr>
          <w:p w14:paraId="660ACF26">
            <w:pPr>
              <w:spacing w:line="252" w:lineRule="auto"/>
              <w:jc w:val="center"/>
            </w:pPr>
            <w:r>
              <w:rPr>
                <w:rFonts w:ascii="Arial" w:hAnsi="Arial" w:eastAsia="Arial" w:cs="Arial"/>
                <w:b w:val="0"/>
                <w:bCs w:val="0"/>
                <w:sz w:val="17"/>
                <w:szCs w:val="17"/>
              </w:rPr>
              <w:t>4</w:t>
            </w:r>
          </w:p>
        </w:tc>
        <w:tc>
          <w:tcPr>
            <w:tcW w:w="780" w:type="dxa"/>
            <w:shd w:val="clear" w:color="auto" w:fill="F2F2F2"/>
            <w:tcMar>
              <w:top w:w="50" w:type="dxa"/>
              <w:left w:w="80" w:type="dxa"/>
              <w:bottom w:w="50" w:type="dxa"/>
              <w:right w:w="80" w:type="dxa"/>
            </w:tcMar>
          </w:tcPr>
          <w:p w14:paraId="089A9E8C">
            <w:pPr>
              <w:spacing w:line="252" w:lineRule="auto"/>
              <w:jc w:val="center"/>
            </w:pPr>
            <w:r>
              <w:rPr>
                <w:rFonts w:ascii="Arial" w:hAnsi="Arial" w:eastAsia="Arial" w:cs="Arial"/>
                <w:b w:val="0"/>
                <w:bCs w:val="0"/>
                <w:sz w:val="17"/>
                <w:szCs w:val="17"/>
              </w:rPr>
              <w:t>2</w:t>
            </w:r>
          </w:p>
        </w:tc>
        <w:tc>
          <w:tcPr>
            <w:tcW w:w="1114" w:type="dxa"/>
            <w:shd w:val="clear" w:color="auto" w:fill="F2F2F2"/>
            <w:tcMar>
              <w:top w:w="50" w:type="dxa"/>
              <w:left w:w="80" w:type="dxa"/>
              <w:bottom w:w="50" w:type="dxa"/>
              <w:right w:w="80" w:type="dxa"/>
            </w:tcMar>
          </w:tcPr>
          <w:p w14:paraId="0F9D07E2">
            <w:pPr>
              <w:spacing w:line="252" w:lineRule="auto"/>
              <w:jc w:val="center"/>
            </w:pPr>
            <w:r>
              <w:rPr>
                <w:rFonts w:ascii="Arial" w:hAnsi="Arial" w:eastAsia="Arial" w:cs="Arial"/>
                <w:b/>
                <w:bCs/>
                <w:color w:val="000000"/>
                <w:sz w:val="17"/>
                <w:szCs w:val="17"/>
              </w:rPr>
              <w:t>3.00</w:t>
            </w:r>
          </w:p>
        </w:tc>
      </w:tr>
      <w:tr w14:paraId="713FF0A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FFFFF"/>
            <w:tcMar>
              <w:top w:w="50" w:type="dxa"/>
              <w:left w:w="80" w:type="dxa"/>
              <w:bottom w:w="50" w:type="dxa"/>
              <w:right w:w="80" w:type="dxa"/>
            </w:tcMar>
          </w:tcPr>
          <w:p w14:paraId="2E8AFC90">
            <w:pPr>
              <w:spacing w:line="252" w:lineRule="auto"/>
              <w:jc w:val="left"/>
            </w:pPr>
            <w:r>
              <w:rPr>
                <w:rFonts w:ascii="Arial" w:hAnsi="Arial" w:eastAsia="Arial" w:cs="Arial"/>
                <w:sz w:val="17"/>
                <w:szCs w:val="17"/>
              </w:rPr>
              <w:t>综合合规型</w:t>
            </w:r>
          </w:p>
        </w:tc>
        <w:tc>
          <w:tcPr>
            <w:tcW w:w="1003" w:type="dxa"/>
            <w:shd w:val="clear" w:color="auto" w:fill="FFFFFF"/>
            <w:tcMar>
              <w:top w:w="50" w:type="dxa"/>
              <w:left w:w="80" w:type="dxa"/>
              <w:bottom w:w="50" w:type="dxa"/>
              <w:right w:w="80" w:type="dxa"/>
            </w:tcMar>
          </w:tcPr>
          <w:p w14:paraId="7E3D2173">
            <w:pPr>
              <w:spacing w:line="252" w:lineRule="auto"/>
              <w:jc w:val="center"/>
            </w:pPr>
            <w:r>
              <w:rPr>
                <w:rFonts w:ascii="Arial" w:hAnsi="Arial" w:eastAsia="Arial" w:cs="Arial"/>
                <w:b w:val="0"/>
                <w:bCs w:val="0"/>
                <w:sz w:val="17"/>
                <w:szCs w:val="17"/>
              </w:rPr>
              <w:t>3</w:t>
            </w:r>
          </w:p>
        </w:tc>
        <w:tc>
          <w:tcPr>
            <w:tcW w:w="1003" w:type="dxa"/>
            <w:shd w:val="clear" w:color="auto" w:fill="FFFFFF"/>
            <w:tcMar>
              <w:top w:w="50" w:type="dxa"/>
              <w:left w:w="80" w:type="dxa"/>
              <w:bottom w:w="50" w:type="dxa"/>
              <w:right w:w="80" w:type="dxa"/>
            </w:tcMar>
          </w:tcPr>
          <w:p w14:paraId="33469FD0">
            <w:pPr>
              <w:spacing w:line="252" w:lineRule="auto"/>
              <w:jc w:val="center"/>
            </w:pPr>
            <w:r>
              <w:rPr>
                <w:rFonts w:ascii="Arial" w:hAnsi="Arial" w:eastAsia="Arial" w:cs="Arial"/>
                <w:b w:val="0"/>
                <w:bCs w:val="0"/>
                <w:sz w:val="17"/>
                <w:szCs w:val="17"/>
              </w:rPr>
              <w:t>2</w:t>
            </w:r>
          </w:p>
        </w:tc>
        <w:tc>
          <w:tcPr>
            <w:tcW w:w="1337" w:type="dxa"/>
            <w:shd w:val="clear" w:color="auto" w:fill="FFFFFF"/>
            <w:tcMar>
              <w:top w:w="50" w:type="dxa"/>
              <w:left w:w="80" w:type="dxa"/>
              <w:bottom w:w="50" w:type="dxa"/>
              <w:right w:w="80" w:type="dxa"/>
            </w:tcMar>
          </w:tcPr>
          <w:p w14:paraId="47FD95B7">
            <w:pPr>
              <w:spacing w:line="252" w:lineRule="auto"/>
              <w:jc w:val="center"/>
            </w:pPr>
            <w:r>
              <w:rPr>
                <w:rFonts w:ascii="Arial" w:hAnsi="Arial" w:eastAsia="Arial" w:cs="Arial"/>
                <w:b w:val="0"/>
                <w:bCs w:val="0"/>
                <w:sz w:val="17"/>
                <w:szCs w:val="17"/>
              </w:rPr>
              <w:t>3</w:t>
            </w:r>
          </w:p>
        </w:tc>
        <w:tc>
          <w:tcPr>
            <w:tcW w:w="780" w:type="dxa"/>
            <w:shd w:val="clear" w:color="auto" w:fill="FFFFFF"/>
            <w:tcMar>
              <w:top w:w="50" w:type="dxa"/>
              <w:left w:w="80" w:type="dxa"/>
              <w:bottom w:w="50" w:type="dxa"/>
              <w:right w:w="80" w:type="dxa"/>
            </w:tcMar>
          </w:tcPr>
          <w:p w14:paraId="1A66C225">
            <w:pPr>
              <w:spacing w:line="252" w:lineRule="auto"/>
              <w:jc w:val="center"/>
            </w:pPr>
            <w:r>
              <w:rPr>
                <w:rFonts w:ascii="Arial" w:hAnsi="Arial" w:eastAsia="Arial" w:cs="Arial"/>
                <w:b w:val="0"/>
                <w:bCs w:val="0"/>
                <w:sz w:val="17"/>
                <w:szCs w:val="17"/>
              </w:rPr>
              <w:t>3</w:t>
            </w:r>
          </w:p>
        </w:tc>
        <w:tc>
          <w:tcPr>
            <w:tcW w:w="780" w:type="dxa"/>
            <w:shd w:val="clear" w:color="auto" w:fill="FFFFFF"/>
            <w:tcMar>
              <w:top w:w="50" w:type="dxa"/>
              <w:left w:w="80" w:type="dxa"/>
              <w:bottom w:w="50" w:type="dxa"/>
              <w:right w:w="80" w:type="dxa"/>
            </w:tcMar>
          </w:tcPr>
          <w:p w14:paraId="3DC4B079">
            <w:pPr>
              <w:spacing w:line="252" w:lineRule="auto"/>
              <w:jc w:val="center"/>
            </w:pPr>
            <w:r>
              <w:rPr>
                <w:rFonts w:ascii="Arial" w:hAnsi="Arial" w:eastAsia="Arial" w:cs="Arial"/>
                <w:b w:val="0"/>
                <w:bCs w:val="0"/>
                <w:sz w:val="17"/>
                <w:szCs w:val="17"/>
              </w:rPr>
              <w:t>3</w:t>
            </w:r>
          </w:p>
        </w:tc>
        <w:tc>
          <w:tcPr>
            <w:tcW w:w="780" w:type="dxa"/>
            <w:shd w:val="clear" w:color="auto" w:fill="FFFFFF"/>
            <w:tcMar>
              <w:top w:w="50" w:type="dxa"/>
              <w:left w:w="80" w:type="dxa"/>
              <w:bottom w:w="50" w:type="dxa"/>
              <w:right w:w="80" w:type="dxa"/>
            </w:tcMar>
          </w:tcPr>
          <w:p w14:paraId="7B515F50">
            <w:pPr>
              <w:spacing w:line="252" w:lineRule="auto"/>
              <w:jc w:val="center"/>
            </w:pPr>
            <w:r>
              <w:rPr>
                <w:rFonts w:ascii="Arial" w:hAnsi="Arial" w:eastAsia="Arial" w:cs="Arial"/>
                <w:b w:val="0"/>
                <w:bCs w:val="0"/>
                <w:sz w:val="17"/>
                <w:szCs w:val="17"/>
              </w:rPr>
              <w:t>1</w:t>
            </w:r>
          </w:p>
        </w:tc>
        <w:tc>
          <w:tcPr>
            <w:tcW w:w="780" w:type="dxa"/>
            <w:shd w:val="clear" w:color="auto" w:fill="FFFFFF"/>
            <w:tcMar>
              <w:top w:w="50" w:type="dxa"/>
              <w:left w:w="80" w:type="dxa"/>
              <w:bottom w:w="50" w:type="dxa"/>
              <w:right w:w="80" w:type="dxa"/>
            </w:tcMar>
          </w:tcPr>
          <w:p w14:paraId="5255CDA5">
            <w:pPr>
              <w:spacing w:line="252" w:lineRule="auto"/>
              <w:jc w:val="center"/>
            </w:pPr>
            <w:r>
              <w:rPr>
                <w:rFonts w:ascii="Arial" w:hAnsi="Arial" w:eastAsia="Arial" w:cs="Arial"/>
                <w:b w:val="0"/>
                <w:bCs w:val="0"/>
                <w:sz w:val="17"/>
                <w:szCs w:val="17"/>
              </w:rPr>
              <w:t>3</w:t>
            </w:r>
          </w:p>
        </w:tc>
        <w:tc>
          <w:tcPr>
            <w:tcW w:w="1114" w:type="dxa"/>
            <w:shd w:val="clear" w:color="auto" w:fill="FFFFFF"/>
            <w:tcMar>
              <w:top w:w="50" w:type="dxa"/>
              <w:left w:w="80" w:type="dxa"/>
              <w:bottom w:w="50" w:type="dxa"/>
              <w:right w:w="80" w:type="dxa"/>
            </w:tcMar>
          </w:tcPr>
          <w:p w14:paraId="3AE24B8E">
            <w:pPr>
              <w:spacing w:line="252" w:lineRule="auto"/>
              <w:jc w:val="center"/>
            </w:pPr>
            <w:r>
              <w:rPr>
                <w:rFonts w:ascii="Arial" w:hAnsi="Arial" w:eastAsia="Arial" w:cs="Arial"/>
                <w:b/>
                <w:bCs/>
                <w:color w:val="000000"/>
                <w:sz w:val="17"/>
                <w:szCs w:val="17"/>
              </w:rPr>
              <w:t>2.65</w:t>
            </w:r>
          </w:p>
        </w:tc>
      </w:tr>
      <w:tr w14:paraId="3962883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2F2F2"/>
            <w:tcMar>
              <w:top w:w="50" w:type="dxa"/>
              <w:left w:w="80" w:type="dxa"/>
              <w:bottom w:w="50" w:type="dxa"/>
              <w:right w:w="80" w:type="dxa"/>
            </w:tcMar>
          </w:tcPr>
          <w:p w14:paraId="358C2BA1">
            <w:pPr>
              <w:spacing w:line="252" w:lineRule="auto"/>
              <w:jc w:val="left"/>
            </w:pPr>
            <w:r>
              <w:rPr>
                <w:rFonts w:ascii="Arial" w:hAnsi="Arial" w:eastAsia="Arial" w:cs="Arial"/>
                <w:sz w:val="17"/>
                <w:szCs w:val="17"/>
              </w:rPr>
              <w:t>本土专业所/四大</w:t>
            </w:r>
          </w:p>
        </w:tc>
        <w:tc>
          <w:tcPr>
            <w:tcW w:w="1003" w:type="dxa"/>
            <w:shd w:val="clear" w:color="auto" w:fill="F2F2F2"/>
            <w:tcMar>
              <w:top w:w="50" w:type="dxa"/>
              <w:left w:w="80" w:type="dxa"/>
              <w:bottom w:w="50" w:type="dxa"/>
              <w:right w:w="80" w:type="dxa"/>
            </w:tcMar>
          </w:tcPr>
          <w:p w14:paraId="4F5E71AA">
            <w:pPr>
              <w:spacing w:line="252" w:lineRule="auto"/>
              <w:jc w:val="center"/>
            </w:pPr>
            <w:r>
              <w:rPr>
                <w:rFonts w:ascii="Arial" w:hAnsi="Arial" w:eastAsia="Arial" w:cs="Arial"/>
                <w:b w:val="0"/>
                <w:bCs w:val="0"/>
                <w:sz w:val="17"/>
                <w:szCs w:val="17"/>
              </w:rPr>
              <w:t>5</w:t>
            </w:r>
          </w:p>
        </w:tc>
        <w:tc>
          <w:tcPr>
            <w:tcW w:w="1003" w:type="dxa"/>
            <w:shd w:val="clear" w:color="auto" w:fill="F2F2F2"/>
            <w:tcMar>
              <w:top w:w="50" w:type="dxa"/>
              <w:left w:w="80" w:type="dxa"/>
              <w:bottom w:w="50" w:type="dxa"/>
              <w:right w:w="80" w:type="dxa"/>
            </w:tcMar>
          </w:tcPr>
          <w:p w14:paraId="1D8CD52E">
            <w:pPr>
              <w:spacing w:line="252" w:lineRule="auto"/>
              <w:jc w:val="center"/>
            </w:pPr>
            <w:r>
              <w:rPr>
                <w:rFonts w:ascii="Arial" w:hAnsi="Arial" w:eastAsia="Arial" w:cs="Arial"/>
                <w:b w:val="0"/>
                <w:bCs w:val="0"/>
                <w:sz w:val="17"/>
                <w:szCs w:val="17"/>
              </w:rPr>
              <w:t>1</w:t>
            </w:r>
          </w:p>
        </w:tc>
        <w:tc>
          <w:tcPr>
            <w:tcW w:w="1337" w:type="dxa"/>
            <w:shd w:val="clear" w:color="auto" w:fill="F2F2F2"/>
            <w:tcMar>
              <w:top w:w="50" w:type="dxa"/>
              <w:left w:w="80" w:type="dxa"/>
              <w:bottom w:w="50" w:type="dxa"/>
              <w:right w:w="80" w:type="dxa"/>
            </w:tcMar>
          </w:tcPr>
          <w:p w14:paraId="6C55CBF7">
            <w:pPr>
              <w:spacing w:line="252" w:lineRule="auto"/>
              <w:jc w:val="center"/>
            </w:pPr>
            <w:r>
              <w:rPr>
                <w:rFonts w:ascii="Arial" w:hAnsi="Arial" w:eastAsia="Arial" w:cs="Arial"/>
                <w:b w:val="0"/>
                <w:bCs w:val="0"/>
                <w:sz w:val="17"/>
                <w:szCs w:val="17"/>
              </w:rPr>
              <w:t>5</w:t>
            </w:r>
          </w:p>
        </w:tc>
        <w:tc>
          <w:tcPr>
            <w:tcW w:w="780" w:type="dxa"/>
            <w:shd w:val="clear" w:color="auto" w:fill="F2F2F2"/>
            <w:tcMar>
              <w:top w:w="50" w:type="dxa"/>
              <w:left w:w="80" w:type="dxa"/>
              <w:bottom w:w="50" w:type="dxa"/>
              <w:right w:w="80" w:type="dxa"/>
            </w:tcMar>
          </w:tcPr>
          <w:p w14:paraId="5AF1DE1D">
            <w:pPr>
              <w:spacing w:line="252" w:lineRule="auto"/>
              <w:jc w:val="center"/>
            </w:pPr>
            <w:r>
              <w:rPr>
                <w:rFonts w:ascii="Arial" w:hAnsi="Arial" w:eastAsia="Arial" w:cs="Arial"/>
                <w:b w:val="0"/>
                <w:bCs w:val="0"/>
                <w:sz w:val="17"/>
                <w:szCs w:val="17"/>
              </w:rPr>
              <w:t>1</w:t>
            </w:r>
          </w:p>
        </w:tc>
        <w:tc>
          <w:tcPr>
            <w:tcW w:w="780" w:type="dxa"/>
            <w:shd w:val="clear" w:color="auto" w:fill="F2F2F2"/>
            <w:tcMar>
              <w:top w:w="50" w:type="dxa"/>
              <w:left w:w="80" w:type="dxa"/>
              <w:bottom w:w="50" w:type="dxa"/>
              <w:right w:w="80" w:type="dxa"/>
            </w:tcMar>
          </w:tcPr>
          <w:p w14:paraId="42E6871D">
            <w:pPr>
              <w:spacing w:line="252" w:lineRule="auto"/>
              <w:jc w:val="center"/>
            </w:pPr>
            <w:r>
              <w:rPr>
                <w:rFonts w:ascii="Arial" w:hAnsi="Arial" w:eastAsia="Arial" w:cs="Arial"/>
                <w:b w:val="0"/>
                <w:bCs w:val="0"/>
                <w:sz w:val="17"/>
                <w:szCs w:val="17"/>
              </w:rPr>
              <w:t>2</w:t>
            </w:r>
          </w:p>
        </w:tc>
        <w:tc>
          <w:tcPr>
            <w:tcW w:w="780" w:type="dxa"/>
            <w:shd w:val="clear" w:color="auto" w:fill="F2F2F2"/>
            <w:tcMar>
              <w:top w:w="50" w:type="dxa"/>
              <w:left w:w="80" w:type="dxa"/>
              <w:bottom w:w="50" w:type="dxa"/>
              <w:right w:w="80" w:type="dxa"/>
            </w:tcMar>
          </w:tcPr>
          <w:p w14:paraId="45E29211">
            <w:pPr>
              <w:spacing w:line="252" w:lineRule="auto"/>
              <w:jc w:val="center"/>
            </w:pPr>
            <w:r>
              <w:rPr>
                <w:rFonts w:ascii="Arial" w:hAnsi="Arial" w:eastAsia="Arial" w:cs="Arial"/>
                <w:b w:val="0"/>
                <w:bCs w:val="0"/>
                <w:sz w:val="17"/>
                <w:szCs w:val="17"/>
              </w:rPr>
              <w:t>3</w:t>
            </w:r>
          </w:p>
        </w:tc>
        <w:tc>
          <w:tcPr>
            <w:tcW w:w="780" w:type="dxa"/>
            <w:shd w:val="clear" w:color="auto" w:fill="F2F2F2"/>
            <w:tcMar>
              <w:top w:w="50" w:type="dxa"/>
              <w:left w:w="80" w:type="dxa"/>
              <w:bottom w:w="50" w:type="dxa"/>
              <w:right w:w="80" w:type="dxa"/>
            </w:tcMar>
          </w:tcPr>
          <w:p w14:paraId="581B6843">
            <w:pPr>
              <w:spacing w:line="252" w:lineRule="auto"/>
              <w:jc w:val="center"/>
            </w:pPr>
            <w:r>
              <w:rPr>
                <w:rFonts w:ascii="Arial" w:hAnsi="Arial" w:eastAsia="Arial" w:cs="Arial"/>
                <w:b w:val="0"/>
                <w:bCs w:val="0"/>
                <w:sz w:val="17"/>
                <w:szCs w:val="17"/>
              </w:rPr>
              <w:t>2</w:t>
            </w:r>
          </w:p>
        </w:tc>
        <w:tc>
          <w:tcPr>
            <w:tcW w:w="1114" w:type="dxa"/>
            <w:shd w:val="clear" w:color="auto" w:fill="F2F2F2"/>
            <w:tcMar>
              <w:top w:w="50" w:type="dxa"/>
              <w:left w:w="80" w:type="dxa"/>
              <w:bottom w:w="50" w:type="dxa"/>
              <w:right w:w="80" w:type="dxa"/>
            </w:tcMar>
          </w:tcPr>
          <w:p w14:paraId="652A1105">
            <w:pPr>
              <w:spacing w:line="252" w:lineRule="auto"/>
              <w:jc w:val="center"/>
            </w:pPr>
            <w:r>
              <w:rPr>
                <w:rFonts w:ascii="Arial" w:hAnsi="Arial" w:eastAsia="Arial" w:cs="Arial"/>
                <w:b/>
                <w:bCs/>
                <w:color w:val="000000"/>
                <w:sz w:val="17"/>
                <w:szCs w:val="17"/>
              </w:rPr>
              <w:t>3.00</w:t>
            </w:r>
          </w:p>
        </w:tc>
      </w:tr>
      <w:tr w14:paraId="5306739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FF2CC"/>
            <w:tcMar>
              <w:top w:w="50" w:type="dxa"/>
              <w:left w:w="80" w:type="dxa"/>
              <w:bottom w:w="50" w:type="dxa"/>
              <w:right w:w="80" w:type="dxa"/>
            </w:tcMar>
          </w:tcPr>
          <w:p w14:paraId="7DDB45EB">
            <w:pPr>
              <w:spacing w:line="252" w:lineRule="auto"/>
              <w:jc w:val="left"/>
            </w:pPr>
            <w:r>
              <w:rPr>
                <w:rFonts w:ascii="Arial" w:hAnsi="Arial" w:eastAsia="Arial" w:cs="Arial"/>
                <w:b/>
                <w:bCs/>
                <w:color w:val="000000"/>
                <w:sz w:val="17"/>
                <w:szCs w:val="17"/>
              </w:rPr>
              <w:t>★ 你的定位</w:t>
            </w:r>
          </w:p>
        </w:tc>
        <w:tc>
          <w:tcPr>
            <w:tcW w:w="1003" w:type="dxa"/>
            <w:shd w:val="clear" w:color="auto" w:fill="FFF2CC"/>
            <w:tcMar>
              <w:top w:w="50" w:type="dxa"/>
              <w:left w:w="80" w:type="dxa"/>
              <w:bottom w:w="50" w:type="dxa"/>
              <w:right w:w="80" w:type="dxa"/>
            </w:tcMar>
          </w:tcPr>
          <w:p w14:paraId="7D9715B9">
            <w:pPr>
              <w:spacing w:line="252" w:lineRule="auto"/>
              <w:jc w:val="center"/>
            </w:pPr>
            <w:r>
              <w:rPr>
                <w:rFonts w:ascii="Arial" w:hAnsi="Arial" w:eastAsia="Arial" w:cs="Arial"/>
                <w:b w:val="0"/>
                <w:bCs w:val="0"/>
                <w:color w:val="000000"/>
                <w:sz w:val="17"/>
                <w:szCs w:val="17"/>
              </w:rPr>
              <w:t>5</w:t>
            </w:r>
          </w:p>
        </w:tc>
        <w:tc>
          <w:tcPr>
            <w:tcW w:w="1003" w:type="dxa"/>
            <w:shd w:val="clear" w:color="auto" w:fill="FFF2CC"/>
            <w:tcMar>
              <w:top w:w="50" w:type="dxa"/>
              <w:left w:w="80" w:type="dxa"/>
              <w:bottom w:w="50" w:type="dxa"/>
              <w:right w:w="80" w:type="dxa"/>
            </w:tcMar>
          </w:tcPr>
          <w:p w14:paraId="7667F46B">
            <w:pPr>
              <w:spacing w:line="252" w:lineRule="auto"/>
              <w:jc w:val="center"/>
            </w:pPr>
            <w:r>
              <w:rPr>
                <w:rFonts w:ascii="Arial" w:hAnsi="Arial" w:eastAsia="Arial" w:cs="Arial"/>
                <w:b w:val="0"/>
                <w:bCs w:val="0"/>
                <w:color w:val="000000"/>
                <w:sz w:val="17"/>
                <w:szCs w:val="17"/>
              </w:rPr>
              <w:t>5</w:t>
            </w:r>
          </w:p>
        </w:tc>
        <w:tc>
          <w:tcPr>
            <w:tcW w:w="1337" w:type="dxa"/>
            <w:shd w:val="clear" w:color="auto" w:fill="FFF2CC"/>
            <w:tcMar>
              <w:top w:w="50" w:type="dxa"/>
              <w:left w:w="80" w:type="dxa"/>
              <w:bottom w:w="50" w:type="dxa"/>
              <w:right w:w="80" w:type="dxa"/>
            </w:tcMar>
          </w:tcPr>
          <w:p w14:paraId="2B7A1336">
            <w:pPr>
              <w:spacing w:line="252" w:lineRule="auto"/>
              <w:jc w:val="center"/>
            </w:pPr>
            <w:r>
              <w:rPr>
                <w:rFonts w:ascii="Arial" w:hAnsi="Arial" w:eastAsia="Arial" w:cs="Arial"/>
                <w:b w:val="0"/>
                <w:bCs w:val="0"/>
                <w:color w:val="000000"/>
                <w:sz w:val="17"/>
                <w:szCs w:val="17"/>
              </w:rPr>
              <w:t>5</w:t>
            </w:r>
          </w:p>
        </w:tc>
        <w:tc>
          <w:tcPr>
            <w:tcW w:w="780" w:type="dxa"/>
            <w:shd w:val="clear" w:color="auto" w:fill="FFF2CC"/>
            <w:tcMar>
              <w:top w:w="50" w:type="dxa"/>
              <w:left w:w="80" w:type="dxa"/>
              <w:bottom w:w="50" w:type="dxa"/>
              <w:right w:w="80" w:type="dxa"/>
            </w:tcMar>
          </w:tcPr>
          <w:p w14:paraId="5DC6A7CE">
            <w:pPr>
              <w:spacing w:line="252" w:lineRule="auto"/>
              <w:jc w:val="center"/>
            </w:pPr>
            <w:r>
              <w:rPr>
                <w:rFonts w:ascii="Arial" w:hAnsi="Arial" w:eastAsia="Arial" w:cs="Arial"/>
                <w:b w:val="0"/>
                <w:bCs w:val="0"/>
                <w:color w:val="000000"/>
                <w:sz w:val="17"/>
                <w:szCs w:val="17"/>
              </w:rPr>
              <w:t>4</w:t>
            </w:r>
          </w:p>
        </w:tc>
        <w:tc>
          <w:tcPr>
            <w:tcW w:w="780" w:type="dxa"/>
            <w:shd w:val="clear" w:color="auto" w:fill="FFF2CC"/>
            <w:tcMar>
              <w:top w:w="50" w:type="dxa"/>
              <w:left w:w="80" w:type="dxa"/>
              <w:bottom w:w="50" w:type="dxa"/>
              <w:right w:w="80" w:type="dxa"/>
            </w:tcMar>
          </w:tcPr>
          <w:p w14:paraId="6CABED80">
            <w:pPr>
              <w:spacing w:line="252" w:lineRule="auto"/>
              <w:jc w:val="center"/>
            </w:pPr>
            <w:r>
              <w:rPr>
                <w:rFonts w:ascii="Arial" w:hAnsi="Arial" w:eastAsia="Arial" w:cs="Arial"/>
                <w:b w:val="0"/>
                <w:bCs w:val="0"/>
                <w:color w:val="000000"/>
                <w:sz w:val="17"/>
                <w:szCs w:val="17"/>
              </w:rPr>
              <w:t>4</w:t>
            </w:r>
          </w:p>
        </w:tc>
        <w:tc>
          <w:tcPr>
            <w:tcW w:w="780" w:type="dxa"/>
            <w:shd w:val="clear" w:color="auto" w:fill="FFF2CC"/>
            <w:tcMar>
              <w:top w:w="50" w:type="dxa"/>
              <w:left w:w="80" w:type="dxa"/>
              <w:bottom w:w="50" w:type="dxa"/>
              <w:right w:w="80" w:type="dxa"/>
            </w:tcMar>
          </w:tcPr>
          <w:p w14:paraId="7EC61540">
            <w:pPr>
              <w:spacing w:line="252" w:lineRule="auto"/>
              <w:jc w:val="center"/>
            </w:pPr>
            <w:r>
              <w:rPr>
                <w:rFonts w:ascii="Arial" w:hAnsi="Arial" w:eastAsia="Arial" w:cs="Arial"/>
                <w:b w:val="0"/>
                <w:bCs w:val="0"/>
                <w:color w:val="000000"/>
                <w:sz w:val="17"/>
                <w:szCs w:val="17"/>
              </w:rPr>
              <w:t>5</w:t>
            </w:r>
          </w:p>
        </w:tc>
        <w:tc>
          <w:tcPr>
            <w:tcW w:w="780" w:type="dxa"/>
            <w:shd w:val="clear" w:color="auto" w:fill="FFF2CC"/>
            <w:tcMar>
              <w:top w:w="50" w:type="dxa"/>
              <w:left w:w="80" w:type="dxa"/>
              <w:bottom w:w="50" w:type="dxa"/>
              <w:right w:w="80" w:type="dxa"/>
            </w:tcMar>
          </w:tcPr>
          <w:p w14:paraId="6F21E4E0">
            <w:pPr>
              <w:spacing w:line="252" w:lineRule="auto"/>
              <w:jc w:val="center"/>
            </w:pPr>
            <w:r>
              <w:rPr>
                <w:rFonts w:ascii="Arial" w:hAnsi="Arial" w:eastAsia="Arial" w:cs="Arial"/>
                <w:b w:val="0"/>
                <w:bCs w:val="0"/>
                <w:color w:val="000000"/>
                <w:sz w:val="17"/>
                <w:szCs w:val="17"/>
              </w:rPr>
              <w:t>5</w:t>
            </w:r>
          </w:p>
        </w:tc>
        <w:tc>
          <w:tcPr>
            <w:tcW w:w="1114" w:type="dxa"/>
            <w:shd w:val="clear" w:color="auto" w:fill="FFF2CC"/>
            <w:tcMar>
              <w:top w:w="50" w:type="dxa"/>
              <w:left w:w="80" w:type="dxa"/>
              <w:bottom w:w="50" w:type="dxa"/>
              <w:right w:w="80" w:type="dxa"/>
            </w:tcMar>
          </w:tcPr>
          <w:p w14:paraId="023FF175">
            <w:pPr>
              <w:spacing w:line="252" w:lineRule="auto"/>
              <w:jc w:val="center"/>
            </w:pPr>
            <w:r>
              <w:rPr>
                <w:rFonts w:ascii="Arial" w:hAnsi="Arial" w:eastAsia="Arial" w:cs="Arial"/>
                <w:b/>
                <w:bCs/>
                <w:color w:val="000000"/>
                <w:sz w:val="17"/>
                <w:szCs w:val="17"/>
              </w:rPr>
              <w:t>4.75</w:t>
            </w:r>
          </w:p>
        </w:tc>
      </w:tr>
    </w:tbl>
    <w:p w14:paraId="0398A1EC">
      <w:pPr>
        <w:spacing w:before="40" w:after="160"/>
      </w:pPr>
      <w:r>
        <w:rPr>
          <w:rFonts w:ascii="Arial" w:hAnsi="Arial" w:eastAsia="Arial" w:cs="Arial"/>
          <w:i/>
          <w:iCs/>
          <w:color w:val="808080"/>
          <w:sz w:val="16"/>
          <w:szCs w:val="16"/>
        </w:rPr>
        <w:t>表 0-1：竞品加权评分（权重见配套《竞品对比矩阵》Tab⑤，可自行调整重算）。总分越高越优。</w:t>
      </w:r>
    </w:p>
    <w:p w14:paraId="033E37E3">
      <w:pPr>
        <w:pStyle w:val="4"/>
        <w:spacing w:before="160" w:after="90"/>
      </w:pPr>
      <w:r>
        <w:rPr>
          <w:rFonts w:ascii="Arial" w:hAnsi="Arial" w:eastAsia="Arial" w:cs="Arial"/>
          <w:b/>
          <w:bCs/>
          <w:color w:val="404040"/>
          <w:sz w:val="22"/>
          <w:szCs w:val="22"/>
        </w:rPr>
        <w:t>给决策者的一句话</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27363555">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623642EC">
            <w:pPr>
              <w:spacing w:after="40" w:line="276" w:lineRule="auto"/>
            </w:pPr>
            <w:r>
              <w:rPr>
                <w:rFonts w:ascii="Arial" w:hAnsi="Arial" w:eastAsia="Arial" w:cs="Arial"/>
                <w:b/>
                <w:bCs/>
                <w:color w:val="1F3864"/>
                <w:sz w:val="21"/>
                <w:szCs w:val="21"/>
              </w:rPr>
              <w:t>墨西哥市场的窗口期是“政策强监管 + 平台高增长”叠加出来的：合规痛点在放大，专业供给却仍稀缺。用本地实体解决信任、用运营能力解决闭环、用技术解决规模化——这三件事同时做到的玩家，目前几乎没有。</w:t>
            </w:r>
          </w:p>
        </w:tc>
      </w:tr>
    </w:tbl>
    <w:p w14:paraId="33CA1128">
      <w:pPr>
        <w:pStyle w:val="2"/>
        <w:pageBreakBefore/>
        <w:spacing w:before="240" w:after="160"/>
      </w:pPr>
      <w:r>
        <w:rPr>
          <w:rFonts w:ascii="Arial" w:hAnsi="Arial" w:eastAsia="Arial" w:cs="Arial"/>
          <w:b/>
          <w:bCs/>
          <w:color w:val="1F3864"/>
          <w:sz w:val="30"/>
          <w:szCs w:val="30"/>
        </w:rPr>
        <w:t>第一章　墨西哥宏观经济与电商市场</w:t>
      </w:r>
    </w:p>
    <w:p w14:paraId="6F00B9B2">
      <w:pPr>
        <w:spacing w:after="140" w:line="288" w:lineRule="auto"/>
        <w:jc w:val="both"/>
      </w:pPr>
      <w:r>
        <w:rPr>
          <w:rFonts w:ascii="Arial" w:hAnsi="Arial" w:eastAsia="Arial" w:cs="Arial"/>
          <w:sz w:val="21"/>
          <w:szCs w:val="21"/>
        </w:rPr>
        <w:t>要判断一门生意值不值得做，先要看它所处的“水池”有多大、水流有多急。本章从宏观基本面、电商大盘、消费者结构、跨境政策四个层面，勾勒墨西哥市场的机会与约束。</w:t>
      </w:r>
    </w:p>
    <w:p w14:paraId="6C9E8F0B">
      <w:pPr>
        <w:pStyle w:val="3"/>
        <w:spacing w:before="220" w:after="120"/>
      </w:pPr>
      <w:r>
        <w:rPr>
          <w:rFonts w:ascii="Arial" w:hAnsi="Arial" w:eastAsia="Arial" w:cs="Arial"/>
          <w:b/>
          <w:bCs/>
          <w:color w:val="2E5496"/>
          <w:sz w:val="25"/>
          <w:szCs w:val="25"/>
        </w:rPr>
        <w:t>1.1　宏观基本面：为什么是墨西哥</w:t>
      </w:r>
    </w:p>
    <w:p w14:paraId="06E95503">
      <w:pPr>
        <w:spacing w:after="140" w:line="288" w:lineRule="auto"/>
        <w:jc w:val="both"/>
      </w:pPr>
      <w:r>
        <w:rPr>
          <w:rFonts w:ascii="Arial" w:hAnsi="Arial" w:eastAsia="Arial" w:cs="Arial"/>
          <w:sz w:val="21"/>
          <w:szCs w:val="21"/>
        </w:rPr>
        <w:t>墨西哥是拉美第二大经济体，人口约1.3亿，年龄结构年轻、智能手机渗透率高。在《美墨加协定》（USMCA）与全球供应链“近岸外包”（nearshoring）的双重推动下，大量制造与贸易活动向墨西哥聚集，带动了物流、支付、电商基础设施的完善。对跨境卖家而言，这意味着一个“需求在涨、基建在补齐、但竞争尚未饱和”的中段市场。</w:t>
      </w:r>
    </w:p>
    <w:p w14:paraId="305E03EA">
      <w:pPr>
        <w:spacing w:after="140" w:line="288" w:lineRule="auto"/>
        <w:jc w:val="both"/>
      </w:pPr>
      <w:r>
        <w:rPr>
          <w:rFonts w:ascii="Arial" w:hAnsi="Arial" w:eastAsia="Arial" w:cs="Arial"/>
          <w:sz w:val="21"/>
          <w:szCs w:val="21"/>
        </w:rPr>
        <w:t>从企业服务的角度看，nearshoring 还带来一个副产品：越来越多中国制造企业需要在墨西哥落地实体（公司注册、IMMEX、海关、税务），这与电商卖家的合规需求高度同源，是天然的业务外延。</w:t>
      </w:r>
    </w:p>
    <w:p w14:paraId="3D89A45F">
      <w:pPr>
        <w:pStyle w:val="3"/>
        <w:spacing w:before="220" w:after="120"/>
      </w:pPr>
      <w:r>
        <w:rPr>
          <w:rFonts w:ascii="Arial" w:hAnsi="Arial" w:eastAsia="Arial" w:cs="Arial"/>
          <w:b/>
          <w:bCs/>
          <w:color w:val="2E5496"/>
          <w:sz w:val="25"/>
          <w:szCs w:val="25"/>
        </w:rPr>
        <w:t>1.2　电商大盘：规模与增速</w:t>
      </w:r>
    </w:p>
    <w:p w14:paraId="38C26602">
      <w:pPr>
        <w:spacing w:after="140" w:line="288" w:lineRule="auto"/>
        <w:jc w:val="both"/>
      </w:pPr>
      <w:r>
        <w:rPr>
          <w:rFonts w:ascii="Arial" w:hAnsi="Arial" w:eastAsia="Arial" w:cs="Arial"/>
          <w:sz w:val="21"/>
          <w:szCs w:val="21"/>
        </w:rPr>
        <w:t>墨西哥电商正处于高速渗透阶段。综合行业机构估算：</w:t>
      </w:r>
    </w:p>
    <w:p w14:paraId="50AE8870">
      <w:pPr>
        <w:pStyle w:val="16"/>
        <w:numPr>
          <w:ilvl w:val="0"/>
          <w:numId w:val="2"/>
        </w:numPr>
        <w:spacing w:after="70" w:line="276" w:lineRule="auto"/>
      </w:pPr>
      <w:r>
        <w:rPr>
          <w:rFonts w:ascii="Arial" w:hAnsi="Arial" w:eastAsia="Arial" w:cs="Arial"/>
          <w:b/>
          <w:bCs/>
          <w:sz w:val="21"/>
          <w:szCs w:val="21"/>
        </w:rPr>
        <w:t>市场规模：</w:t>
      </w:r>
      <w:r>
        <w:rPr>
          <w:rFonts w:ascii="Arial" w:hAnsi="Arial" w:eastAsia="Arial" w:cs="Arial"/>
          <w:sz w:val="21"/>
          <w:szCs w:val="21"/>
        </w:rPr>
        <w:t>2025年约525.8亿美元，2026年约621.6亿美元，预计到2031年达约1435.4亿美元。</w:t>
      </w:r>
    </w:p>
    <w:p w14:paraId="524B4157">
      <w:pPr>
        <w:pStyle w:val="16"/>
        <w:numPr>
          <w:ilvl w:val="0"/>
          <w:numId w:val="2"/>
        </w:numPr>
        <w:spacing w:after="70" w:line="276" w:lineRule="auto"/>
      </w:pPr>
      <w:r>
        <w:rPr>
          <w:rFonts w:ascii="Arial" w:hAnsi="Arial" w:eastAsia="Arial" w:cs="Arial"/>
          <w:b/>
          <w:bCs/>
          <w:sz w:val="21"/>
          <w:szCs w:val="21"/>
        </w:rPr>
        <w:t>增速：</w:t>
      </w:r>
      <w:r>
        <w:rPr>
          <w:rFonts w:ascii="Arial" w:hAnsi="Arial" w:eastAsia="Arial" w:cs="Arial"/>
          <w:sz w:val="21"/>
          <w:szCs w:val="21"/>
        </w:rPr>
        <w:t>2026–2031年复合年增长率约18.2%，显著高于成熟市场。</w:t>
      </w:r>
    </w:p>
    <w:p w14:paraId="5B1BF637">
      <w:pPr>
        <w:pStyle w:val="16"/>
        <w:numPr>
          <w:ilvl w:val="0"/>
          <w:numId w:val="2"/>
        </w:numPr>
        <w:spacing w:after="70" w:line="276" w:lineRule="auto"/>
      </w:pPr>
      <w:r>
        <w:rPr>
          <w:rFonts w:ascii="Arial" w:hAnsi="Arial" w:eastAsia="Arial" w:cs="Arial"/>
          <w:b/>
          <w:bCs/>
          <w:sz w:val="21"/>
          <w:szCs w:val="21"/>
        </w:rPr>
        <w:t>移动优先：</w:t>
      </w:r>
      <w:r>
        <w:rPr>
          <w:rFonts w:ascii="Arial" w:hAnsi="Arial" w:eastAsia="Arial" w:cs="Arial"/>
          <w:sz w:val="21"/>
          <w:szCs w:val="21"/>
        </w:rPr>
        <w:t>2024年约78.5%的线上购买通过手机完成，智能手机占互联网连接的约97.2%。</w:t>
      </w:r>
    </w:p>
    <w:p w14:paraId="361D52D9">
      <w:pPr>
        <w:pStyle w:val="16"/>
        <w:numPr>
          <w:ilvl w:val="0"/>
          <w:numId w:val="2"/>
        </w:numPr>
        <w:spacing w:after="70" w:line="276" w:lineRule="auto"/>
      </w:pPr>
      <w:r>
        <w:rPr>
          <w:rFonts w:ascii="Arial" w:hAnsi="Arial" w:eastAsia="Arial" w:cs="Arial"/>
          <w:b/>
          <w:bCs/>
          <w:sz w:val="21"/>
          <w:szCs w:val="21"/>
        </w:rPr>
        <w:t>支付演进：</w:t>
      </w:r>
      <w:r>
        <w:rPr>
          <w:rFonts w:ascii="Arial" w:hAnsi="Arial" w:eastAsia="Arial" w:cs="Arial"/>
          <w:sz w:val="21"/>
          <w:szCs w:val="21"/>
        </w:rPr>
        <w:t>数字钱包以约21.1%的复合增速增长，但现金仍占约88%的交易，货到付款与线下支付习惯仍是本地化运营的关键变量。</w:t>
      </w:r>
    </w:p>
    <w:p w14:paraId="4B93D26D">
      <w:pPr>
        <w:spacing w:after="40"/>
      </w:pP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547"/>
        <w:gridCol w:w="1960"/>
        <w:gridCol w:w="5291"/>
      </w:tblGrid>
      <w:tr w14:paraId="0E76ECA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434" w:type="dxa"/>
            <w:shd w:val="clear" w:color="auto" w:fill="1F3864"/>
            <w:tcMar>
              <w:top w:w="60" w:type="dxa"/>
              <w:left w:w="80" w:type="dxa"/>
              <w:bottom w:w="60" w:type="dxa"/>
              <w:right w:w="80" w:type="dxa"/>
            </w:tcMar>
          </w:tcPr>
          <w:p w14:paraId="5D4726D3">
            <w:pPr>
              <w:jc w:val="center"/>
            </w:pPr>
            <w:r>
              <w:rPr>
                <w:rFonts w:ascii="Arial" w:hAnsi="Arial" w:eastAsia="Arial" w:cs="Arial"/>
                <w:b/>
                <w:bCs/>
                <w:color w:val="FFFFFF"/>
                <w:sz w:val="18"/>
                <w:szCs w:val="18"/>
              </w:rPr>
              <w:t>指标 Metric</w:t>
            </w:r>
          </w:p>
        </w:tc>
        <w:tc>
          <w:tcPr>
            <w:tcW w:w="1872" w:type="dxa"/>
            <w:shd w:val="clear" w:color="auto" w:fill="1F3864"/>
            <w:tcMar>
              <w:top w:w="60" w:type="dxa"/>
              <w:left w:w="80" w:type="dxa"/>
              <w:bottom w:w="60" w:type="dxa"/>
              <w:right w:w="80" w:type="dxa"/>
            </w:tcMar>
          </w:tcPr>
          <w:p w14:paraId="5ECA61A3">
            <w:pPr>
              <w:jc w:val="center"/>
            </w:pPr>
            <w:r>
              <w:rPr>
                <w:rFonts w:ascii="Arial" w:hAnsi="Arial" w:eastAsia="Arial" w:cs="Arial"/>
                <w:b/>
                <w:bCs/>
                <w:color w:val="FFFFFF"/>
                <w:sz w:val="18"/>
                <w:szCs w:val="18"/>
              </w:rPr>
              <w:t>数值 (估)</w:t>
            </w:r>
          </w:p>
        </w:tc>
        <w:tc>
          <w:tcPr>
            <w:tcW w:w="5054" w:type="dxa"/>
            <w:shd w:val="clear" w:color="auto" w:fill="1F3864"/>
            <w:tcMar>
              <w:top w:w="60" w:type="dxa"/>
              <w:left w:w="80" w:type="dxa"/>
              <w:bottom w:w="60" w:type="dxa"/>
              <w:right w:w="80" w:type="dxa"/>
            </w:tcMar>
          </w:tcPr>
          <w:p w14:paraId="78E7D4A3">
            <w:pPr>
              <w:jc w:val="center"/>
            </w:pPr>
            <w:r>
              <w:rPr>
                <w:rFonts w:ascii="Arial" w:hAnsi="Arial" w:eastAsia="Arial" w:cs="Arial"/>
                <w:b/>
                <w:bCs/>
                <w:color w:val="FFFFFF"/>
                <w:sz w:val="18"/>
                <w:szCs w:val="18"/>
              </w:rPr>
              <w:t>含义 / 对服务商的意义</w:t>
            </w:r>
          </w:p>
        </w:tc>
      </w:tr>
      <w:tr w14:paraId="0A72C0B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406B5070">
            <w:pPr>
              <w:spacing w:line="252" w:lineRule="auto"/>
              <w:jc w:val="left"/>
            </w:pPr>
            <w:r>
              <w:rPr>
                <w:rFonts w:ascii="Arial" w:hAnsi="Arial" w:eastAsia="Arial" w:cs="Arial"/>
                <w:sz w:val="18"/>
                <w:szCs w:val="18"/>
              </w:rPr>
              <w:t>电商市场规模 2026</w:t>
            </w:r>
          </w:p>
        </w:tc>
        <w:tc>
          <w:tcPr>
            <w:tcW w:w="1872" w:type="dxa"/>
            <w:shd w:val="clear" w:color="auto" w:fill="FFFFFF"/>
            <w:tcMar>
              <w:top w:w="50" w:type="dxa"/>
              <w:left w:w="80" w:type="dxa"/>
              <w:bottom w:w="50" w:type="dxa"/>
              <w:right w:w="80" w:type="dxa"/>
            </w:tcMar>
          </w:tcPr>
          <w:p w14:paraId="63A52098">
            <w:pPr>
              <w:spacing w:line="252" w:lineRule="auto"/>
              <w:jc w:val="left"/>
            </w:pPr>
            <w:r>
              <w:rPr>
                <w:rFonts w:ascii="Arial" w:hAnsi="Arial" w:eastAsia="Arial" w:cs="Arial"/>
                <w:b w:val="0"/>
                <w:bCs w:val="0"/>
                <w:sz w:val="18"/>
                <w:szCs w:val="18"/>
              </w:rPr>
              <w:t>≈ US$621.6 亿</w:t>
            </w:r>
          </w:p>
        </w:tc>
        <w:tc>
          <w:tcPr>
            <w:tcW w:w="5054" w:type="dxa"/>
            <w:shd w:val="clear" w:color="auto" w:fill="FFFFFF"/>
            <w:tcMar>
              <w:top w:w="50" w:type="dxa"/>
              <w:left w:w="80" w:type="dxa"/>
              <w:bottom w:w="50" w:type="dxa"/>
              <w:right w:w="80" w:type="dxa"/>
            </w:tcMar>
          </w:tcPr>
          <w:p w14:paraId="2E10FE45">
            <w:pPr>
              <w:spacing w:line="252" w:lineRule="auto"/>
              <w:jc w:val="left"/>
            </w:pPr>
            <w:r>
              <w:rPr>
                <w:rFonts w:ascii="Arial" w:hAnsi="Arial" w:eastAsia="Arial" w:cs="Arial"/>
                <w:b w:val="0"/>
                <w:bCs w:val="0"/>
                <w:sz w:val="18"/>
                <w:szCs w:val="18"/>
              </w:rPr>
              <w:t>盘子足够大，容得下专业服务分工</w:t>
            </w:r>
          </w:p>
        </w:tc>
      </w:tr>
      <w:tr w14:paraId="53A158B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5FBD568E">
            <w:pPr>
              <w:spacing w:line="252" w:lineRule="auto"/>
              <w:jc w:val="left"/>
            </w:pPr>
            <w:r>
              <w:rPr>
                <w:rFonts w:ascii="Arial" w:hAnsi="Arial" w:eastAsia="Arial" w:cs="Arial"/>
                <w:sz w:val="18"/>
                <w:szCs w:val="18"/>
              </w:rPr>
              <w:t>CAGR 2026–2031</w:t>
            </w:r>
          </w:p>
        </w:tc>
        <w:tc>
          <w:tcPr>
            <w:tcW w:w="1872" w:type="dxa"/>
            <w:shd w:val="clear" w:color="auto" w:fill="F2F2F2"/>
            <w:tcMar>
              <w:top w:w="50" w:type="dxa"/>
              <w:left w:w="80" w:type="dxa"/>
              <w:bottom w:w="50" w:type="dxa"/>
              <w:right w:w="80" w:type="dxa"/>
            </w:tcMar>
          </w:tcPr>
          <w:p w14:paraId="7A15D1BE">
            <w:pPr>
              <w:spacing w:line="252" w:lineRule="auto"/>
              <w:jc w:val="left"/>
            </w:pPr>
            <w:r>
              <w:rPr>
                <w:rFonts w:ascii="Arial" w:hAnsi="Arial" w:eastAsia="Arial" w:cs="Arial"/>
                <w:b w:val="0"/>
                <w:bCs w:val="0"/>
                <w:sz w:val="18"/>
                <w:szCs w:val="18"/>
              </w:rPr>
              <w:t>≈ 18.2%</w:t>
            </w:r>
          </w:p>
        </w:tc>
        <w:tc>
          <w:tcPr>
            <w:tcW w:w="5054" w:type="dxa"/>
            <w:shd w:val="clear" w:color="auto" w:fill="F2F2F2"/>
            <w:tcMar>
              <w:top w:w="50" w:type="dxa"/>
              <w:left w:w="80" w:type="dxa"/>
              <w:bottom w:w="50" w:type="dxa"/>
              <w:right w:w="80" w:type="dxa"/>
            </w:tcMar>
          </w:tcPr>
          <w:p w14:paraId="4CB7C067">
            <w:pPr>
              <w:spacing w:line="252" w:lineRule="auto"/>
              <w:jc w:val="left"/>
            </w:pPr>
            <w:r>
              <w:rPr>
                <w:rFonts w:ascii="Arial" w:hAnsi="Arial" w:eastAsia="Arial" w:cs="Arial"/>
                <w:b w:val="0"/>
                <w:bCs w:val="0"/>
                <w:sz w:val="18"/>
                <w:szCs w:val="18"/>
              </w:rPr>
              <w:t>增量市场，新进入者仍有窗口</w:t>
            </w:r>
          </w:p>
        </w:tc>
      </w:tr>
      <w:tr w14:paraId="539D8E1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079E70AA">
            <w:pPr>
              <w:spacing w:line="252" w:lineRule="auto"/>
              <w:jc w:val="left"/>
            </w:pPr>
            <w:r>
              <w:rPr>
                <w:rFonts w:ascii="Arial" w:hAnsi="Arial" w:eastAsia="Arial" w:cs="Arial"/>
                <w:sz w:val="18"/>
                <w:szCs w:val="18"/>
              </w:rPr>
              <w:t>移动端购买占比</w:t>
            </w:r>
          </w:p>
        </w:tc>
        <w:tc>
          <w:tcPr>
            <w:tcW w:w="1872" w:type="dxa"/>
            <w:shd w:val="clear" w:color="auto" w:fill="FFFFFF"/>
            <w:tcMar>
              <w:top w:w="50" w:type="dxa"/>
              <w:left w:w="80" w:type="dxa"/>
              <w:bottom w:w="50" w:type="dxa"/>
              <w:right w:w="80" w:type="dxa"/>
            </w:tcMar>
          </w:tcPr>
          <w:p w14:paraId="77ED8451">
            <w:pPr>
              <w:spacing w:line="252" w:lineRule="auto"/>
              <w:jc w:val="left"/>
            </w:pPr>
            <w:r>
              <w:rPr>
                <w:rFonts w:ascii="Arial" w:hAnsi="Arial" w:eastAsia="Arial" w:cs="Arial"/>
                <w:b w:val="0"/>
                <w:bCs w:val="0"/>
                <w:sz w:val="18"/>
                <w:szCs w:val="18"/>
              </w:rPr>
              <w:t>≈ 78.5%</w:t>
            </w:r>
          </w:p>
        </w:tc>
        <w:tc>
          <w:tcPr>
            <w:tcW w:w="5054" w:type="dxa"/>
            <w:shd w:val="clear" w:color="auto" w:fill="FFFFFF"/>
            <w:tcMar>
              <w:top w:w="50" w:type="dxa"/>
              <w:left w:w="80" w:type="dxa"/>
              <w:bottom w:w="50" w:type="dxa"/>
              <w:right w:w="80" w:type="dxa"/>
            </w:tcMar>
          </w:tcPr>
          <w:p w14:paraId="0B4D0B06">
            <w:pPr>
              <w:spacing w:line="252" w:lineRule="auto"/>
              <w:jc w:val="left"/>
            </w:pPr>
            <w:r>
              <w:rPr>
                <w:rFonts w:ascii="Arial" w:hAnsi="Arial" w:eastAsia="Arial" w:cs="Arial"/>
                <w:b w:val="0"/>
                <w:bCs w:val="0"/>
                <w:sz w:val="18"/>
                <w:szCs w:val="18"/>
              </w:rPr>
              <w:t>本地化运营、内容电商价值高</w:t>
            </w:r>
          </w:p>
        </w:tc>
      </w:tr>
      <w:tr w14:paraId="32ADD04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3F068CF1">
            <w:pPr>
              <w:spacing w:line="252" w:lineRule="auto"/>
              <w:jc w:val="left"/>
            </w:pPr>
            <w:r>
              <w:rPr>
                <w:rFonts w:ascii="Arial" w:hAnsi="Arial" w:eastAsia="Arial" w:cs="Arial"/>
                <w:sz w:val="18"/>
                <w:szCs w:val="18"/>
              </w:rPr>
              <w:t>现金交易占比</w:t>
            </w:r>
          </w:p>
        </w:tc>
        <w:tc>
          <w:tcPr>
            <w:tcW w:w="1872" w:type="dxa"/>
            <w:shd w:val="clear" w:color="auto" w:fill="F2F2F2"/>
            <w:tcMar>
              <w:top w:w="50" w:type="dxa"/>
              <w:left w:w="80" w:type="dxa"/>
              <w:bottom w:w="50" w:type="dxa"/>
              <w:right w:w="80" w:type="dxa"/>
            </w:tcMar>
          </w:tcPr>
          <w:p w14:paraId="370B810E">
            <w:pPr>
              <w:spacing w:line="252" w:lineRule="auto"/>
              <w:jc w:val="left"/>
            </w:pPr>
            <w:r>
              <w:rPr>
                <w:rFonts w:ascii="Arial" w:hAnsi="Arial" w:eastAsia="Arial" w:cs="Arial"/>
                <w:b w:val="0"/>
                <w:bCs w:val="0"/>
                <w:sz w:val="18"/>
                <w:szCs w:val="18"/>
              </w:rPr>
              <w:t>≈ 88%</w:t>
            </w:r>
          </w:p>
        </w:tc>
        <w:tc>
          <w:tcPr>
            <w:tcW w:w="5054" w:type="dxa"/>
            <w:shd w:val="clear" w:color="auto" w:fill="F2F2F2"/>
            <w:tcMar>
              <w:top w:w="50" w:type="dxa"/>
              <w:left w:w="80" w:type="dxa"/>
              <w:bottom w:w="50" w:type="dxa"/>
              <w:right w:w="80" w:type="dxa"/>
            </w:tcMar>
          </w:tcPr>
          <w:p w14:paraId="25A20FCD">
            <w:pPr>
              <w:spacing w:line="252" w:lineRule="auto"/>
              <w:jc w:val="left"/>
            </w:pPr>
            <w:r>
              <w:rPr>
                <w:rFonts w:ascii="Arial" w:hAnsi="Arial" w:eastAsia="Arial" w:cs="Arial"/>
                <w:b w:val="0"/>
                <w:bCs w:val="0"/>
                <w:sz w:val="18"/>
                <w:szCs w:val="18"/>
              </w:rPr>
              <w:t>本地收款/COD能力是刚需</w:t>
            </w:r>
          </w:p>
        </w:tc>
      </w:tr>
      <w:tr w14:paraId="2C506F4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6B6C57ED">
            <w:pPr>
              <w:spacing w:line="252" w:lineRule="auto"/>
              <w:jc w:val="left"/>
            </w:pPr>
            <w:r>
              <w:rPr>
                <w:rFonts w:ascii="Arial" w:hAnsi="Arial" w:eastAsia="Arial" w:cs="Arial"/>
                <w:sz w:val="18"/>
                <w:szCs w:val="18"/>
              </w:rPr>
              <w:t>美客多墨西哥 Q1'26 GMV增速</w:t>
            </w:r>
          </w:p>
        </w:tc>
        <w:tc>
          <w:tcPr>
            <w:tcW w:w="1872" w:type="dxa"/>
            <w:shd w:val="clear" w:color="auto" w:fill="FFFFFF"/>
            <w:tcMar>
              <w:top w:w="50" w:type="dxa"/>
              <w:left w:w="80" w:type="dxa"/>
              <w:bottom w:w="50" w:type="dxa"/>
              <w:right w:w="80" w:type="dxa"/>
            </w:tcMar>
          </w:tcPr>
          <w:p w14:paraId="5728A9EA">
            <w:pPr>
              <w:spacing w:line="252" w:lineRule="auto"/>
              <w:jc w:val="left"/>
            </w:pPr>
            <w:r>
              <w:rPr>
                <w:rFonts w:ascii="Arial" w:hAnsi="Arial" w:eastAsia="Arial" w:cs="Arial"/>
                <w:b w:val="0"/>
                <w:bCs w:val="0"/>
                <w:sz w:val="18"/>
                <w:szCs w:val="18"/>
              </w:rPr>
              <w:t>+28% (汇率中性)</w:t>
            </w:r>
          </w:p>
        </w:tc>
        <w:tc>
          <w:tcPr>
            <w:tcW w:w="5054" w:type="dxa"/>
            <w:shd w:val="clear" w:color="auto" w:fill="FFFFFF"/>
            <w:tcMar>
              <w:top w:w="50" w:type="dxa"/>
              <w:left w:w="80" w:type="dxa"/>
              <w:bottom w:w="50" w:type="dxa"/>
              <w:right w:w="80" w:type="dxa"/>
            </w:tcMar>
          </w:tcPr>
          <w:p w14:paraId="7A214323">
            <w:pPr>
              <w:spacing w:line="252" w:lineRule="auto"/>
              <w:jc w:val="left"/>
            </w:pPr>
            <w:r>
              <w:rPr>
                <w:rFonts w:ascii="Arial" w:hAnsi="Arial" w:eastAsia="Arial" w:cs="Arial"/>
                <w:b w:val="0"/>
                <w:bCs w:val="0"/>
                <w:sz w:val="18"/>
                <w:szCs w:val="18"/>
              </w:rPr>
              <w:t>核心平台仍高速增长</w:t>
            </w:r>
          </w:p>
        </w:tc>
      </w:tr>
    </w:tbl>
    <w:p w14:paraId="3D7FCF25">
      <w:pPr>
        <w:spacing w:before="40" w:after="160"/>
      </w:pPr>
      <w:r>
        <w:rPr>
          <w:rFonts w:ascii="Arial" w:hAnsi="Arial" w:eastAsia="Arial" w:cs="Arial"/>
          <w:i/>
          <w:iCs/>
          <w:color w:val="808080"/>
          <w:sz w:val="16"/>
          <w:szCs w:val="16"/>
        </w:rPr>
        <w:t>表 1-1：墨西哥电商关键指标（来源：Mordor Intelligence、Statista、INEGI、MELI财报；数值为估算，详见第九章来源）。</w:t>
      </w: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3406AD30">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1B47E42B">
            <w:pPr>
              <w:spacing w:after="60"/>
            </w:pPr>
            <w:r>
              <w:rPr>
                <w:rFonts w:ascii="Arial" w:hAnsi="Arial" w:eastAsia="Arial" w:cs="Arial"/>
                <w:b/>
                <w:bCs/>
                <w:color w:val="1F3864"/>
                <w:sz w:val="21"/>
                <w:szCs w:val="21"/>
              </w:rPr>
              <w:t>关键洞察 · Key Insight</w:t>
            </w:r>
          </w:p>
          <w:p w14:paraId="1F3D48A9">
            <w:pPr>
              <w:spacing w:after="40" w:line="276" w:lineRule="auto"/>
            </w:pPr>
            <w:r>
              <w:rPr>
                <w:rFonts w:ascii="Arial" w:hAnsi="Arial" w:eastAsia="Arial" w:cs="Arial"/>
                <w:sz w:val="20"/>
                <w:szCs w:val="20"/>
              </w:rPr>
              <w:t>“移动优先 + 现金为王”是墨西哥区别于欧美市场的两大本地特征。这决定了：本地收款账户、COD对账、西语客服/内容运营，不是加分项而是入场券——也正是跨境卖家最容易踩坑、最愿意付费外包的环节。</w:t>
            </w:r>
          </w:p>
        </w:tc>
      </w:tr>
    </w:tbl>
    <w:p w14:paraId="38D6FB7A">
      <w:pPr>
        <w:pStyle w:val="3"/>
        <w:spacing w:before="220" w:after="120"/>
      </w:pPr>
      <w:r>
        <w:rPr>
          <w:rFonts w:ascii="Arial" w:hAnsi="Arial" w:eastAsia="Arial" w:cs="Arial"/>
          <w:b/>
          <w:bCs/>
          <w:color w:val="2E5496"/>
          <w:sz w:val="25"/>
          <w:szCs w:val="25"/>
        </w:rPr>
        <w:t>1.3　消费者与品类结构</w:t>
      </w:r>
    </w:p>
    <w:p w14:paraId="3C783679">
      <w:pPr>
        <w:spacing w:after="140" w:line="288" w:lineRule="auto"/>
        <w:jc w:val="both"/>
      </w:pPr>
      <w:r>
        <w:rPr>
          <w:rFonts w:ascii="Arial" w:hAnsi="Arial" w:eastAsia="Arial" w:cs="Arial"/>
          <w:sz w:val="21"/>
          <w:szCs w:val="21"/>
        </w:rPr>
        <w:t>墨西哥线上消费者以18–34岁为主力，价格敏感度高、内容驱动型购买倾向强（尤其在TikTok生态）。热门品类集中在3C电子、家居家装、美妆个护、服饰、汽配等。对卖家的启示是：高性价比 + 强内容 + 快物流的组合最容易起量，而这三者背后都需要合规主体、本地收款与本地履约的支撑。</w:t>
      </w:r>
    </w:p>
    <w:p w14:paraId="5C5B15BB">
      <w:pPr>
        <w:pStyle w:val="3"/>
        <w:spacing w:before="220" w:after="120"/>
      </w:pPr>
      <w:r>
        <w:rPr>
          <w:rFonts w:ascii="Arial" w:hAnsi="Arial" w:eastAsia="Arial" w:cs="Arial"/>
          <w:b/>
          <w:bCs/>
          <w:color w:val="2E5496"/>
          <w:sz w:val="25"/>
          <w:szCs w:val="25"/>
        </w:rPr>
        <w:t>1.4　跨境政策环境：从宽松到强监管</w:t>
      </w:r>
    </w:p>
    <w:p w14:paraId="0D23FEFF">
      <w:pPr>
        <w:spacing w:after="140" w:line="288" w:lineRule="auto"/>
        <w:jc w:val="both"/>
      </w:pPr>
      <w:r>
        <w:rPr>
          <w:rFonts w:ascii="Arial" w:hAnsi="Arial" w:eastAsia="Arial" w:cs="Arial"/>
          <w:sz w:val="21"/>
          <w:szCs w:val="21"/>
        </w:rPr>
        <w:t>2024–2026年是墨西哥跨境政策的转折期。除电商税务新政（详见第三章）外，还有两条对卖家成本结构影响重大的变化：</w:t>
      </w:r>
    </w:p>
    <w:p w14:paraId="7BA80068">
      <w:pPr>
        <w:pStyle w:val="16"/>
        <w:numPr>
          <w:ilvl w:val="0"/>
          <w:numId w:val="2"/>
        </w:numPr>
        <w:spacing w:after="70" w:line="276" w:lineRule="auto"/>
      </w:pPr>
      <w:r>
        <w:rPr>
          <w:rFonts w:ascii="Arial" w:hAnsi="Arial" w:eastAsia="Arial" w:cs="Arial"/>
          <w:b/>
          <w:bCs/>
          <w:sz w:val="21"/>
          <w:szCs w:val="21"/>
        </w:rPr>
        <w:t>进口关税收紧：</w:t>
      </w:r>
      <w:r>
        <w:rPr>
          <w:rFonts w:ascii="Arial" w:hAnsi="Arial" w:eastAsia="Arial" w:cs="Arial"/>
          <w:sz w:val="21"/>
          <w:szCs w:val="21"/>
        </w:rPr>
        <w:t>对来自非协定国家的商品新增约19%的快递关税，主要冲击中国直邮卖家，抬高了直邮模式的成本，反向推动“本土备货 + 本地合规”模式。</w:t>
      </w:r>
    </w:p>
    <w:p w14:paraId="786F677F">
      <w:pPr>
        <w:pStyle w:val="16"/>
        <w:numPr>
          <w:ilvl w:val="0"/>
          <w:numId w:val="2"/>
        </w:numPr>
        <w:spacing w:after="70" w:line="276" w:lineRule="auto"/>
      </w:pPr>
      <w:r>
        <w:rPr>
          <w:rFonts w:ascii="Arial" w:hAnsi="Arial" w:eastAsia="Arial" w:cs="Arial"/>
          <w:b/>
          <w:bCs/>
          <w:sz w:val="21"/>
          <w:szCs w:val="21"/>
        </w:rPr>
        <w:t>平台代扣与实时监管：</w:t>
      </w:r>
      <w:r>
        <w:rPr>
          <w:rFonts w:ascii="Arial" w:hAnsi="Arial" w:eastAsia="Arial" w:cs="Arial"/>
          <w:sz w:val="21"/>
          <w:szCs w:val="21"/>
        </w:rPr>
        <w:t>平台被SAT强制承担代扣代缴与实时数据开放义务，卖家的税务状态被“穿透式”监控，合规不再有模糊地带。</w:t>
      </w:r>
    </w:p>
    <w:p w14:paraId="1E8C1695">
      <w:pPr>
        <w:spacing w:after="140" w:line="288" w:lineRule="auto"/>
        <w:jc w:val="both"/>
      </w:pPr>
      <w:r>
        <w:rPr>
          <w:rFonts w:ascii="Arial" w:hAnsi="Arial" w:eastAsia="Arial" w:cs="Arial"/>
          <w:sz w:val="21"/>
          <w:szCs w:val="21"/>
        </w:rPr>
        <w:t>政策方向清晰：墨西哥正在用“提高合规门槛”来筛选卖家。对卖家是压力，对专业服务商是结构性机会——每一条新规都是一次获客契机。</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230A82F7">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1AD22E8C">
            <w:pPr>
              <w:spacing w:after="60"/>
            </w:pPr>
            <w:r>
              <w:rPr>
                <w:rFonts w:ascii="Arial" w:hAnsi="Arial" w:eastAsia="Arial" w:cs="Arial"/>
                <w:b/>
                <w:bCs/>
                <w:color w:val="1F3864"/>
                <w:sz w:val="21"/>
                <w:szCs w:val="21"/>
              </w:rPr>
              <w:t>本章小结</w:t>
            </w:r>
          </w:p>
          <w:p w14:paraId="0876953B">
            <w:pPr>
              <w:spacing w:after="40" w:line="276" w:lineRule="auto"/>
            </w:pPr>
            <w:r>
              <w:rPr>
                <w:rFonts w:ascii="Arial" w:hAnsi="Arial" w:eastAsia="Arial" w:cs="Arial"/>
                <w:b/>
                <w:bCs/>
                <w:sz w:val="20"/>
                <w:szCs w:val="20"/>
              </w:rPr>
              <w:t>大盘大、增速快、移动与现金特征鲜明、政策转向强监管。四条线索共同指向一个结论：墨西哥市场的“运营+合规”复杂度正在系统性上升，而复杂度就是服务业的利润来源。</w:t>
            </w:r>
          </w:p>
        </w:tc>
      </w:tr>
    </w:tbl>
    <w:p w14:paraId="384C7EE2">
      <w:pPr>
        <w:pStyle w:val="2"/>
        <w:pageBreakBefore/>
        <w:spacing w:before="240" w:after="160"/>
      </w:pPr>
      <w:r>
        <w:rPr>
          <w:rFonts w:ascii="Arial" w:hAnsi="Arial" w:eastAsia="Arial" w:cs="Arial"/>
          <w:b/>
          <w:bCs/>
          <w:color w:val="1F3864"/>
          <w:sz w:val="30"/>
          <w:szCs w:val="30"/>
        </w:rPr>
        <w:t>第二章　四大平台生态全景</w:t>
      </w:r>
    </w:p>
    <w:p w14:paraId="5C0BB56A">
      <w:pPr>
        <w:spacing w:after="140" w:line="288" w:lineRule="auto"/>
        <w:jc w:val="both"/>
      </w:pPr>
      <w:r>
        <w:rPr>
          <w:rFonts w:ascii="Arial" w:hAnsi="Arial" w:eastAsia="Arial" w:cs="Arial"/>
          <w:sz w:val="21"/>
          <w:szCs w:val="21"/>
        </w:rPr>
        <w:t>跨境企业服务的需求，最终都长在具体平台上。本章拆解墨西哥四大电商平台——美客多、Amazon MX、TikTok Shop MX、Walmart MX——各自的生态位、卖家画像与合规痛点，并给出服务切入点。</w:t>
      </w:r>
    </w:p>
    <w:p w14:paraId="6CD8CAE5">
      <w:pPr>
        <w:pStyle w:val="3"/>
        <w:spacing w:before="220" w:after="120"/>
      </w:pPr>
      <w:r>
        <w:rPr>
          <w:rFonts w:ascii="Arial" w:hAnsi="Arial" w:eastAsia="Arial" w:cs="Arial"/>
          <w:b/>
          <w:bCs/>
          <w:color w:val="2E5496"/>
          <w:sz w:val="25"/>
          <w:szCs w:val="25"/>
        </w:rPr>
        <w:t>2.1　Mercado Libre（美客多）：拉美之王，绝对核心</w:t>
      </w:r>
    </w:p>
    <w:p w14:paraId="60A38AAF">
      <w:pPr>
        <w:spacing w:after="140" w:line="288" w:lineRule="auto"/>
        <w:jc w:val="both"/>
      </w:pPr>
      <w:r>
        <w:rPr>
          <w:rFonts w:ascii="Arial" w:hAnsi="Arial" w:eastAsia="Arial" w:cs="Arial"/>
          <w:sz w:val="21"/>
          <w:szCs w:val="21"/>
        </w:rPr>
        <w:t>美客多是墨西哥电商的绝对核心，也是本项目的主战场。其一季度财报显示，墨西哥约占集团整体指标的四分之一，2026年一季度墨西哥GMV同比增长28%、本土销量增长34%，已连续多个季度保持30%以上的高增长。平台在墨持续加码物流（如2026年2月启用的XEM3物流中心）与广告（Mercado Ads增速为区域最快），并完成了搜索引擎的大模型重构。</w:t>
      </w:r>
    </w:p>
    <w:p w14:paraId="26A3DAE4">
      <w:pPr>
        <w:pStyle w:val="4"/>
        <w:spacing w:before="160" w:after="90"/>
      </w:pPr>
      <w:r>
        <w:rPr>
          <w:rFonts w:ascii="Arial" w:hAnsi="Arial" w:eastAsia="Arial" w:cs="Arial"/>
          <w:b/>
          <w:bCs/>
          <w:color w:val="404040"/>
          <w:sz w:val="22"/>
          <w:szCs w:val="22"/>
        </w:rPr>
        <w:t>卖家结构与合规痛点</w:t>
      </w:r>
    </w:p>
    <w:p w14:paraId="3431E3D6">
      <w:pPr>
        <w:pStyle w:val="16"/>
        <w:numPr>
          <w:ilvl w:val="0"/>
          <w:numId w:val="2"/>
        </w:numPr>
        <w:spacing w:after="70" w:line="276" w:lineRule="auto"/>
      </w:pPr>
      <w:r>
        <w:rPr>
          <w:rFonts w:ascii="Arial" w:hAnsi="Arial" w:eastAsia="Arial" w:cs="Arial"/>
          <w:b/>
          <w:bCs/>
          <w:sz w:val="21"/>
          <w:szCs w:val="21"/>
        </w:rPr>
        <w:t>本土店 vs 跨境店：</w:t>
      </w:r>
      <w:r>
        <w:rPr>
          <w:rFonts w:ascii="Arial" w:hAnsi="Arial" w:eastAsia="Arial" w:cs="Arial"/>
          <w:sz w:val="21"/>
          <w:szCs w:val="21"/>
        </w:rPr>
        <w:t>本土店在流量、曝光、物流、品牌化运营上享有最佳待遇；跨境店则受海外仓履约与RFC绑定规则约束。</w:t>
      </w:r>
    </w:p>
    <w:p w14:paraId="37507F99">
      <w:pPr>
        <w:pStyle w:val="16"/>
        <w:numPr>
          <w:ilvl w:val="0"/>
          <w:numId w:val="2"/>
        </w:numPr>
        <w:spacing w:after="70" w:line="276" w:lineRule="auto"/>
      </w:pPr>
      <w:r>
        <w:rPr>
          <w:rFonts w:ascii="Arial" w:hAnsi="Arial" w:eastAsia="Arial" w:cs="Arial"/>
          <w:b/>
          <w:bCs/>
          <w:sz w:val="21"/>
          <w:szCs w:val="21"/>
        </w:rPr>
        <w:t>RFC强制验证：</w:t>
      </w:r>
      <w:r>
        <w:rPr>
          <w:rFonts w:ascii="Arial" w:hAnsi="Arial" w:eastAsia="Arial" w:cs="Arial"/>
          <w:sz w:val="21"/>
          <w:szCs w:val="21"/>
        </w:rPr>
        <w:t>平台自2026年起对绑定RFC做有效性验证，主体不一致的海外仓卖家若未通过验证，预扣率从10.5%跳到36%——这是最高频的“救火型”获客场景。</w:t>
      </w:r>
    </w:p>
    <w:p w14:paraId="1483D9E2">
      <w:pPr>
        <w:pStyle w:val="16"/>
        <w:numPr>
          <w:ilvl w:val="0"/>
          <w:numId w:val="2"/>
        </w:numPr>
        <w:spacing w:after="70" w:line="276" w:lineRule="auto"/>
      </w:pPr>
      <w:r>
        <w:rPr>
          <w:rFonts w:ascii="Arial" w:hAnsi="Arial" w:eastAsia="Arial" w:cs="Arial"/>
          <w:b/>
          <w:bCs/>
          <w:sz w:val="21"/>
          <w:szCs w:val="21"/>
        </w:rPr>
        <w:t>本地收款依赖：</w:t>
      </w:r>
      <w:r>
        <w:rPr>
          <w:rFonts w:ascii="Arial" w:hAnsi="Arial" w:eastAsia="Arial" w:cs="Arial"/>
          <w:sz w:val="21"/>
          <w:szCs w:val="21"/>
        </w:rPr>
        <w:t>要拿到最低预扣档，必须配墨西哥本地银行账户，境外美金账户仍被强扣16% IVA。</w:t>
      </w: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03BB0797">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1C389CEB">
            <w:pPr>
              <w:spacing w:after="60"/>
            </w:pPr>
            <w:r>
              <w:rPr>
                <w:rFonts w:ascii="Arial" w:hAnsi="Arial" w:eastAsia="Arial" w:cs="Arial"/>
                <w:b/>
                <w:bCs/>
                <w:color w:val="1F3864"/>
                <w:sz w:val="21"/>
                <w:szCs w:val="21"/>
              </w:rPr>
              <w:t>服务切入点 · 美客多</w:t>
            </w:r>
          </w:p>
          <w:p w14:paraId="3842E49D">
            <w:pPr>
              <w:spacing w:after="40" w:line="276" w:lineRule="auto"/>
            </w:pPr>
            <w:r>
              <w:rPr>
                <w:rFonts w:ascii="Arial" w:hAnsi="Arial" w:eastAsia="Arial" w:cs="Arial"/>
                <w:sz w:val="20"/>
                <w:szCs w:val="20"/>
              </w:rPr>
              <w:t>① RFC注册/验证救火　② 本土店主体搭建　③ 本地收款账户配置　④ 月度申报　⑤ Mercado Ads代运营。美客多是获客成本最低、复购最强的入口。</w:t>
            </w:r>
          </w:p>
        </w:tc>
      </w:tr>
    </w:tbl>
    <w:p w14:paraId="5D105D7B">
      <w:pPr>
        <w:pStyle w:val="3"/>
        <w:spacing w:before="220" w:after="120"/>
      </w:pPr>
      <w:r>
        <w:rPr>
          <w:rFonts w:ascii="Arial" w:hAnsi="Arial" w:eastAsia="Arial" w:cs="Arial"/>
          <w:b/>
          <w:bCs/>
          <w:color w:val="2E5496"/>
          <w:sz w:val="25"/>
          <w:szCs w:val="25"/>
        </w:rPr>
        <w:t>2.2　Amazon México：规范化标杆，FBA刚需</w:t>
      </w:r>
    </w:p>
    <w:p w14:paraId="320F1E24">
      <w:pPr>
        <w:spacing w:after="140" w:line="288" w:lineRule="auto"/>
        <w:jc w:val="both"/>
      </w:pPr>
      <w:r>
        <w:rPr>
          <w:rFonts w:ascii="Arial" w:hAnsi="Arial" w:eastAsia="Arial" w:cs="Arial"/>
          <w:sz w:val="21"/>
          <w:szCs w:val="21"/>
        </w:rPr>
        <w:t>Amazon墨西哥站是规范化程度最高的平台，也是许多中国大卖的既有阵地。其FBA（亚马逊物流）要求卖家上传有效RFC才能继续使用；未上传RFC的卖家面临16% IVA + 20%所得税的高额代扣。Amazon对合规的强制性，使其卖家群体对“标准化、可信赖”的税务服务有明确付费意愿。</w:t>
      </w:r>
    </w:p>
    <w:p w14:paraId="122BE681">
      <w:pPr>
        <w:pStyle w:val="4"/>
        <w:spacing w:before="160" w:after="90"/>
      </w:pPr>
      <w:r>
        <w:rPr>
          <w:rFonts w:ascii="Arial" w:hAnsi="Arial" w:eastAsia="Arial" w:cs="Arial"/>
          <w:b/>
          <w:bCs/>
          <w:color w:val="404040"/>
          <w:sz w:val="22"/>
          <w:szCs w:val="22"/>
        </w:rPr>
        <w:t>与美客多的差异</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960"/>
        <w:gridCol w:w="3919"/>
        <w:gridCol w:w="3919"/>
      </w:tblGrid>
      <w:tr w14:paraId="3E086BF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872" w:type="dxa"/>
            <w:shd w:val="clear" w:color="auto" w:fill="1F3864"/>
            <w:tcMar>
              <w:top w:w="60" w:type="dxa"/>
              <w:left w:w="80" w:type="dxa"/>
              <w:bottom w:w="60" w:type="dxa"/>
              <w:right w:w="80" w:type="dxa"/>
            </w:tcMar>
          </w:tcPr>
          <w:p w14:paraId="1C1B96E7">
            <w:pPr>
              <w:jc w:val="center"/>
            </w:pPr>
            <w:r>
              <w:rPr>
                <w:rFonts w:ascii="Arial" w:hAnsi="Arial" w:eastAsia="Arial" w:cs="Arial"/>
                <w:b/>
                <w:bCs/>
                <w:color w:val="FFFFFF"/>
                <w:sz w:val="18"/>
                <w:szCs w:val="18"/>
              </w:rPr>
              <w:t>维度</w:t>
            </w:r>
          </w:p>
        </w:tc>
        <w:tc>
          <w:tcPr>
            <w:tcW w:w="3744" w:type="dxa"/>
            <w:shd w:val="clear" w:color="auto" w:fill="1F3864"/>
            <w:tcMar>
              <w:top w:w="60" w:type="dxa"/>
              <w:left w:w="80" w:type="dxa"/>
              <w:bottom w:w="60" w:type="dxa"/>
              <w:right w:w="80" w:type="dxa"/>
            </w:tcMar>
          </w:tcPr>
          <w:p w14:paraId="04DE8540">
            <w:pPr>
              <w:jc w:val="center"/>
            </w:pPr>
            <w:r>
              <w:rPr>
                <w:rFonts w:ascii="Arial" w:hAnsi="Arial" w:eastAsia="Arial" w:cs="Arial"/>
                <w:b/>
                <w:bCs/>
                <w:color w:val="FFFFFF"/>
                <w:sz w:val="18"/>
                <w:szCs w:val="18"/>
              </w:rPr>
              <w:t>Amazon MX</w:t>
            </w:r>
          </w:p>
        </w:tc>
        <w:tc>
          <w:tcPr>
            <w:tcW w:w="3744" w:type="dxa"/>
            <w:shd w:val="clear" w:color="auto" w:fill="1F3864"/>
            <w:tcMar>
              <w:top w:w="60" w:type="dxa"/>
              <w:left w:w="80" w:type="dxa"/>
              <w:bottom w:w="60" w:type="dxa"/>
              <w:right w:w="80" w:type="dxa"/>
            </w:tcMar>
          </w:tcPr>
          <w:p w14:paraId="4709378A">
            <w:pPr>
              <w:jc w:val="center"/>
            </w:pPr>
            <w:r>
              <w:rPr>
                <w:rFonts w:ascii="Arial" w:hAnsi="Arial" w:eastAsia="Arial" w:cs="Arial"/>
                <w:b/>
                <w:bCs/>
                <w:color w:val="FFFFFF"/>
                <w:sz w:val="18"/>
                <w:szCs w:val="18"/>
              </w:rPr>
              <w:t>Mercado Libre</w:t>
            </w:r>
          </w:p>
        </w:tc>
      </w:tr>
      <w:tr w14:paraId="2CEC8F4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872" w:type="dxa"/>
            <w:shd w:val="clear" w:color="auto" w:fill="FFFFFF"/>
            <w:tcMar>
              <w:top w:w="50" w:type="dxa"/>
              <w:left w:w="80" w:type="dxa"/>
              <w:bottom w:w="50" w:type="dxa"/>
              <w:right w:w="80" w:type="dxa"/>
            </w:tcMar>
          </w:tcPr>
          <w:p w14:paraId="086D532F">
            <w:pPr>
              <w:spacing w:line="252" w:lineRule="auto"/>
              <w:jc w:val="left"/>
            </w:pPr>
            <w:r>
              <w:rPr>
                <w:rFonts w:ascii="Arial" w:hAnsi="Arial" w:eastAsia="Arial" w:cs="Arial"/>
                <w:sz w:val="18"/>
                <w:szCs w:val="18"/>
              </w:rPr>
              <w:t>卖家画像</w:t>
            </w:r>
          </w:p>
        </w:tc>
        <w:tc>
          <w:tcPr>
            <w:tcW w:w="3744" w:type="dxa"/>
            <w:shd w:val="clear" w:color="auto" w:fill="FFFFFF"/>
            <w:tcMar>
              <w:top w:w="50" w:type="dxa"/>
              <w:left w:w="80" w:type="dxa"/>
              <w:bottom w:w="50" w:type="dxa"/>
              <w:right w:w="80" w:type="dxa"/>
            </w:tcMar>
          </w:tcPr>
          <w:p w14:paraId="03AB4F4B">
            <w:pPr>
              <w:spacing w:line="252" w:lineRule="auto"/>
              <w:jc w:val="left"/>
            </w:pPr>
            <w:r>
              <w:rPr>
                <w:rFonts w:ascii="Arial" w:hAnsi="Arial" w:eastAsia="Arial" w:cs="Arial"/>
                <w:b w:val="0"/>
                <w:bCs w:val="0"/>
                <w:sz w:val="18"/>
                <w:szCs w:val="18"/>
              </w:rPr>
              <w:t>偏品牌化、规范化大卖</w:t>
            </w:r>
          </w:p>
        </w:tc>
        <w:tc>
          <w:tcPr>
            <w:tcW w:w="3744" w:type="dxa"/>
            <w:shd w:val="clear" w:color="auto" w:fill="FFFFFF"/>
            <w:tcMar>
              <w:top w:w="50" w:type="dxa"/>
              <w:left w:w="80" w:type="dxa"/>
              <w:bottom w:w="50" w:type="dxa"/>
              <w:right w:w="80" w:type="dxa"/>
            </w:tcMar>
          </w:tcPr>
          <w:p w14:paraId="2DF5BB7C">
            <w:pPr>
              <w:spacing w:line="252" w:lineRule="auto"/>
              <w:jc w:val="left"/>
            </w:pPr>
            <w:r>
              <w:rPr>
                <w:rFonts w:ascii="Arial" w:hAnsi="Arial" w:eastAsia="Arial" w:cs="Arial"/>
                <w:b w:val="0"/>
                <w:bCs w:val="0"/>
                <w:sz w:val="18"/>
                <w:szCs w:val="18"/>
              </w:rPr>
              <w:t>本土中小卖 + 跨境海外仓卖家</w:t>
            </w:r>
          </w:p>
        </w:tc>
      </w:tr>
      <w:tr w14:paraId="7CCB78C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872" w:type="dxa"/>
            <w:shd w:val="clear" w:color="auto" w:fill="F2F2F2"/>
            <w:tcMar>
              <w:top w:w="50" w:type="dxa"/>
              <w:left w:w="80" w:type="dxa"/>
              <w:bottom w:w="50" w:type="dxa"/>
              <w:right w:w="80" w:type="dxa"/>
            </w:tcMar>
          </w:tcPr>
          <w:p w14:paraId="5C2C921A">
            <w:pPr>
              <w:spacing w:line="252" w:lineRule="auto"/>
              <w:jc w:val="left"/>
            </w:pPr>
            <w:r>
              <w:rPr>
                <w:rFonts w:ascii="Arial" w:hAnsi="Arial" w:eastAsia="Arial" w:cs="Arial"/>
                <w:sz w:val="18"/>
                <w:szCs w:val="18"/>
              </w:rPr>
              <w:t>合规强制度</w:t>
            </w:r>
          </w:p>
        </w:tc>
        <w:tc>
          <w:tcPr>
            <w:tcW w:w="3744" w:type="dxa"/>
            <w:shd w:val="clear" w:color="auto" w:fill="F2F2F2"/>
            <w:tcMar>
              <w:top w:w="50" w:type="dxa"/>
              <w:left w:w="80" w:type="dxa"/>
              <w:bottom w:w="50" w:type="dxa"/>
              <w:right w:w="80" w:type="dxa"/>
            </w:tcMar>
          </w:tcPr>
          <w:p w14:paraId="73EBE1BF">
            <w:pPr>
              <w:spacing w:line="252" w:lineRule="auto"/>
              <w:jc w:val="left"/>
            </w:pPr>
            <w:r>
              <w:rPr>
                <w:rFonts w:ascii="Arial" w:hAnsi="Arial" w:eastAsia="Arial" w:cs="Arial"/>
                <w:b w:val="0"/>
                <w:bCs w:val="0"/>
                <w:sz w:val="18"/>
                <w:szCs w:val="18"/>
              </w:rPr>
              <w:t>高（FBA强绑RFC）</w:t>
            </w:r>
          </w:p>
        </w:tc>
        <w:tc>
          <w:tcPr>
            <w:tcW w:w="3744" w:type="dxa"/>
            <w:shd w:val="clear" w:color="auto" w:fill="F2F2F2"/>
            <w:tcMar>
              <w:top w:w="50" w:type="dxa"/>
              <w:left w:w="80" w:type="dxa"/>
              <w:bottom w:w="50" w:type="dxa"/>
              <w:right w:w="80" w:type="dxa"/>
            </w:tcMar>
          </w:tcPr>
          <w:p w14:paraId="1DA4383A">
            <w:pPr>
              <w:spacing w:line="252" w:lineRule="auto"/>
              <w:jc w:val="left"/>
            </w:pPr>
            <w:r>
              <w:rPr>
                <w:rFonts w:ascii="Arial" w:hAnsi="Arial" w:eastAsia="Arial" w:cs="Arial"/>
                <w:b w:val="0"/>
                <w:bCs w:val="0"/>
                <w:sz w:val="18"/>
                <w:szCs w:val="18"/>
              </w:rPr>
              <w:t>高（平台代扣+验证）</w:t>
            </w:r>
          </w:p>
        </w:tc>
      </w:tr>
      <w:tr w14:paraId="4A22677F">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872" w:type="dxa"/>
            <w:shd w:val="clear" w:color="auto" w:fill="FFFFFF"/>
            <w:tcMar>
              <w:top w:w="50" w:type="dxa"/>
              <w:left w:w="80" w:type="dxa"/>
              <w:bottom w:w="50" w:type="dxa"/>
              <w:right w:w="80" w:type="dxa"/>
            </w:tcMar>
          </w:tcPr>
          <w:p w14:paraId="222C1166">
            <w:pPr>
              <w:spacing w:line="252" w:lineRule="auto"/>
              <w:jc w:val="left"/>
            </w:pPr>
            <w:r>
              <w:rPr>
                <w:rFonts w:ascii="Arial" w:hAnsi="Arial" w:eastAsia="Arial" w:cs="Arial"/>
                <w:sz w:val="18"/>
                <w:szCs w:val="18"/>
              </w:rPr>
              <w:t>服务机会</w:t>
            </w:r>
          </w:p>
        </w:tc>
        <w:tc>
          <w:tcPr>
            <w:tcW w:w="3744" w:type="dxa"/>
            <w:shd w:val="clear" w:color="auto" w:fill="FFFFFF"/>
            <w:tcMar>
              <w:top w:w="50" w:type="dxa"/>
              <w:left w:w="80" w:type="dxa"/>
              <w:bottom w:w="50" w:type="dxa"/>
              <w:right w:w="80" w:type="dxa"/>
            </w:tcMar>
          </w:tcPr>
          <w:p w14:paraId="129B29C0">
            <w:pPr>
              <w:spacing w:line="252" w:lineRule="auto"/>
              <w:jc w:val="left"/>
            </w:pPr>
            <w:r>
              <w:rPr>
                <w:rFonts w:ascii="Arial" w:hAnsi="Arial" w:eastAsia="Arial" w:cs="Arial"/>
                <w:b w:val="0"/>
                <w:bCs w:val="0"/>
                <w:sz w:val="18"/>
                <w:szCs w:val="18"/>
              </w:rPr>
              <w:t>标准化税务托管、多站点合规</w:t>
            </w:r>
          </w:p>
        </w:tc>
        <w:tc>
          <w:tcPr>
            <w:tcW w:w="3744" w:type="dxa"/>
            <w:shd w:val="clear" w:color="auto" w:fill="FFFFFF"/>
            <w:tcMar>
              <w:top w:w="50" w:type="dxa"/>
              <w:left w:w="80" w:type="dxa"/>
              <w:bottom w:w="50" w:type="dxa"/>
              <w:right w:w="80" w:type="dxa"/>
            </w:tcMar>
          </w:tcPr>
          <w:p w14:paraId="52829FB2">
            <w:pPr>
              <w:spacing w:line="252" w:lineRule="auto"/>
              <w:jc w:val="left"/>
            </w:pPr>
            <w:r>
              <w:rPr>
                <w:rFonts w:ascii="Arial" w:hAnsi="Arial" w:eastAsia="Arial" w:cs="Arial"/>
                <w:b w:val="0"/>
                <w:bCs w:val="0"/>
                <w:sz w:val="18"/>
                <w:szCs w:val="18"/>
              </w:rPr>
              <w:t>救火+本土落地+代运营</w:t>
            </w:r>
          </w:p>
        </w:tc>
      </w:tr>
      <w:tr w14:paraId="721A9A6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872" w:type="dxa"/>
            <w:shd w:val="clear" w:color="auto" w:fill="F2F2F2"/>
            <w:tcMar>
              <w:top w:w="50" w:type="dxa"/>
              <w:left w:w="80" w:type="dxa"/>
              <w:bottom w:w="50" w:type="dxa"/>
              <w:right w:w="80" w:type="dxa"/>
            </w:tcMar>
          </w:tcPr>
          <w:p w14:paraId="3265180F">
            <w:pPr>
              <w:spacing w:line="252" w:lineRule="auto"/>
              <w:jc w:val="left"/>
            </w:pPr>
            <w:r>
              <w:rPr>
                <w:rFonts w:ascii="Arial" w:hAnsi="Arial" w:eastAsia="Arial" w:cs="Arial"/>
                <w:sz w:val="18"/>
                <w:szCs w:val="18"/>
              </w:rPr>
              <w:t>竞争烈度</w:t>
            </w:r>
          </w:p>
        </w:tc>
        <w:tc>
          <w:tcPr>
            <w:tcW w:w="3744" w:type="dxa"/>
            <w:shd w:val="clear" w:color="auto" w:fill="F2F2F2"/>
            <w:tcMar>
              <w:top w:w="50" w:type="dxa"/>
              <w:left w:w="80" w:type="dxa"/>
              <w:bottom w:w="50" w:type="dxa"/>
              <w:right w:w="80" w:type="dxa"/>
            </w:tcMar>
          </w:tcPr>
          <w:p w14:paraId="60660C8A">
            <w:pPr>
              <w:spacing w:line="252" w:lineRule="auto"/>
              <w:jc w:val="left"/>
            </w:pPr>
            <w:r>
              <w:rPr>
                <w:rFonts w:ascii="Arial" w:hAnsi="Arial" w:eastAsia="Arial" w:cs="Arial"/>
                <w:b w:val="0"/>
                <w:bCs w:val="0"/>
                <w:sz w:val="18"/>
                <w:szCs w:val="18"/>
              </w:rPr>
              <w:t>高（成熟服务商多）</w:t>
            </w:r>
          </w:p>
        </w:tc>
        <w:tc>
          <w:tcPr>
            <w:tcW w:w="3744" w:type="dxa"/>
            <w:shd w:val="clear" w:color="auto" w:fill="F2F2F2"/>
            <w:tcMar>
              <w:top w:w="50" w:type="dxa"/>
              <w:left w:w="80" w:type="dxa"/>
              <w:bottom w:w="50" w:type="dxa"/>
              <w:right w:w="80" w:type="dxa"/>
            </w:tcMar>
          </w:tcPr>
          <w:p w14:paraId="7E0AD5DA">
            <w:pPr>
              <w:spacing w:line="252" w:lineRule="auto"/>
              <w:jc w:val="left"/>
            </w:pPr>
            <w:r>
              <w:rPr>
                <w:rFonts w:ascii="Arial" w:hAnsi="Arial" w:eastAsia="Arial" w:cs="Arial"/>
                <w:b w:val="0"/>
                <w:bCs w:val="0"/>
                <w:sz w:val="18"/>
                <w:szCs w:val="18"/>
              </w:rPr>
              <w:t>高但结构性缺口更大</w:t>
            </w:r>
          </w:p>
        </w:tc>
      </w:tr>
    </w:tbl>
    <w:p w14:paraId="42374204">
      <w:pPr>
        <w:spacing w:before="40" w:after="160"/>
      </w:pPr>
      <w:r>
        <w:rPr>
          <w:rFonts w:ascii="Arial" w:hAnsi="Arial" w:eastAsia="Arial" w:cs="Arial"/>
          <w:i/>
          <w:iCs/>
          <w:color w:val="808080"/>
          <w:sz w:val="16"/>
          <w:szCs w:val="16"/>
        </w:rPr>
        <w:t>表 2-1：Amazon MX 与 Mercado Libre 的服务机会对比。</w:t>
      </w:r>
    </w:p>
    <w:p w14:paraId="19B21A5F">
      <w:pPr>
        <w:pStyle w:val="3"/>
        <w:spacing w:before="220" w:after="120"/>
      </w:pPr>
      <w:r>
        <w:rPr>
          <w:rFonts w:ascii="Arial" w:hAnsi="Arial" w:eastAsia="Arial" w:cs="Arial"/>
          <w:b/>
          <w:bCs/>
          <w:color w:val="2E5496"/>
          <w:sz w:val="25"/>
          <w:szCs w:val="25"/>
        </w:rPr>
        <w:t>2.3　TikTok Shop México：爆发中的内容电商</w:t>
      </w:r>
    </w:p>
    <w:p w14:paraId="17180BC2">
      <w:pPr>
        <w:spacing w:after="140" w:line="288" w:lineRule="auto"/>
        <w:jc w:val="both"/>
      </w:pPr>
      <w:r>
        <w:rPr>
          <w:rFonts w:ascii="Arial" w:hAnsi="Arial" w:eastAsia="Arial" w:cs="Arial"/>
          <w:sz w:val="21"/>
          <w:szCs w:val="21"/>
        </w:rPr>
        <w:t>TikTok Shop墨西哥是增长最猛的新兴渠道。行业观察称其在墨西哥曾于八个月内增长约34倍；平台约70%用户为18–34岁，内容驱动购买特征极强。TikTok Shop已从仅支持企业注册，扩展到个人卖家并推进跨境店入驻，同时向美国卖家招募跨境到墨西哥的项目。</w:t>
      </w:r>
    </w:p>
    <w:p w14:paraId="09D714FC">
      <w:pPr>
        <w:spacing w:after="140" w:line="288" w:lineRule="auto"/>
        <w:jc w:val="both"/>
      </w:pPr>
      <w:r>
        <w:rPr>
          <w:rFonts w:ascii="Arial" w:hAnsi="Arial" w:eastAsia="Arial" w:cs="Arial"/>
          <w:sz w:val="21"/>
          <w:szCs w:val="21"/>
        </w:rPr>
        <w:t>对服务商的含义：TikTok Shop带来一批“新入局、不懂墨西哥合规”的卖家，他们既需要主体与RFC，也需要本地履约（社媒电商的订单洪峰对fulfillment容错极低）与内容/达人运营。这是一个“教育成本高但先发红利大”的细分。</w:t>
      </w:r>
    </w:p>
    <w:tbl>
      <w:tblPr>
        <w:tblStyle w:val="11"/>
        <w:tblW w:w="5000" w:type="pct"/>
        <w:tblInd w:w="0" w:type="dxa"/>
        <w:tblBorders>
          <w:top w:val="single" w:color="FCE4D6" w:sz="2" w:space="0"/>
          <w:left w:val="single" w:color="C00000" w:sz="30" w:space="0"/>
          <w:bottom w:val="single" w:color="FCE4D6" w:sz="2" w:space="0"/>
          <w:right w:val="single" w:color="FCE4D6"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2CCC44EB">
        <w:tblPrEx>
          <w:tblBorders>
            <w:top w:val="single" w:color="FCE4D6" w:sz="2" w:space="0"/>
            <w:left w:val="single" w:color="C00000" w:sz="30" w:space="0"/>
            <w:bottom w:val="single" w:color="FCE4D6" w:sz="2" w:space="0"/>
            <w:right w:val="single" w:color="FCE4D6"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CE4D6"/>
            <w:tcMar>
              <w:top w:w="120" w:type="dxa"/>
              <w:left w:w="200" w:type="dxa"/>
              <w:bottom w:w="120" w:type="dxa"/>
              <w:right w:w="200" w:type="dxa"/>
            </w:tcMar>
          </w:tcPr>
          <w:p w14:paraId="11B5FFE9">
            <w:pPr>
              <w:spacing w:after="60"/>
            </w:pPr>
            <w:r>
              <w:rPr>
                <w:rFonts w:ascii="Arial" w:hAnsi="Arial" w:eastAsia="Arial" w:cs="Arial"/>
                <w:b/>
                <w:bCs/>
                <w:color w:val="1F3864"/>
                <w:sz w:val="21"/>
                <w:szCs w:val="21"/>
              </w:rPr>
              <w:t>服务切入点 · TikTok Shop</w:t>
            </w:r>
          </w:p>
          <w:p w14:paraId="4AC13E78">
            <w:pPr>
              <w:spacing w:after="40" w:line="276" w:lineRule="auto"/>
            </w:pPr>
            <w:r>
              <w:rPr>
                <w:rFonts w:ascii="Arial" w:hAnsi="Arial" w:eastAsia="Arial" w:cs="Arial"/>
                <w:sz w:val="20"/>
                <w:szCs w:val="20"/>
              </w:rPr>
              <w:t>① 主体+RFC快速落地（配合平台招商节奏）　② 本地仓履约对接　③ 达人/直播/短视频内容代运营。谁先建立“TikTok Shop MX合规+履约+内容”的标准化SOP，谁就吃到这一波先发红利。</w:t>
            </w:r>
          </w:p>
        </w:tc>
      </w:tr>
    </w:tbl>
    <w:p w14:paraId="445F9EC1">
      <w:pPr>
        <w:pStyle w:val="3"/>
        <w:spacing w:before="220" w:after="120"/>
      </w:pPr>
      <w:r>
        <w:rPr>
          <w:rFonts w:ascii="Arial" w:hAnsi="Arial" w:eastAsia="Arial" w:cs="Arial"/>
          <w:b/>
          <w:bCs/>
          <w:color w:val="2E5496"/>
          <w:sz w:val="25"/>
          <w:szCs w:val="25"/>
        </w:rPr>
        <w:t>2.4　Walmart México / Walmart Marketplace：跨境新变量</w:t>
      </w:r>
    </w:p>
    <w:p w14:paraId="7FD187D3">
      <w:pPr>
        <w:spacing w:after="140" w:line="288" w:lineRule="auto"/>
        <w:jc w:val="both"/>
      </w:pPr>
      <w:r>
        <w:rPr>
          <w:rFonts w:ascii="Arial" w:hAnsi="Arial" w:eastAsia="Arial" w:cs="Arial"/>
          <w:sz w:val="21"/>
          <w:szCs w:val="21"/>
        </w:rPr>
        <w:t>Walmart在墨西哥既是零售巨头，也在做marketplace与跨境布局。2026年初Walmart筹备名为“Walmart Exports”的跨境项目，让使用其第三方履约（WFS）的卖家把商品从美国发往墨西哥、加拿大；2026年6月Walmart进一步向墨西哥消费者开放walmart.com，允许其浏览并跨境购买美国在售商品。</w:t>
      </w:r>
    </w:p>
    <w:p w14:paraId="1E8FCF02">
      <w:pPr>
        <w:spacing w:after="140" w:line="288" w:lineRule="auto"/>
        <w:jc w:val="both"/>
      </w:pPr>
      <w:r>
        <w:rPr>
          <w:rFonts w:ascii="Arial" w:hAnsi="Arial" w:eastAsia="Arial" w:cs="Arial"/>
          <w:sz w:val="21"/>
          <w:szCs w:val="21"/>
        </w:rPr>
        <w:t>这两步意味着：对已在Walmart Marketplace（美国）上架的卖家，墨西哥可寻址买家群“免费”扩大；对只做Amazon的品牌，增加了布局Walmart的理由。对服务商而言，Walmart是一个“增量渠道咨询 + 多平台合规打包”的加分项，但短期内不会是主入口。</w:t>
      </w:r>
    </w:p>
    <w:p w14:paraId="60796BF9">
      <w:pPr>
        <w:pStyle w:val="3"/>
        <w:spacing w:before="220" w:after="120"/>
      </w:pPr>
      <w:r>
        <w:rPr>
          <w:rFonts w:ascii="Arial" w:hAnsi="Arial" w:eastAsia="Arial" w:cs="Arial"/>
          <w:b/>
          <w:bCs/>
          <w:color w:val="2E5496"/>
          <w:sz w:val="25"/>
          <w:szCs w:val="25"/>
        </w:rPr>
        <w:t>2.5　四平台横向对比与优先级</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764"/>
        <w:gridCol w:w="1568"/>
        <w:gridCol w:w="1959"/>
        <w:gridCol w:w="1959"/>
        <w:gridCol w:w="2548"/>
      </w:tblGrid>
      <w:tr w14:paraId="118622A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685" w:type="dxa"/>
            <w:shd w:val="clear" w:color="auto" w:fill="1F3864"/>
            <w:tcMar>
              <w:top w:w="60" w:type="dxa"/>
              <w:left w:w="80" w:type="dxa"/>
              <w:bottom w:w="60" w:type="dxa"/>
              <w:right w:w="80" w:type="dxa"/>
            </w:tcMar>
          </w:tcPr>
          <w:p w14:paraId="65BE61F9">
            <w:pPr>
              <w:jc w:val="center"/>
            </w:pPr>
            <w:r>
              <w:rPr>
                <w:rFonts w:ascii="Arial" w:hAnsi="Arial" w:eastAsia="Arial" w:cs="Arial"/>
                <w:b/>
                <w:bCs/>
                <w:color w:val="FFFFFF"/>
                <w:sz w:val="18"/>
                <w:szCs w:val="18"/>
              </w:rPr>
              <w:t>平台</w:t>
            </w:r>
          </w:p>
        </w:tc>
        <w:tc>
          <w:tcPr>
            <w:tcW w:w="1498" w:type="dxa"/>
            <w:shd w:val="clear" w:color="auto" w:fill="1F3864"/>
            <w:tcMar>
              <w:top w:w="60" w:type="dxa"/>
              <w:left w:w="80" w:type="dxa"/>
              <w:bottom w:w="60" w:type="dxa"/>
              <w:right w:w="80" w:type="dxa"/>
            </w:tcMar>
          </w:tcPr>
          <w:p w14:paraId="0778352A">
            <w:pPr>
              <w:jc w:val="center"/>
            </w:pPr>
            <w:r>
              <w:rPr>
                <w:rFonts w:ascii="Arial" w:hAnsi="Arial" w:eastAsia="Arial" w:cs="Arial"/>
                <w:b/>
                <w:bCs/>
                <w:color w:val="FFFFFF"/>
                <w:sz w:val="18"/>
                <w:szCs w:val="18"/>
              </w:rPr>
              <w:t>生态位</w:t>
            </w:r>
          </w:p>
        </w:tc>
        <w:tc>
          <w:tcPr>
            <w:tcW w:w="1872" w:type="dxa"/>
            <w:shd w:val="clear" w:color="auto" w:fill="1F3864"/>
            <w:tcMar>
              <w:top w:w="60" w:type="dxa"/>
              <w:left w:w="80" w:type="dxa"/>
              <w:bottom w:w="60" w:type="dxa"/>
              <w:right w:w="80" w:type="dxa"/>
            </w:tcMar>
          </w:tcPr>
          <w:p w14:paraId="4E24EEB9">
            <w:pPr>
              <w:jc w:val="center"/>
            </w:pPr>
            <w:r>
              <w:rPr>
                <w:rFonts w:ascii="Arial" w:hAnsi="Arial" w:eastAsia="Arial" w:cs="Arial"/>
                <w:b/>
                <w:bCs/>
                <w:color w:val="FFFFFF"/>
                <w:sz w:val="18"/>
                <w:szCs w:val="18"/>
              </w:rPr>
              <w:t>卖家画像</w:t>
            </w:r>
          </w:p>
        </w:tc>
        <w:tc>
          <w:tcPr>
            <w:tcW w:w="1872" w:type="dxa"/>
            <w:shd w:val="clear" w:color="auto" w:fill="1F3864"/>
            <w:tcMar>
              <w:top w:w="60" w:type="dxa"/>
              <w:left w:w="80" w:type="dxa"/>
              <w:bottom w:w="60" w:type="dxa"/>
              <w:right w:w="80" w:type="dxa"/>
            </w:tcMar>
          </w:tcPr>
          <w:p w14:paraId="4484A3DF">
            <w:pPr>
              <w:jc w:val="center"/>
            </w:pPr>
            <w:r>
              <w:rPr>
                <w:rFonts w:ascii="Arial" w:hAnsi="Arial" w:eastAsia="Arial" w:cs="Arial"/>
                <w:b/>
                <w:bCs/>
                <w:color w:val="FFFFFF"/>
                <w:sz w:val="18"/>
                <w:szCs w:val="18"/>
              </w:rPr>
              <w:t>合规痛点强度</w:t>
            </w:r>
          </w:p>
        </w:tc>
        <w:tc>
          <w:tcPr>
            <w:tcW w:w="2434" w:type="dxa"/>
            <w:shd w:val="clear" w:color="auto" w:fill="1F3864"/>
            <w:tcMar>
              <w:top w:w="60" w:type="dxa"/>
              <w:left w:w="80" w:type="dxa"/>
              <w:bottom w:w="60" w:type="dxa"/>
              <w:right w:w="80" w:type="dxa"/>
            </w:tcMar>
          </w:tcPr>
          <w:p w14:paraId="4D87726A">
            <w:pPr>
              <w:jc w:val="center"/>
            </w:pPr>
            <w:r>
              <w:rPr>
                <w:rFonts w:ascii="Arial" w:hAnsi="Arial" w:eastAsia="Arial" w:cs="Arial"/>
                <w:b/>
                <w:bCs/>
                <w:color w:val="FFFFFF"/>
                <w:sz w:val="18"/>
                <w:szCs w:val="18"/>
              </w:rPr>
              <w:t>建议优先级</w:t>
            </w:r>
          </w:p>
        </w:tc>
      </w:tr>
      <w:tr w14:paraId="564391A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078471AD">
            <w:pPr>
              <w:spacing w:line="252" w:lineRule="auto"/>
              <w:jc w:val="left"/>
            </w:pPr>
            <w:r>
              <w:rPr>
                <w:rFonts w:ascii="Arial" w:hAnsi="Arial" w:eastAsia="Arial" w:cs="Arial"/>
                <w:b/>
                <w:bCs/>
                <w:color w:val="000000"/>
                <w:sz w:val="18"/>
                <w:szCs w:val="18"/>
              </w:rPr>
              <w:t>Mercado Libre</w:t>
            </w:r>
          </w:p>
        </w:tc>
        <w:tc>
          <w:tcPr>
            <w:tcW w:w="1498" w:type="dxa"/>
            <w:shd w:val="clear" w:color="auto" w:fill="FFFFFF"/>
            <w:tcMar>
              <w:top w:w="50" w:type="dxa"/>
              <w:left w:w="80" w:type="dxa"/>
              <w:bottom w:w="50" w:type="dxa"/>
              <w:right w:w="80" w:type="dxa"/>
            </w:tcMar>
          </w:tcPr>
          <w:p w14:paraId="5878A708">
            <w:pPr>
              <w:spacing w:line="252" w:lineRule="auto"/>
              <w:jc w:val="left"/>
            </w:pPr>
            <w:r>
              <w:rPr>
                <w:rFonts w:ascii="Arial" w:hAnsi="Arial" w:eastAsia="Arial" w:cs="Arial"/>
                <w:b w:val="0"/>
                <w:bCs w:val="0"/>
                <w:sz w:val="18"/>
                <w:szCs w:val="18"/>
              </w:rPr>
              <w:t>绝对核心</w:t>
            </w:r>
          </w:p>
        </w:tc>
        <w:tc>
          <w:tcPr>
            <w:tcW w:w="1872" w:type="dxa"/>
            <w:shd w:val="clear" w:color="auto" w:fill="FFFFFF"/>
            <w:tcMar>
              <w:top w:w="50" w:type="dxa"/>
              <w:left w:w="80" w:type="dxa"/>
              <w:bottom w:w="50" w:type="dxa"/>
              <w:right w:w="80" w:type="dxa"/>
            </w:tcMar>
          </w:tcPr>
          <w:p w14:paraId="718E05D4">
            <w:pPr>
              <w:spacing w:line="252" w:lineRule="auto"/>
              <w:jc w:val="left"/>
            </w:pPr>
            <w:r>
              <w:rPr>
                <w:rFonts w:ascii="Arial" w:hAnsi="Arial" w:eastAsia="Arial" w:cs="Arial"/>
                <w:b w:val="0"/>
                <w:bCs w:val="0"/>
                <w:sz w:val="18"/>
                <w:szCs w:val="18"/>
              </w:rPr>
              <w:t>本土+海外仓</w:t>
            </w:r>
          </w:p>
        </w:tc>
        <w:tc>
          <w:tcPr>
            <w:tcW w:w="1872" w:type="dxa"/>
            <w:shd w:val="clear" w:color="auto" w:fill="FFC7CE"/>
            <w:tcMar>
              <w:top w:w="50" w:type="dxa"/>
              <w:left w:w="80" w:type="dxa"/>
              <w:bottom w:w="50" w:type="dxa"/>
              <w:right w:w="80" w:type="dxa"/>
            </w:tcMar>
          </w:tcPr>
          <w:p w14:paraId="5F5E017D">
            <w:pPr>
              <w:spacing w:line="252" w:lineRule="auto"/>
              <w:jc w:val="left"/>
            </w:pPr>
            <w:r>
              <w:rPr>
                <w:rFonts w:ascii="Arial" w:hAnsi="Arial" w:eastAsia="Arial" w:cs="Arial"/>
                <w:b w:val="0"/>
                <w:bCs w:val="0"/>
                <w:color w:val="000000"/>
                <w:sz w:val="18"/>
                <w:szCs w:val="18"/>
              </w:rPr>
              <w:t>极高</w:t>
            </w:r>
          </w:p>
        </w:tc>
        <w:tc>
          <w:tcPr>
            <w:tcW w:w="2434" w:type="dxa"/>
            <w:shd w:val="clear" w:color="auto" w:fill="C6EFCE"/>
            <w:tcMar>
              <w:top w:w="50" w:type="dxa"/>
              <w:left w:w="80" w:type="dxa"/>
              <w:bottom w:w="50" w:type="dxa"/>
              <w:right w:w="80" w:type="dxa"/>
            </w:tcMar>
          </w:tcPr>
          <w:p w14:paraId="384FE5B4">
            <w:pPr>
              <w:spacing w:line="252" w:lineRule="auto"/>
              <w:jc w:val="left"/>
            </w:pPr>
            <w:r>
              <w:rPr>
                <w:rFonts w:ascii="Arial" w:hAnsi="Arial" w:eastAsia="Arial" w:cs="Arial"/>
                <w:b w:val="0"/>
                <w:bCs w:val="0"/>
                <w:color w:val="000000"/>
                <w:sz w:val="18"/>
                <w:szCs w:val="18"/>
              </w:rPr>
              <w:t>★★★ 主战场</w:t>
            </w:r>
          </w:p>
        </w:tc>
      </w:tr>
      <w:tr w14:paraId="4844A03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0FD9E279">
            <w:pPr>
              <w:spacing w:line="252" w:lineRule="auto"/>
              <w:jc w:val="left"/>
            </w:pPr>
            <w:r>
              <w:rPr>
                <w:rFonts w:ascii="Arial" w:hAnsi="Arial" w:eastAsia="Arial" w:cs="Arial"/>
                <w:b/>
                <w:bCs/>
                <w:color w:val="000000"/>
                <w:sz w:val="18"/>
                <w:szCs w:val="18"/>
              </w:rPr>
              <w:t>Amazon MX</w:t>
            </w:r>
          </w:p>
        </w:tc>
        <w:tc>
          <w:tcPr>
            <w:tcW w:w="1498" w:type="dxa"/>
            <w:shd w:val="clear" w:color="auto" w:fill="F2F2F2"/>
            <w:tcMar>
              <w:top w:w="50" w:type="dxa"/>
              <w:left w:w="80" w:type="dxa"/>
              <w:bottom w:w="50" w:type="dxa"/>
              <w:right w:w="80" w:type="dxa"/>
            </w:tcMar>
          </w:tcPr>
          <w:p w14:paraId="23493E89">
            <w:pPr>
              <w:spacing w:line="252" w:lineRule="auto"/>
              <w:jc w:val="left"/>
            </w:pPr>
            <w:r>
              <w:rPr>
                <w:rFonts w:ascii="Arial" w:hAnsi="Arial" w:eastAsia="Arial" w:cs="Arial"/>
                <w:b w:val="0"/>
                <w:bCs w:val="0"/>
                <w:sz w:val="18"/>
                <w:szCs w:val="18"/>
              </w:rPr>
              <w:t>规范化标杆</w:t>
            </w:r>
          </w:p>
        </w:tc>
        <w:tc>
          <w:tcPr>
            <w:tcW w:w="1872" w:type="dxa"/>
            <w:shd w:val="clear" w:color="auto" w:fill="F2F2F2"/>
            <w:tcMar>
              <w:top w:w="50" w:type="dxa"/>
              <w:left w:w="80" w:type="dxa"/>
              <w:bottom w:w="50" w:type="dxa"/>
              <w:right w:w="80" w:type="dxa"/>
            </w:tcMar>
          </w:tcPr>
          <w:p w14:paraId="6417800D">
            <w:pPr>
              <w:spacing w:line="252" w:lineRule="auto"/>
              <w:jc w:val="left"/>
            </w:pPr>
            <w:r>
              <w:rPr>
                <w:rFonts w:ascii="Arial" w:hAnsi="Arial" w:eastAsia="Arial" w:cs="Arial"/>
                <w:b w:val="0"/>
                <w:bCs w:val="0"/>
                <w:sz w:val="18"/>
                <w:szCs w:val="18"/>
              </w:rPr>
              <w:t>品牌化大卖</w:t>
            </w:r>
          </w:p>
        </w:tc>
        <w:tc>
          <w:tcPr>
            <w:tcW w:w="1872" w:type="dxa"/>
            <w:shd w:val="clear" w:color="auto" w:fill="FFEB9C"/>
            <w:tcMar>
              <w:top w:w="50" w:type="dxa"/>
              <w:left w:w="80" w:type="dxa"/>
              <w:bottom w:w="50" w:type="dxa"/>
              <w:right w:w="80" w:type="dxa"/>
            </w:tcMar>
          </w:tcPr>
          <w:p w14:paraId="05E02A35">
            <w:pPr>
              <w:spacing w:line="252" w:lineRule="auto"/>
              <w:jc w:val="left"/>
            </w:pPr>
            <w:r>
              <w:rPr>
                <w:rFonts w:ascii="Arial" w:hAnsi="Arial" w:eastAsia="Arial" w:cs="Arial"/>
                <w:b w:val="0"/>
                <w:bCs w:val="0"/>
                <w:color w:val="000000"/>
                <w:sz w:val="18"/>
                <w:szCs w:val="18"/>
              </w:rPr>
              <w:t>高</w:t>
            </w:r>
          </w:p>
        </w:tc>
        <w:tc>
          <w:tcPr>
            <w:tcW w:w="2434" w:type="dxa"/>
            <w:shd w:val="clear" w:color="auto" w:fill="C6EFCE"/>
            <w:tcMar>
              <w:top w:w="50" w:type="dxa"/>
              <w:left w:w="80" w:type="dxa"/>
              <w:bottom w:w="50" w:type="dxa"/>
              <w:right w:w="80" w:type="dxa"/>
            </w:tcMar>
          </w:tcPr>
          <w:p w14:paraId="41F43FD1">
            <w:pPr>
              <w:spacing w:line="252" w:lineRule="auto"/>
              <w:jc w:val="left"/>
            </w:pPr>
            <w:r>
              <w:rPr>
                <w:rFonts w:ascii="Arial" w:hAnsi="Arial" w:eastAsia="Arial" w:cs="Arial"/>
                <w:b w:val="0"/>
                <w:bCs w:val="0"/>
                <w:color w:val="000000"/>
                <w:sz w:val="18"/>
                <w:szCs w:val="18"/>
              </w:rPr>
              <w:t>★★ 标准化托管</w:t>
            </w:r>
          </w:p>
        </w:tc>
      </w:tr>
      <w:tr w14:paraId="1351FC5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2E269BB0">
            <w:pPr>
              <w:spacing w:line="252" w:lineRule="auto"/>
              <w:jc w:val="left"/>
            </w:pPr>
            <w:r>
              <w:rPr>
                <w:rFonts w:ascii="Arial" w:hAnsi="Arial" w:eastAsia="Arial" w:cs="Arial"/>
                <w:b/>
                <w:bCs/>
                <w:color w:val="000000"/>
                <w:sz w:val="18"/>
                <w:szCs w:val="18"/>
              </w:rPr>
              <w:t>TikTok Shop MX</w:t>
            </w:r>
          </w:p>
        </w:tc>
        <w:tc>
          <w:tcPr>
            <w:tcW w:w="1498" w:type="dxa"/>
            <w:shd w:val="clear" w:color="auto" w:fill="FFFFFF"/>
            <w:tcMar>
              <w:top w:w="50" w:type="dxa"/>
              <w:left w:w="80" w:type="dxa"/>
              <w:bottom w:w="50" w:type="dxa"/>
              <w:right w:w="80" w:type="dxa"/>
            </w:tcMar>
          </w:tcPr>
          <w:p w14:paraId="7F42BEA1">
            <w:pPr>
              <w:spacing w:line="252" w:lineRule="auto"/>
              <w:jc w:val="left"/>
            </w:pPr>
            <w:r>
              <w:rPr>
                <w:rFonts w:ascii="Arial" w:hAnsi="Arial" w:eastAsia="Arial" w:cs="Arial"/>
                <w:b w:val="0"/>
                <w:bCs w:val="0"/>
                <w:sz w:val="18"/>
                <w:szCs w:val="18"/>
              </w:rPr>
              <w:t>爆发新兴</w:t>
            </w:r>
          </w:p>
        </w:tc>
        <w:tc>
          <w:tcPr>
            <w:tcW w:w="1872" w:type="dxa"/>
            <w:shd w:val="clear" w:color="auto" w:fill="FFFFFF"/>
            <w:tcMar>
              <w:top w:w="50" w:type="dxa"/>
              <w:left w:w="80" w:type="dxa"/>
              <w:bottom w:w="50" w:type="dxa"/>
              <w:right w:w="80" w:type="dxa"/>
            </w:tcMar>
          </w:tcPr>
          <w:p w14:paraId="5AA0CF62">
            <w:pPr>
              <w:spacing w:line="252" w:lineRule="auto"/>
              <w:jc w:val="left"/>
            </w:pPr>
            <w:r>
              <w:rPr>
                <w:rFonts w:ascii="Arial" w:hAnsi="Arial" w:eastAsia="Arial" w:cs="Arial"/>
                <w:b w:val="0"/>
                <w:bCs w:val="0"/>
                <w:sz w:val="18"/>
                <w:szCs w:val="18"/>
              </w:rPr>
              <w:t>新入局/内容型</w:t>
            </w:r>
          </w:p>
        </w:tc>
        <w:tc>
          <w:tcPr>
            <w:tcW w:w="1872" w:type="dxa"/>
            <w:shd w:val="clear" w:color="auto" w:fill="FFEB9C"/>
            <w:tcMar>
              <w:top w:w="50" w:type="dxa"/>
              <w:left w:w="80" w:type="dxa"/>
              <w:bottom w:w="50" w:type="dxa"/>
              <w:right w:w="80" w:type="dxa"/>
            </w:tcMar>
          </w:tcPr>
          <w:p w14:paraId="01488F86">
            <w:pPr>
              <w:spacing w:line="252" w:lineRule="auto"/>
              <w:jc w:val="left"/>
            </w:pPr>
            <w:r>
              <w:rPr>
                <w:rFonts w:ascii="Arial" w:hAnsi="Arial" w:eastAsia="Arial" w:cs="Arial"/>
                <w:b w:val="0"/>
                <w:bCs w:val="0"/>
                <w:color w:val="000000"/>
                <w:sz w:val="18"/>
                <w:szCs w:val="18"/>
              </w:rPr>
              <w:t>高</w:t>
            </w:r>
          </w:p>
        </w:tc>
        <w:tc>
          <w:tcPr>
            <w:tcW w:w="2434" w:type="dxa"/>
            <w:shd w:val="clear" w:color="auto" w:fill="C6EFCE"/>
            <w:tcMar>
              <w:top w:w="50" w:type="dxa"/>
              <w:left w:w="80" w:type="dxa"/>
              <w:bottom w:w="50" w:type="dxa"/>
              <w:right w:w="80" w:type="dxa"/>
            </w:tcMar>
          </w:tcPr>
          <w:p w14:paraId="33BC6D37">
            <w:pPr>
              <w:spacing w:line="252" w:lineRule="auto"/>
              <w:jc w:val="left"/>
            </w:pPr>
            <w:r>
              <w:rPr>
                <w:rFonts w:ascii="Arial" w:hAnsi="Arial" w:eastAsia="Arial" w:cs="Arial"/>
                <w:b w:val="0"/>
                <w:bCs w:val="0"/>
                <w:color w:val="000000"/>
                <w:sz w:val="18"/>
                <w:szCs w:val="18"/>
              </w:rPr>
              <w:t>★★ 先发红利</w:t>
            </w:r>
          </w:p>
        </w:tc>
      </w:tr>
      <w:tr w14:paraId="4ED5574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69DB3F79">
            <w:pPr>
              <w:spacing w:line="252" w:lineRule="auto"/>
              <w:jc w:val="left"/>
            </w:pPr>
            <w:r>
              <w:rPr>
                <w:rFonts w:ascii="Arial" w:hAnsi="Arial" w:eastAsia="Arial" w:cs="Arial"/>
                <w:b/>
                <w:bCs/>
                <w:color w:val="000000"/>
                <w:sz w:val="18"/>
                <w:szCs w:val="18"/>
              </w:rPr>
              <w:t>Walmart MX</w:t>
            </w:r>
          </w:p>
        </w:tc>
        <w:tc>
          <w:tcPr>
            <w:tcW w:w="1498" w:type="dxa"/>
            <w:shd w:val="clear" w:color="auto" w:fill="F2F2F2"/>
            <w:tcMar>
              <w:top w:w="50" w:type="dxa"/>
              <w:left w:w="80" w:type="dxa"/>
              <w:bottom w:w="50" w:type="dxa"/>
              <w:right w:w="80" w:type="dxa"/>
            </w:tcMar>
          </w:tcPr>
          <w:p w14:paraId="23969957">
            <w:pPr>
              <w:spacing w:line="252" w:lineRule="auto"/>
              <w:jc w:val="left"/>
            </w:pPr>
            <w:r>
              <w:rPr>
                <w:rFonts w:ascii="Arial" w:hAnsi="Arial" w:eastAsia="Arial" w:cs="Arial"/>
                <w:b w:val="0"/>
                <w:bCs w:val="0"/>
                <w:sz w:val="18"/>
                <w:szCs w:val="18"/>
              </w:rPr>
              <w:t>跨境变量</w:t>
            </w:r>
          </w:p>
        </w:tc>
        <w:tc>
          <w:tcPr>
            <w:tcW w:w="1872" w:type="dxa"/>
            <w:shd w:val="clear" w:color="auto" w:fill="F2F2F2"/>
            <w:tcMar>
              <w:top w:w="50" w:type="dxa"/>
              <w:left w:w="80" w:type="dxa"/>
              <w:bottom w:w="50" w:type="dxa"/>
              <w:right w:w="80" w:type="dxa"/>
            </w:tcMar>
          </w:tcPr>
          <w:p w14:paraId="00E97783">
            <w:pPr>
              <w:spacing w:line="252" w:lineRule="auto"/>
              <w:jc w:val="left"/>
            </w:pPr>
            <w:r>
              <w:rPr>
                <w:rFonts w:ascii="Arial" w:hAnsi="Arial" w:eastAsia="Arial" w:cs="Arial"/>
                <w:b w:val="0"/>
                <w:bCs w:val="0"/>
                <w:sz w:val="18"/>
                <w:szCs w:val="18"/>
              </w:rPr>
              <w:t>多平台品牌</w:t>
            </w:r>
          </w:p>
        </w:tc>
        <w:tc>
          <w:tcPr>
            <w:tcW w:w="1872" w:type="dxa"/>
            <w:shd w:val="clear" w:color="auto" w:fill="FFEB9C"/>
            <w:tcMar>
              <w:top w:w="50" w:type="dxa"/>
              <w:left w:w="80" w:type="dxa"/>
              <w:bottom w:w="50" w:type="dxa"/>
              <w:right w:w="80" w:type="dxa"/>
            </w:tcMar>
          </w:tcPr>
          <w:p w14:paraId="68542208">
            <w:pPr>
              <w:spacing w:line="252" w:lineRule="auto"/>
              <w:jc w:val="left"/>
            </w:pPr>
            <w:r>
              <w:rPr>
                <w:rFonts w:ascii="Arial" w:hAnsi="Arial" w:eastAsia="Arial" w:cs="Arial"/>
                <w:b w:val="0"/>
                <w:bCs w:val="0"/>
                <w:color w:val="000000"/>
                <w:sz w:val="18"/>
                <w:szCs w:val="18"/>
              </w:rPr>
              <w:t>中</w:t>
            </w:r>
          </w:p>
        </w:tc>
        <w:tc>
          <w:tcPr>
            <w:tcW w:w="2434" w:type="dxa"/>
            <w:shd w:val="clear" w:color="auto" w:fill="F2F2F2"/>
            <w:tcMar>
              <w:top w:w="50" w:type="dxa"/>
              <w:left w:w="80" w:type="dxa"/>
              <w:bottom w:w="50" w:type="dxa"/>
              <w:right w:w="80" w:type="dxa"/>
            </w:tcMar>
          </w:tcPr>
          <w:p w14:paraId="4EBC6C35">
            <w:pPr>
              <w:spacing w:line="252" w:lineRule="auto"/>
              <w:jc w:val="left"/>
            </w:pPr>
            <w:r>
              <w:rPr>
                <w:rFonts w:ascii="Arial" w:hAnsi="Arial" w:eastAsia="Arial" w:cs="Arial"/>
                <w:b w:val="0"/>
                <w:bCs w:val="0"/>
                <w:sz w:val="18"/>
                <w:szCs w:val="18"/>
              </w:rPr>
              <w:t>★ 加分/外延</w:t>
            </w:r>
          </w:p>
        </w:tc>
      </w:tr>
    </w:tbl>
    <w:p w14:paraId="1DA02803">
      <w:pPr>
        <w:spacing w:before="40" w:after="160"/>
      </w:pPr>
      <w:r>
        <w:rPr>
          <w:rFonts w:ascii="Arial" w:hAnsi="Arial" w:eastAsia="Arial" w:cs="Arial"/>
          <w:i/>
          <w:iCs/>
          <w:color w:val="808080"/>
          <w:sz w:val="16"/>
          <w:szCs w:val="16"/>
        </w:rPr>
        <w:t>表 2-2：四平台服务优先级矩阵。建议以美客多为主入口，Amazon做标准化托管，TikTok Shop抢先发，Walmart作外延。</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9D4E5DD">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593B9D50">
            <w:pPr>
              <w:spacing w:after="60"/>
            </w:pPr>
            <w:r>
              <w:rPr>
                <w:rFonts w:ascii="Arial" w:hAnsi="Arial" w:eastAsia="Arial" w:cs="Arial"/>
                <w:b/>
                <w:bCs/>
                <w:color w:val="1F3864"/>
                <w:sz w:val="21"/>
                <w:szCs w:val="21"/>
              </w:rPr>
              <w:t>本章小结</w:t>
            </w:r>
          </w:p>
          <w:p w14:paraId="177B99B2">
            <w:pPr>
              <w:spacing w:after="40" w:line="276" w:lineRule="auto"/>
            </w:pPr>
            <w:r>
              <w:rPr>
                <w:rFonts w:ascii="Arial" w:hAnsi="Arial" w:eastAsia="Arial" w:cs="Arial"/>
                <w:b/>
                <w:bCs/>
                <w:sz w:val="20"/>
                <w:szCs w:val="20"/>
              </w:rPr>
              <w:t>四平台需求同源（都要主体+RFC+收款+履约+运营），但节奏与画像不同。正确策略是“以美客多为锚点建立标准化能力，再横向复用到其余三平台”，用一套合规中台服务多平台卖家，摊薄获客与交付成本。</w:t>
            </w:r>
          </w:p>
        </w:tc>
      </w:tr>
    </w:tbl>
    <w:p w14:paraId="39E0005B">
      <w:pPr>
        <w:pStyle w:val="2"/>
        <w:pageBreakBefore/>
        <w:spacing w:before="240" w:after="160"/>
      </w:pPr>
      <w:r>
        <w:rPr>
          <w:rFonts w:ascii="Arial" w:hAnsi="Arial" w:eastAsia="Arial" w:cs="Arial"/>
          <w:b/>
          <w:bCs/>
          <w:color w:val="1F3864"/>
          <w:sz w:val="30"/>
          <w:szCs w:val="30"/>
        </w:rPr>
        <w:t>第三章　墨西哥税务制度深度解析（SAT / RFC / IVA / ISR / CFDI）</w:t>
      </w:r>
    </w:p>
    <w:p w14:paraId="566B5250">
      <w:pPr>
        <w:spacing w:after="140" w:line="288" w:lineRule="auto"/>
        <w:jc w:val="both"/>
      </w:pPr>
      <w:r>
        <w:rPr>
          <w:rFonts w:ascii="Arial" w:hAnsi="Arial" w:eastAsia="Arial" w:cs="Arial"/>
          <w:sz w:val="21"/>
          <w:szCs w:val="21"/>
        </w:rPr>
        <w:t>这一章是整个生意的技术底座。你必须比客户更懂——不仅懂规则，更懂规则背后的计算逻辑与常见误区。以下内容以2026新政为主线，术语中英对照。</w:t>
      </w:r>
    </w:p>
    <w:p w14:paraId="0EB6EA21">
      <w:pPr>
        <w:pStyle w:val="3"/>
        <w:spacing w:before="220" w:after="120"/>
      </w:pPr>
      <w:r>
        <w:rPr>
          <w:rFonts w:ascii="Arial" w:hAnsi="Arial" w:eastAsia="Arial" w:cs="Arial"/>
          <w:b/>
          <w:bCs/>
          <w:color w:val="2E5496"/>
          <w:sz w:val="25"/>
          <w:szCs w:val="25"/>
        </w:rPr>
        <w:t>3.1　监管机构与核心概念</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176"/>
        <w:gridCol w:w="3331"/>
        <w:gridCol w:w="5291"/>
      </w:tblGrid>
      <w:tr w14:paraId="1A197D7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123" w:type="dxa"/>
            <w:shd w:val="clear" w:color="auto" w:fill="1F3864"/>
            <w:tcMar>
              <w:top w:w="60" w:type="dxa"/>
              <w:left w:w="80" w:type="dxa"/>
              <w:bottom w:w="60" w:type="dxa"/>
              <w:right w:w="80" w:type="dxa"/>
            </w:tcMar>
          </w:tcPr>
          <w:p w14:paraId="12A362BB">
            <w:pPr>
              <w:jc w:val="center"/>
            </w:pPr>
            <w:r>
              <w:rPr>
                <w:rFonts w:ascii="Arial" w:hAnsi="Arial" w:eastAsia="Arial" w:cs="Arial"/>
                <w:b/>
                <w:bCs/>
                <w:color w:val="FFFFFF"/>
                <w:sz w:val="18"/>
                <w:szCs w:val="18"/>
              </w:rPr>
              <w:t>术语</w:t>
            </w:r>
          </w:p>
        </w:tc>
        <w:tc>
          <w:tcPr>
            <w:tcW w:w="3182" w:type="dxa"/>
            <w:shd w:val="clear" w:color="auto" w:fill="1F3864"/>
            <w:tcMar>
              <w:top w:w="60" w:type="dxa"/>
              <w:left w:w="80" w:type="dxa"/>
              <w:bottom w:w="60" w:type="dxa"/>
              <w:right w:w="80" w:type="dxa"/>
            </w:tcMar>
          </w:tcPr>
          <w:p w14:paraId="3DE602E8">
            <w:pPr>
              <w:jc w:val="center"/>
            </w:pPr>
            <w:r>
              <w:rPr>
                <w:rFonts w:ascii="Arial" w:hAnsi="Arial" w:eastAsia="Arial" w:cs="Arial"/>
                <w:b/>
                <w:bCs/>
                <w:color w:val="FFFFFF"/>
                <w:sz w:val="18"/>
                <w:szCs w:val="18"/>
              </w:rPr>
              <w:t>全称 / 英文</w:t>
            </w:r>
          </w:p>
        </w:tc>
        <w:tc>
          <w:tcPr>
            <w:tcW w:w="5054" w:type="dxa"/>
            <w:shd w:val="clear" w:color="auto" w:fill="1F3864"/>
            <w:tcMar>
              <w:top w:w="60" w:type="dxa"/>
              <w:left w:w="80" w:type="dxa"/>
              <w:bottom w:w="60" w:type="dxa"/>
              <w:right w:w="80" w:type="dxa"/>
            </w:tcMar>
          </w:tcPr>
          <w:p w14:paraId="5B51A9C2">
            <w:pPr>
              <w:jc w:val="center"/>
            </w:pPr>
            <w:r>
              <w:rPr>
                <w:rFonts w:ascii="Arial" w:hAnsi="Arial" w:eastAsia="Arial" w:cs="Arial"/>
                <w:b/>
                <w:bCs/>
                <w:color w:val="FFFFFF"/>
                <w:sz w:val="18"/>
                <w:szCs w:val="18"/>
              </w:rPr>
              <w:t>含义</w:t>
            </w:r>
          </w:p>
        </w:tc>
      </w:tr>
      <w:tr w14:paraId="41CE07E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FFFFF"/>
            <w:tcMar>
              <w:top w:w="50" w:type="dxa"/>
              <w:left w:w="80" w:type="dxa"/>
              <w:bottom w:w="50" w:type="dxa"/>
              <w:right w:w="80" w:type="dxa"/>
            </w:tcMar>
          </w:tcPr>
          <w:p w14:paraId="2AF48808">
            <w:pPr>
              <w:spacing w:line="252" w:lineRule="auto"/>
              <w:jc w:val="left"/>
            </w:pPr>
            <w:r>
              <w:rPr>
                <w:rFonts w:ascii="Arial" w:hAnsi="Arial" w:eastAsia="Arial" w:cs="Arial"/>
                <w:b/>
                <w:bCs/>
                <w:color w:val="000000"/>
                <w:sz w:val="18"/>
                <w:szCs w:val="18"/>
              </w:rPr>
              <w:t>SAT</w:t>
            </w:r>
          </w:p>
        </w:tc>
        <w:tc>
          <w:tcPr>
            <w:tcW w:w="3182" w:type="dxa"/>
            <w:shd w:val="clear" w:color="auto" w:fill="FFFFFF"/>
            <w:tcMar>
              <w:top w:w="50" w:type="dxa"/>
              <w:left w:w="80" w:type="dxa"/>
              <w:bottom w:w="50" w:type="dxa"/>
              <w:right w:w="80" w:type="dxa"/>
            </w:tcMar>
          </w:tcPr>
          <w:p w14:paraId="44B7F746">
            <w:pPr>
              <w:spacing w:line="252" w:lineRule="auto"/>
              <w:jc w:val="left"/>
            </w:pPr>
            <w:r>
              <w:rPr>
                <w:rFonts w:ascii="Arial" w:hAnsi="Arial" w:eastAsia="Arial" w:cs="Arial"/>
                <w:b w:val="0"/>
                <w:bCs w:val="0"/>
                <w:sz w:val="18"/>
                <w:szCs w:val="18"/>
              </w:rPr>
              <w:t>Servicio de Administración Tributaria</w:t>
            </w:r>
          </w:p>
        </w:tc>
        <w:tc>
          <w:tcPr>
            <w:tcW w:w="5054" w:type="dxa"/>
            <w:shd w:val="clear" w:color="auto" w:fill="FFFFFF"/>
            <w:tcMar>
              <w:top w:w="50" w:type="dxa"/>
              <w:left w:w="80" w:type="dxa"/>
              <w:bottom w:w="50" w:type="dxa"/>
              <w:right w:w="80" w:type="dxa"/>
            </w:tcMar>
          </w:tcPr>
          <w:p w14:paraId="00EADAD2">
            <w:pPr>
              <w:spacing w:line="252" w:lineRule="auto"/>
              <w:jc w:val="left"/>
            </w:pPr>
            <w:r>
              <w:rPr>
                <w:rFonts w:ascii="Arial" w:hAnsi="Arial" w:eastAsia="Arial" w:cs="Arial"/>
                <w:b w:val="0"/>
                <w:bCs w:val="0"/>
                <w:sz w:val="18"/>
                <w:szCs w:val="18"/>
              </w:rPr>
              <w:t>墨西哥税务局，相当于美国IRS</w:t>
            </w:r>
          </w:p>
        </w:tc>
      </w:tr>
      <w:tr w14:paraId="2232AAB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2F2F2"/>
            <w:tcMar>
              <w:top w:w="50" w:type="dxa"/>
              <w:left w:w="80" w:type="dxa"/>
              <w:bottom w:w="50" w:type="dxa"/>
              <w:right w:w="80" w:type="dxa"/>
            </w:tcMar>
          </w:tcPr>
          <w:p w14:paraId="48E3D5CC">
            <w:pPr>
              <w:spacing w:line="252" w:lineRule="auto"/>
              <w:jc w:val="left"/>
            </w:pPr>
            <w:r>
              <w:rPr>
                <w:rFonts w:ascii="Arial" w:hAnsi="Arial" w:eastAsia="Arial" w:cs="Arial"/>
                <w:b/>
                <w:bCs/>
                <w:color w:val="000000"/>
                <w:sz w:val="18"/>
                <w:szCs w:val="18"/>
              </w:rPr>
              <w:t>RFC</w:t>
            </w:r>
          </w:p>
        </w:tc>
        <w:tc>
          <w:tcPr>
            <w:tcW w:w="3182" w:type="dxa"/>
            <w:shd w:val="clear" w:color="auto" w:fill="F2F2F2"/>
            <w:tcMar>
              <w:top w:w="50" w:type="dxa"/>
              <w:left w:w="80" w:type="dxa"/>
              <w:bottom w:w="50" w:type="dxa"/>
              <w:right w:w="80" w:type="dxa"/>
            </w:tcMar>
          </w:tcPr>
          <w:p w14:paraId="2FEB0F26">
            <w:pPr>
              <w:spacing w:line="252" w:lineRule="auto"/>
              <w:jc w:val="left"/>
            </w:pPr>
            <w:r>
              <w:rPr>
                <w:rFonts w:ascii="Arial" w:hAnsi="Arial" w:eastAsia="Arial" w:cs="Arial"/>
                <w:b w:val="0"/>
                <w:bCs w:val="0"/>
                <w:sz w:val="18"/>
                <w:szCs w:val="18"/>
              </w:rPr>
              <w:t>Registro Federal de Contribuyentes</w:t>
            </w:r>
          </w:p>
        </w:tc>
        <w:tc>
          <w:tcPr>
            <w:tcW w:w="5054" w:type="dxa"/>
            <w:shd w:val="clear" w:color="auto" w:fill="F2F2F2"/>
            <w:tcMar>
              <w:top w:w="50" w:type="dxa"/>
              <w:left w:w="80" w:type="dxa"/>
              <w:bottom w:w="50" w:type="dxa"/>
              <w:right w:w="80" w:type="dxa"/>
            </w:tcMar>
          </w:tcPr>
          <w:p w14:paraId="09CAA42F">
            <w:pPr>
              <w:spacing w:line="252" w:lineRule="auto"/>
              <w:jc w:val="left"/>
            </w:pPr>
            <w:r>
              <w:rPr>
                <w:rFonts w:ascii="Arial" w:hAnsi="Arial" w:eastAsia="Arial" w:cs="Arial"/>
                <w:b w:val="0"/>
                <w:bCs w:val="0"/>
                <w:sz w:val="18"/>
                <w:szCs w:val="18"/>
              </w:rPr>
              <w:t>联邦纳税人登记号（税务识别码）</w:t>
            </w:r>
          </w:p>
        </w:tc>
      </w:tr>
      <w:tr w14:paraId="588A615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FFFFF"/>
            <w:tcMar>
              <w:top w:w="50" w:type="dxa"/>
              <w:left w:w="80" w:type="dxa"/>
              <w:bottom w:w="50" w:type="dxa"/>
              <w:right w:w="80" w:type="dxa"/>
            </w:tcMar>
          </w:tcPr>
          <w:p w14:paraId="410D5366">
            <w:pPr>
              <w:spacing w:line="252" w:lineRule="auto"/>
              <w:jc w:val="left"/>
            </w:pPr>
            <w:r>
              <w:rPr>
                <w:rFonts w:ascii="Arial" w:hAnsi="Arial" w:eastAsia="Arial" w:cs="Arial"/>
                <w:b/>
                <w:bCs/>
                <w:color w:val="000000"/>
                <w:sz w:val="18"/>
                <w:szCs w:val="18"/>
              </w:rPr>
              <w:t>IVA</w:t>
            </w:r>
          </w:p>
        </w:tc>
        <w:tc>
          <w:tcPr>
            <w:tcW w:w="3182" w:type="dxa"/>
            <w:shd w:val="clear" w:color="auto" w:fill="FFFFFF"/>
            <w:tcMar>
              <w:top w:w="50" w:type="dxa"/>
              <w:left w:w="80" w:type="dxa"/>
              <w:bottom w:w="50" w:type="dxa"/>
              <w:right w:w="80" w:type="dxa"/>
            </w:tcMar>
          </w:tcPr>
          <w:p w14:paraId="07B30C1C">
            <w:pPr>
              <w:spacing w:line="252" w:lineRule="auto"/>
              <w:jc w:val="left"/>
            </w:pPr>
            <w:r>
              <w:rPr>
                <w:rFonts w:ascii="Arial" w:hAnsi="Arial" w:eastAsia="Arial" w:cs="Arial"/>
                <w:b w:val="0"/>
                <w:bCs w:val="0"/>
                <w:sz w:val="18"/>
                <w:szCs w:val="18"/>
              </w:rPr>
              <w:t>Impuesto al Valor Agregado (VAT)</w:t>
            </w:r>
          </w:p>
        </w:tc>
        <w:tc>
          <w:tcPr>
            <w:tcW w:w="5054" w:type="dxa"/>
            <w:shd w:val="clear" w:color="auto" w:fill="FFFFFF"/>
            <w:tcMar>
              <w:top w:w="50" w:type="dxa"/>
              <w:left w:w="80" w:type="dxa"/>
              <w:bottom w:w="50" w:type="dxa"/>
              <w:right w:w="80" w:type="dxa"/>
            </w:tcMar>
          </w:tcPr>
          <w:p w14:paraId="0818AEF0">
            <w:pPr>
              <w:spacing w:line="252" w:lineRule="auto"/>
              <w:jc w:val="left"/>
            </w:pPr>
            <w:r>
              <w:rPr>
                <w:rFonts w:ascii="Arial" w:hAnsi="Arial" w:eastAsia="Arial" w:cs="Arial"/>
                <w:b w:val="0"/>
                <w:bCs w:val="0"/>
                <w:sz w:val="18"/>
                <w:szCs w:val="18"/>
              </w:rPr>
              <w:t>增值税，标准税率16%（边境区8%）</w:t>
            </w:r>
          </w:p>
        </w:tc>
      </w:tr>
      <w:tr w14:paraId="79C5FD3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2F2F2"/>
            <w:tcMar>
              <w:top w:w="50" w:type="dxa"/>
              <w:left w:w="80" w:type="dxa"/>
              <w:bottom w:w="50" w:type="dxa"/>
              <w:right w:w="80" w:type="dxa"/>
            </w:tcMar>
          </w:tcPr>
          <w:p w14:paraId="1B9D5B7D">
            <w:pPr>
              <w:spacing w:line="252" w:lineRule="auto"/>
              <w:jc w:val="left"/>
            </w:pPr>
            <w:r>
              <w:rPr>
                <w:rFonts w:ascii="Arial" w:hAnsi="Arial" w:eastAsia="Arial" w:cs="Arial"/>
                <w:b/>
                <w:bCs/>
                <w:color w:val="000000"/>
                <w:sz w:val="18"/>
                <w:szCs w:val="18"/>
              </w:rPr>
              <w:t>ISR</w:t>
            </w:r>
          </w:p>
        </w:tc>
        <w:tc>
          <w:tcPr>
            <w:tcW w:w="3182" w:type="dxa"/>
            <w:shd w:val="clear" w:color="auto" w:fill="F2F2F2"/>
            <w:tcMar>
              <w:top w:w="50" w:type="dxa"/>
              <w:left w:w="80" w:type="dxa"/>
              <w:bottom w:w="50" w:type="dxa"/>
              <w:right w:w="80" w:type="dxa"/>
            </w:tcMar>
          </w:tcPr>
          <w:p w14:paraId="1CA8D985">
            <w:pPr>
              <w:spacing w:line="252" w:lineRule="auto"/>
              <w:jc w:val="left"/>
            </w:pPr>
            <w:r>
              <w:rPr>
                <w:rFonts w:ascii="Arial" w:hAnsi="Arial" w:eastAsia="Arial" w:cs="Arial"/>
                <w:b w:val="0"/>
                <w:bCs w:val="0"/>
                <w:sz w:val="18"/>
                <w:szCs w:val="18"/>
              </w:rPr>
              <w:t>Impuesto Sobre la Renta (Income Tax)</w:t>
            </w:r>
          </w:p>
        </w:tc>
        <w:tc>
          <w:tcPr>
            <w:tcW w:w="5054" w:type="dxa"/>
            <w:shd w:val="clear" w:color="auto" w:fill="F2F2F2"/>
            <w:tcMar>
              <w:top w:w="50" w:type="dxa"/>
              <w:left w:w="80" w:type="dxa"/>
              <w:bottom w:w="50" w:type="dxa"/>
              <w:right w:w="80" w:type="dxa"/>
            </w:tcMar>
          </w:tcPr>
          <w:p w14:paraId="0E3D6FF0">
            <w:pPr>
              <w:spacing w:line="252" w:lineRule="auto"/>
              <w:jc w:val="left"/>
            </w:pPr>
            <w:r>
              <w:rPr>
                <w:rFonts w:ascii="Arial" w:hAnsi="Arial" w:eastAsia="Arial" w:cs="Arial"/>
                <w:b w:val="0"/>
                <w:bCs w:val="0"/>
                <w:sz w:val="18"/>
                <w:szCs w:val="18"/>
              </w:rPr>
              <w:t>所得税</w:t>
            </w:r>
          </w:p>
        </w:tc>
      </w:tr>
      <w:tr w14:paraId="550D7EF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FFFFF"/>
            <w:tcMar>
              <w:top w:w="50" w:type="dxa"/>
              <w:left w:w="80" w:type="dxa"/>
              <w:bottom w:w="50" w:type="dxa"/>
              <w:right w:w="80" w:type="dxa"/>
            </w:tcMar>
          </w:tcPr>
          <w:p w14:paraId="01D3F357">
            <w:pPr>
              <w:spacing w:line="252" w:lineRule="auto"/>
              <w:jc w:val="left"/>
            </w:pPr>
            <w:r>
              <w:rPr>
                <w:rFonts w:ascii="Arial" w:hAnsi="Arial" w:eastAsia="Arial" w:cs="Arial"/>
                <w:b/>
                <w:bCs/>
                <w:color w:val="000000"/>
                <w:sz w:val="18"/>
                <w:szCs w:val="18"/>
              </w:rPr>
              <w:t>CFDI</w:t>
            </w:r>
          </w:p>
        </w:tc>
        <w:tc>
          <w:tcPr>
            <w:tcW w:w="3182" w:type="dxa"/>
            <w:shd w:val="clear" w:color="auto" w:fill="FFFFFF"/>
            <w:tcMar>
              <w:top w:w="50" w:type="dxa"/>
              <w:left w:w="80" w:type="dxa"/>
              <w:bottom w:w="50" w:type="dxa"/>
              <w:right w:w="80" w:type="dxa"/>
            </w:tcMar>
          </w:tcPr>
          <w:p w14:paraId="07DC517D">
            <w:pPr>
              <w:spacing w:line="252" w:lineRule="auto"/>
              <w:jc w:val="left"/>
            </w:pPr>
            <w:r>
              <w:rPr>
                <w:rFonts w:ascii="Arial" w:hAnsi="Arial" w:eastAsia="Arial" w:cs="Arial"/>
                <w:b w:val="0"/>
                <w:bCs w:val="0"/>
                <w:sz w:val="18"/>
                <w:szCs w:val="18"/>
              </w:rPr>
              <w:t>Comprobante Fiscal Digital por Internet</w:t>
            </w:r>
          </w:p>
        </w:tc>
        <w:tc>
          <w:tcPr>
            <w:tcW w:w="5054" w:type="dxa"/>
            <w:shd w:val="clear" w:color="auto" w:fill="FFFFFF"/>
            <w:tcMar>
              <w:top w:w="50" w:type="dxa"/>
              <w:left w:w="80" w:type="dxa"/>
              <w:bottom w:w="50" w:type="dxa"/>
              <w:right w:w="80" w:type="dxa"/>
            </w:tcMar>
          </w:tcPr>
          <w:p w14:paraId="38D97F85">
            <w:pPr>
              <w:spacing w:line="252" w:lineRule="auto"/>
              <w:jc w:val="left"/>
            </w:pPr>
            <w:r>
              <w:rPr>
                <w:rFonts w:ascii="Arial" w:hAnsi="Arial" w:eastAsia="Arial" w:cs="Arial"/>
                <w:b w:val="0"/>
                <w:bCs w:val="0"/>
                <w:sz w:val="18"/>
                <w:szCs w:val="18"/>
              </w:rPr>
              <w:t>官方电子发票（当前版本4.0）</w:t>
            </w:r>
          </w:p>
        </w:tc>
      </w:tr>
      <w:tr w14:paraId="3EF9E8F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2F2F2"/>
            <w:tcMar>
              <w:top w:w="50" w:type="dxa"/>
              <w:left w:w="80" w:type="dxa"/>
              <w:bottom w:w="50" w:type="dxa"/>
              <w:right w:w="80" w:type="dxa"/>
            </w:tcMar>
          </w:tcPr>
          <w:p w14:paraId="7F80658D">
            <w:pPr>
              <w:spacing w:line="252" w:lineRule="auto"/>
              <w:jc w:val="left"/>
            </w:pPr>
            <w:r>
              <w:rPr>
                <w:rFonts w:ascii="Arial" w:hAnsi="Arial" w:eastAsia="Arial" w:cs="Arial"/>
                <w:b/>
                <w:bCs/>
                <w:color w:val="000000"/>
                <w:sz w:val="18"/>
                <w:szCs w:val="18"/>
              </w:rPr>
              <w:t>PAC</w:t>
            </w:r>
          </w:p>
        </w:tc>
        <w:tc>
          <w:tcPr>
            <w:tcW w:w="3182" w:type="dxa"/>
            <w:shd w:val="clear" w:color="auto" w:fill="F2F2F2"/>
            <w:tcMar>
              <w:top w:w="50" w:type="dxa"/>
              <w:left w:w="80" w:type="dxa"/>
              <w:bottom w:w="50" w:type="dxa"/>
              <w:right w:w="80" w:type="dxa"/>
            </w:tcMar>
          </w:tcPr>
          <w:p w14:paraId="7BA4984A">
            <w:pPr>
              <w:spacing w:line="252" w:lineRule="auto"/>
              <w:jc w:val="left"/>
            </w:pPr>
            <w:r>
              <w:rPr>
                <w:rFonts w:ascii="Arial" w:hAnsi="Arial" w:eastAsia="Arial" w:cs="Arial"/>
                <w:b w:val="0"/>
                <w:bCs w:val="0"/>
                <w:sz w:val="18"/>
                <w:szCs w:val="18"/>
              </w:rPr>
              <w:t>Proveedor Autorizado de Certificación</w:t>
            </w:r>
          </w:p>
        </w:tc>
        <w:tc>
          <w:tcPr>
            <w:tcW w:w="5054" w:type="dxa"/>
            <w:shd w:val="clear" w:color="auto" w:fill="F2F2F2"/>
            <w:tcMar>
              <w:top w:w="50" w:type="dxa"/>
              <w:left w:w="80" w:type="dxa"/>
              <w:bottom w:w="50" w:type="dxa"/>
              <w:right w:w="80" w:type="dxa"/>
            </w:tcMar>
          </w:tcPr>
          <w:p w14:paraId="15512A29">
            <w:pPr>
              <w:spacing w:line="252" w:lineRule="auto"/>
              <w:jc w:val="left"/>
            </w:pPr>
            <w:r>
              <w:rPr>
                <w:rFonts w:ascii="Arial" w:hAnsi="Arial" w:eastAsia="Arial" w:cs="Arial"/>
                <w:b w:val="0"/>
                <w:bCs w:val="0"/>
                <w:sz w:val="18"/>
                <w:szCs w:val="18"/>
              </w:rPr>
              <w:t>SAT授权的发票认证/盖章服务商</w:t>
            </w:r>
          </w:p>
        </w:tc>
      </w:tr>
      <w:tr w14:paraId="5856D2B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FFFFF"/>
            <w:tcMar>
              <w:top w:w="50" w:type="dxa"/>
              <w:left w:w="80" w:type="dxa"/>
              <w:bottom w:w="50" w:type="dxa"/>
              <w:right w:w="80" w:type="dxa"/>
            </w:tcMar>
          </w:tcPr>
          <w:p w14:paraId="6B49F223">
            <w:pPr>
              <w:spacing w:line="252" w:lineRule="auto"/>
              <w:jc w:val="left"/>
            </w:pPr>
            <w:r>
              <w:rPr>
                <w:rFonts w:ascii="Arial" w:hAnsi="Arial" w:eastAsia="Arial" w:cs="Arial"/>
                <w:b/>
                <w:bCs/>
                <w:color w:val="000000"/>
                <w:sz w:val="18"/>
                <w:szCs w:val="18"/>
              </w:rPr>
              <w:t>CURP</w:t>
            </w:r>
          </w:p>
        </w:tc>
        <w:tc>
          <w:tcPr>
            <w:tcW w:w="3182" w:type="dxa"/>
            <w:shd w:val="clear" w:color="auto" w:fill="FFFFFF"/>
            <w:tcMar>
              <w:top w:w="50" w:type="dxa"/>
              <w:left w:w="80" w:type="dxa"/>
              <w:bottom w:w="50" w:type="dxa"/>
              <w:right w:w="80" w:type="dxa"/>
            </w:tcMar>
          </w:tcPr>
          <w:p w14:paraId="41D6C36F">
            <w:pPr>
              <w:spacing w:line="252" w:lineRule="auto"/>
              <w:jc w:val="left"/>
            </w:pPr>
            <w:r>
              <w:rPr>
                <w:rFonts w:ascii="Arial" w:hAnsi="Arial" w:eastAsia="Arial" w:cs="Arial"/>
                <w:b w:val="0"/>
                <w:bCs w:val="0"/>
                <w:sz w:val="18"/>
                <w:szCs w:val="18"/>
              </w:rPr>
              <w:t>Clave Única de Registro de Población</w:t>
            </w:r>
          </w:p>
        </w:tc>
        <w:tc>
          <w:tcPr>
            <w:tcW w:w="5054" w:type="dxa"/>
            <w:shd w:val="clear" w:color="auto" w:fill="FFFFFF"/>
            <w:tcMar>
              <w:top w:w="50" w:type="dxa"/>
              <w:left w:w="80" w:type="dxa"/>
              <w:bottom w:w="50" w:type="dxa"/>
              <w:right w:w="80" w:type="dxa"/>
            </w:tcMar>
          </w:tcPr>
          <w:p w14:paraId="651C5FBE">
            <w:pPr>
              <w:spacing w:line="252" w:lineRule="auto"/>
              <w:jc w:val="left"/>
            </w:pPr>
            <w:r>
              <w:rPr>
                <w:rFonts w:ascii="Arial" w:hAnsi="Arial" w:eastAsia="Arial" w:cs="Arial"/>
                <w:b w:val="0"/>
                <w:bCs w:val="0"/>
                <w:sz w:val="18"/>
                <w:szCs w:val="18"/>
              </w:rPr>
              <w:t>人口唯一登记码，个人RFC的前置</w:t>
            </w:r>
          </w:p>
        </w:tc>
      </w:tr>
      <w:tr w14:paraId="14F1804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2F2F2"/>
            <w:tcMar>
              <w:top w:w="50" w:type="dxa"/>
              <w:left w:w="80" w:type="dxa"/>
              <w:bottom w:w="50" w:type="dxa"/>
              <w:right w:w="80" w:type="dxa"/>
            </w:tcMar>
          </w:tcPr>
          <w:p w14:paraId="6F3F0400">
            <w:pPr>
              <w:spacing w:line="252" w:lineRule="auto"/>
              <w:jc w:val="left"/>
            </w:pPr>
            <w:r>
              <w:rPr>
                <w:rFonts w:ascii="Arial" w:hAnsi="Arial" w:eastAsia="Arial" w:cs="Arial"/>
                <w:b/>
                <w:bCs/>
                <w:color w:val="000000"/>
                <w:sz w:val="18"/>
                <w:szCs w:val="18"/>
              </w:rPr>
              <w:t>e.firma</w:t>
            </w:r>
          </w:p>
        </w:tc>
        <w:tc>
          <w:tcPr>
            <w:tcW w:w="3182" w:type="dxa"/>
            <w:shd w:val="clear" w:color="auto" w:fill="F2F2F2"/>
            <w:tcMar>
              <w:top w:w="50" w:type="dxa"/>
              <w:left w:w="80" w:type="dxa"/>
              <w:bottom w:w="50" w:type="dxa"/>
              <w:right w:w="80" w:type="dxa"/>
            </w:tcMar>
          </w:tcPr>
          <w:p w14:paraId="2C290165">
            <w:pPr>
              <w:spacing w:line="252" w:lineRule="auto"/>
              <w:jc w:val="left"/>
            </w:pPr>
            <w:r>
              <w:rPr>
                <w:rFonts w:ascii="Arial" w:hAnsi="Arial" w:eastAsia="Arial" w:cs="Arial"/>
                <w:b w:val="0"/>
                <w:bCs w:val="0"/>
                <w:sz w:val="18"/>
                <w:szCs w:val="18"/>
              </w:rPr>
              <w:t>Firma Electrónica</w:t>
            </w:r>
          </w:p>
        </w:tc>
        <w:tc>
          <w:tcPr>
            <w:tcW w:w="5054" w:type="dxa"/>
            <w:shd w:val="clear" w:color="auto" w:fill="F2F2F2"/>
            <w:tcMar>
              <w:top w:w="50" w:type="dxa"/>
              <w:left w:w="80" w:type="dxa"/>
              <w:bottom w:w="50" w:type="dxa"/>
              <w:right w:w="80" w:type="dxa"/>
            </w:tcMar>
          </w:tcPr>
          <w:p w14:paraId="46AA8A98">
            <w:pPr>
              <w:spacing w:line="252" w:lineRule="auto"/>
              <w:jc w:val="left"/>
            </w:pPr>
            <w:r>
              <w:rPr>
                <w:rFonts w:ascii="Arial" w:hAnsi="Arial" w:eastAsia="Arial" w:cs="Arial"/>
                <w:b w:val="0"/>
                <w:bCs w:val="0"/>
                <w:sz w:val="18"/>
                <w:szCs w:val="18"/>
              </w:rPr>
              <w:t>电子签名，公司/申报操作的关键凭证</w:t>
            </w:r>
          </w:p>
        </w:tc>
      </w:tr>
    </w:tbl>
    <w:p w14:paraId="7F48F584">
      <w:pPr>
        <w:spacing w:before="40" w:after="160"/>
      </w:pPr>
      <w:r>
        <w:rPr>
          <w:rFonts w:ascii="Arial" w:hAnsi="Arial" w:eastAsia="Arial" w:cs="Arial"/>
          <w:i/>
          <w:iCs/>
          <w:color w:val="808080"/>
          <w:sz w:val="16"/>
          <w:szCs w:val="16"/>
        </w:rPr>
        <w:t>表 3-1：墨西哥税务核心术语表。</w:t>
      </w:r>
    </w:p>
    <w:p w14:paraId="2BAF3D0A">
      <w:pPr>
        <w:pStyle w:val="3"/>
        <w:spacing w:before="220" w:after="120"/>
      </w:pPr>
      <w:r>
        <w:rPr>
          <w:rFonts w:ascii="Arial" w:hAnsi="Arial" w:eastAsia="Arial" w:cs="Arial"/>
          <w:b/>
          <w:bCs/>
          <w:color w:val="2E5496"/>
          <w:sz w:val="25"/>
          <w:szCs w:val="25"/>
        </w:rPr>
        <w:t>3.2　RFC：卖家的“纳税身份证”</w:t>
      </w:r>
    </w:p>
    <w:p w14:paraId="506EAD1B">
      <w:pPr>
        <w:spacing w:after="140" w:line="288" w:lineRule="auto"/>
        <w:jc w:val="both"/>
      </w:pPr>
      <w:r>
        <w:rPr>
          <w:rFonts w:ascii="Arial" w:hAnsi="Arial" w:eastAsia="Arial" w:cs="Arial"/>
          <w:sz w:val="21"/>
          <w:szCs w:val="21"/>
        </w:rPr>
        <w:t>RFC是所有在墨西哥开展业务或有收入的个人和公司必须注册的税务识别号（个人13位、公司12位，由字母与数字组成）。对跨境卖家，只要在墨西哥境内备货（官方仓或第三方海外仓）并产生销售，就落入必须注册RFC的范畴。截至2025年中，SAT登记的境外数字服务提供商已从2023年的201家增至260家，跨境合规范围持续扩大。</w:t>
      </w:r>
    </w:p>
    <w:p w14:paraId="7BB8C93E">
      <w:pPr>
        <w:pStyle w:val="3"/>
        <w:spacing w:before="220" w:after="120"/>
      </w:pPr>
      <w:r>
        <w:rPr>
          <w:rFonts w:ascii="Arial" w:hAnsi="Arial" w:eastAsia="Arial" w:cs="Arial"/>
          <w:b/>
          <w:bCs/>
          <w:color w:val="2E5496"/>
          <w:sz w:val="25"/>
          <w:szCs w:val="25"/>
        </w:rPr>
        <w:t>3.3　2026电商税务新政：三变量决定预扣率</w:t>
      </w:r>
    </w:p>
    <w:p w14:paraId="258161D2">
      <w:pPr>
        <w:spacing w:after="140" w:line="288" w:lineRule="auto"/>
        <w:jc w:val="both"/>
      </w:pPr>
      <w:r>
        <w:rPr>
          <w:rFonts w:ascii="Arial" w:hAnsi="Arial" w:eastAsia="Arial" w:cs="Arial"/>
          <w:sz w:val="21"/>
          <w:szCs w:val="21"/>
        </w:rPr>
        <w:t>2026年1月1日起，平台必须对在墨仓储并销售的卖家代扣所得税（ISR）与增值税（IVA）。预扣率不由“本土店/跨境店”决定，而由三个变量综合计算：</w:t>
      </w:r>
    </w:p>
    <w:p w14:paraId="70B83D1C">
      <w:pPr>
        <w:pStyle w:val="16"/>
        <w:numPr>
          <w:ilvl w:val="0"/>
          <w:numId w:val="3"/>
        </w:numPr>
        <w:spacing w:after="70" w:line="276" w:lineRule="auto"/>
      </w:pPr>
      <w:r>
        <w:rPr>
          <w:rFonts w:ascii="Arial" w:hAnsi="Arial" w:eastAsia="Arial" w:cs="Arial"/>
          <w:sz w:val="21"/>
          <w:szCs w:val="21"/>
        </w:rPr>
        <w:t>有无有效RFC</w:t>
      </w:r>
    </w:p>
    <w:p w14:paraId="2B4451FF">
      <w:pPr>
        <w:pStyle w:val="16"/>
        <w:numPr>
          <w:ilvl w:val="0"/>
          <w:numId w:val="3"/>
        </w:numPr>
        <w:spacing w:after="70" w:line="276" w:lineRule="auto"/>
      </w:pPr>
      <w:r>
        <w:rPr>
          <w:rFonts w:ascii="Arial" w:hAnsi="Arial" w:eastAsia="Arial" w:cs="Arial"/>
          <w:sz w:val="21"/>
          <w:szCs w:val="21"/>
        </w:rPr>
        <w:t>是否本土主体（有无墨西哥常设机构）</w:t>
      </w:r>
    </w:p>
    <w:p w14:paraId="7449425D">
      <w:pPr>
        <w:pStyle w:val="16"/>
        <w:numPr>
          <w:ilvl w:val="0"/>
          <w:numId w:val="3"/>
        </w:numPr>
        <w:spacing w:after="70" w:line="276" w:lineRule="auto"/>
      </w:pPr>
      <w:r>
        <w:rPr>
          <w:rFonts w:ascii="Arial" w:hAnsi="Arial" w:eastAsia="Arial" w:cs="Arial"/>
          <w:sz w:val="21"/>
          <w:szCs w:val="21"/>
        </w:rPr>
        <w:t>收款账户是否在墨西哥境内</w:t>
      </w:r>
    </w:p>
    <w:p w14:paraId="67E2F5A1">
      <w:pPr>
        <w:spacing w:after="40"/>
      </w:pP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547"/>
        <w:gridCol w:w="1176"/>
        <w:gridCol w:w="1176"/>
        <w:gridCol w:w="1371"/>
        <w:gridCol w:w="3528"/>
      </w:tblGrid>
      <w:tr w14:paraId="3894439F">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434" w:type="dxa"/>
            <w:shd w:val="clear" w:color="auto" w:fill="1F3864"/>
            <w:tcMar>
              <w:top w:w="60" w:type="dxa"/>
              <w:left w:w="80" w:type="dxa"/>
              <w:bottom w:w="60" w:type="dxa"/>
              <w:right w:w="80" w:type="dxa"/>
            </w:tcMar>
          </w:tcPr>
          <w:p w14:paraId="2FAD70CB">
            <w:pPr>
              <w:jc w:val="center"/>
            </w:pPr>
            <w:r>
              <w:rPr>
                <w:rFonts w:ascii="Arial" w:hAnsi="Arial" w:eastAsia="Arial" w:cs="Arial"/>
                <w:b/>
                <w:bCs/>
                <w:color w:val="FFFFFF"/>
                <w:sz w:val="18"/>
                <w:szCs w:val="18"/>
              </w:rPr>
              <w:t>卖家配置</w:t>
            </w:r>
          </w:p>
        </w:tc>
        <w:tc>
          <w:tcPr>
            <w:tcW w:w="1123" w:type="dxa"/>
            <w:shd w:val="clear" w:color="auto" w:fill="1F3864"/>
            <w:tcMar>
              <w:top w:w="60" w:type="dxa"/>
              <w:left w:w="80" w:type="dxa"/>
              <w:bottom w:w="60" w:type="dxa"/>
              <w:right w:w="80" w:type="dxa"/>
            </w:tcMar>
          </w:tcPr>
          <w:p w14:paraId="47CFF4E9">
            <w:pPr>
              <w:jc w:val="center"/>
            </w:pPr>
            <w:r>
              <w:rPr>
                <w:rFonts w:ascii="Arial" w:hAnsi="Arial" w:eastAsia="Arial" w:cs="Arial"/>
                <w:b/>
                <w:bCs/>
                <w:color w:val="FFFFFF"/>
                <w:sz w:val="18"/>
                <w:szCs w:val="18"/>
              </w:rPr>
              <w:t>所得税 ISR</w:t>
            </w:r>
          </w:p>
        </w:tc>
        <w:tc>
          <w:tcPr>
            <w:tcW w:w="1123" w:type="dxa"/>
            <w:shd w:val="clear" w:color="auto" w:fill="1F3864"/>
            <w:tcMar>
              <w:top w:w="60" w:type="dxa"/>
              <w:left w:w="80" w:type="dxa"/>
              <w:bottom w:w="60" w:type="dxa"/>
              <w:right w:w="80" w:type="dxa"/>
            </w:tcMar>
          </w:tcPr>
          <w:p w14:paraId="1F2C83EB">
            <w:pPr>
              <w:jc w:val="center"/>
            </w:pPr>
            <w:r>
              <w:rPr>
                <w:rFonts w:ascii="Arial" w:hAnsi="Arial" w:eastAsia="Arial" w:cs="Arial"/>
                <w:b/>
                <w:bCs/>
                <w:color w:val="FFFFFF"/>
                <w:sz w:val="18"/>
                <w:szCs w:val="18"/>
              </w:rPr>
              <w:t>增值税 IVA</w:t>
            </w:r>
          </w:p>
        </w:tc>
        <w:tc>
          <w:tcPr>
            <w:tcW w:w="1310" w:type="dxa"/>
            <w:shd w:val="clear" w:color="auto" w:fill="1F3864"/>
            <w:tcMar>
              <w:top w:w="60" w:type="dxa"/>
              <w:left w:w="80" w:type="dxa"/>
              <w:bottom w:w="60" w:type="dxa"/>
              <w:right w:w="80" w:type="dxa"/>
            </w:tcMar>
          </w:tcPr>
          <w:p w14:paraId="41D78C3B">
            <w:pPr>
              <w:jc w:val="center"/>
            </w:pPr>
            <w:r>
              <w:rPr>
                <w:rFonts w:ascii="Arial" w:hAnsi="Arial" w:eastAsia="Arial" w:cs="Arial"/>
                <w:b/>
                <w:bCs/>
                <w:color w:val="FFFFFF"/>
                <w:sz w:val="18"/>
                <w:szCs w:val="18"/>
              </w:rPr>
              <w:t>综合预扣</w:t>
            </w:r>
          </w:p>
        </w:tc>
        <w:tc>
          <w:tcPr>
            <w:tcW w:w="3370" w:type="dxa"/>
            <w:shd w:val="clear" w:color="auto" w:fill="1F3864"/>
            <w:tcMar>
              <w:top w:w="60" w:type="dxa"/>
              <w:left w:w="80" w:type="dxa"/>
              <w:bottom w:w="60" w:type="dxa"/>
              <w:right w:w="80" w:type="dxa"/>
            </w:tcMar>
          </w:tcPr>
          <w:p w14:paraId="6F763B27">
            <w:pPr>
              <w:jc w:val="center"/>
            </w:pPr>
            <w:r>
              <w:rPr>
                <w:rFonts w:ascii="Arial" w:hAnsi="Arial" w:eastAsia="Arial" w:cs="Arial"/>
                <w:b/>
                <w:bCs/>
                <w:color w:val="FFFFFF"/>
                <w:sz w:val="18"/>
                <w:szCs w:val="18"/>
              </w:rPr>
              <w:t>适用说明</w:t>
            </w:r>
          </w:p>
        </w:tc>
      </w:tr>
      <w:tr w14:paraId="1275DA6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022ED803">
            <w:pPr>
              <w:spacing w:line="252" w:lineRule="auto"/>
              <w:jc w:val="left"/>
            </w:pPr>
            <w:r>
              <w:rPr>
                <w:rFonts w:ascii="Arial" w:hAnsi="Arial" w:eastAsia="Arial" w:cs="Arial"/>
                <w:b/>
                <w:bCs/>
                <w:color w:val="000000"/>
                <w:sz w:val="17"/>
                <w:szCs w:val="17"/>
              </w:rPr>
              <w:t>无 RFC（任意情况）</w:t>
            </w:r>
          </w:p>
        </w:tc>
        <w:tc>
          <w:tcPr>
            <w:tcW w:w="1123" w:type="dxa"/>
            <w:shd w:val="clear" w:color="auto" w:fill="FFFFFF"/>
            <w:tcMar>
              <w:top w:w="50" w:type="dxa"/>
              <w:left w:w="80" w:type="dxa"/>
              <w:bottom w:w="50" w:type="dxa"/>
              <w:right w:w="80" w:type="dxa"/>
            </w:tcMar>
          </w:tcPr>
          <w:p w14:paraId="1D283274">
            <w:pPr>
              <w:spacing w:line="252" w:lineRule="auto"/>
              <w:jc w:val="left"/>
            </w:pPr>
            <w:r>
              <w:rPr>
                <w:rFonts w:ascii="Arial" w:hAnsi="Arial" w:eastAsia="Arial" w:cs="Arial"/>
                <w:b w:val="0"/>
                <w:bCs w:val="0"/>
                <w:sz w:val="17"/>
                <w:szCs w:val="17"/>
              </w:rPr>
              <w:t>20%</w:t>
            </w:r>
          </w:p>
        </w:tc>
        <w:tc>
          <w:tcPr>
            <w:tcW w:w="1123" w:type="dxa"/>
            <w:shd w:val="clear" w:color="auto" w:fill="FFFFFF"/>
            <w:tcMar>
              <w:top w:w="50" w:type="dxa"/>
              <w:left w:w="80" w:type="dxa"/>
              <w:bottom w:w="50" w:type="dxa"/>
              <w:right w:w="80" w:type="dxa"/>
            </w:tcMar>
          </w:tcPr>
          <w:p w14:paraId="349307C1">
            <w:pPr>
              <w:spacing w:line="252" w:lineRule="auto"/>
              <w:jc w:val="left"/>
            </w:pPr>
            <w:r>
              <w:rPr>
                <w:rFonts w:ascii="Arial" w:hAnsi="Arial" w:eastAsia="Arial" w:cs="Arial"/>
                <w:b w:val="0"/>
                <w:bCs w:val="0"/>
                <w:sz w:val="17"/>
                <w:szCs w:val="17"/>
              </w:rPr>
              <w:t>16%</w:t>
            </w:r>
          </w:p>
        </w:tc>
        <w:tc>
          <w:tcPr>
            <w:tcW w:w="1310" w:type="dxa"/>
            <w:shd w:val="clear" w:color="auto" w:fill="FFC7CE"/>
            <w:tcMar>
              <w:top w:w="50" w:type="dxa"/>
              <w:left w:w="80" w:type="dxa"/>
              <w:bottom w:w="50" w:type="dxa"/>
              <w:right w:w="80" w:type="dxa"/>
            </w:tcMar>
          </w:tcPr>
          <w:p w14:paraId="09A8B7A3">
            <w:pPr>
              <w:spacing w:line="252" w:lineRule="auto"/>
              <w:jc w:val="left"/>
            </w:pPr>
            <w:r>
              <w:rPr>
                <w:rFonts w:ascii="Arial" w:hAnsi="Arial" w:eastAsia="Arial" w:cs="Arial"/>
                <w:b/>
                <w:bCs/>
                <w:color w:val="9C0006"/>
                <w:sz w:val="17"/>
                <w:szCs w:val="17"/>
              </w:rPr>
              <w:t>36%</w:t>
            </w:r>
          </w:p>
        </w:tc>
        <w:tc>
          <w:tcPr>
            <w:tcW w:w="3370" w:type="dxa"/>
            <w:shd w:val="clear" w:color="auto" w:fill="FFFFFF"/>
            <w:tcMar>
              <w:top w:w="50" w:type="dxa"/>
              <w:left w:w="80" w:type="dxa"/>
              <w:bottom w:w="50" w:type="dxa"/>
              <w:right w:w="80" w:type="dxa"/>
            </w:tcMar>
          </w:tcPr>
          <w:p w14:paraId="3C8D0AE1">
            <w:pPr>
              <w:spacing w:line="252" w:lineRule="auto"/>
              <w:jc w:val="left"/>
            </w:pPr>
            <w:r>
              <w:rPr>
                <w:rFonts w:ascii="Arial" w:hAnsi="Arial" w:eastAsia="Arial" w:cs="Arial"/>
                <w:b w:val="0"/>
                <w:bCs w:val="0"/>
                <w:sz w:val="17"/>
                <w:szCs w:val="17"/>
              </w:rPr>
              <w:t>已扣不退，验证通过后才恢复</w:t>
            </w:r>
          </w:p>
        </w:tc>
      </w:tr>
      <w:tr w14:paraId="45F38CA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3F2045E9">
            <w:pPr>
              <w:spacing w:line="252" w:lineRule="auto"/>
              <w:jc w:val="left"/>
            </w:pPr>
            <w:r>
              <w:rPr>
                <w:rFonts w:ascii="Arial" w:hAnsi="Arial" w:eastAsia="Arial" w:cs="Arial"/>
                <w:sz w:val="17"/>
                <w:szCs w:val="17"/>
              </w:rPr>
              <w:t>离岸 RFC</w:t>
            </w:r>
          </w:p>
        </w:tc>
        <w:tc>
          <w:tcPr>
            <w:tcW w:w="1123" w:type="dxa"/>
            <w:shd w:val="clear" w:color="auto" w:fill="F2F2F2"/>
            <w:tcMar>
              <w:top w:w="50" w:type="dxa"/>
              <w:left w:w="80" w:type="dxa"/>
              <w:bottom w:w="50" w:type="dxa"/>
              <w:right w:w="80" w:type="dxa"/>
            </w:tcMar>
          </w:tcPr>
          <w:p w14:paraId="32DC1B58">
            <w:pPr>
              <w:spacing w:line="252" w:lineRule="auto"/>
              <w:jc w:val="left"/>
            </w:pPr>
            <w:r>
              <w:rPr>
                <w:rFonts w:ascii="Arial" w:hAnsi="Arial" w:eastAsia="Arial" w:cs="Arial"/>
                <w:b w:val="0"/>
                <w:bCs w:val="0"/>
                <w:sz w:val="17"/>
                <w:szCs w:val="17"/>
              </w:rPr>
              <w:t>—</w:t>
            </w:r>
          </w:p>
        </w:tc>
        <w:tc>
          <w:tcPr>
            <w:tcW w:w="1123" w:type="dxa"/>
            <w:shd w:val="clear" w:color="auto" w:fill="F2F2F2"/>
            <w:tcMar>
              <w:top w:w="50" w:type="dxa"/>
              <w:left w:w="80" w:type="dxa"/>
              <w:bottom w:w="50" w:type="dxa"/>
              <w:right w:w="80" w:type="dxa"/>
            </w:tcMar>
          </w:tcPr>
          <w:p w14:paraId="6B7B1BDB">
            <w:pPr>
              <w:spacing w:line="252" w:lineRule="auto"/>
              <w:jc w:val="left"/>
            </w:pPr>
            <w:r>
              <w:rPr>
                <w:rFonts w:ascii="Arial" w:hAnsi="Arial" w:eastAsia="Arial" w:cs="Arial"/>
                <w:b w:val="0"/>
                <w:bCs w:val="0"/>
                <w:sz w:val="17"/>
                <w:szCs w:val="17"/>
              </w:rPr>
              <w:t>16%</w:t>
            </w:r>
          </w:p>
        </w:tc>
        <w:tc>
          <w:tcPr>
            <w:tcW w:w="1310" w:type="dxa"/>
            <w:shd w:val="clear" w:color="auto" w:fill="FFEB9C"/>
            <w:tcMar>
              <w:top w:w="50" w:type="dxa"/>
              <w:left w:w="80" w:type="dxa"/>
              <w:bottom w:w="50" w:type="dxa"/>
              <w:right w:w="80" w:type="dxa"/>
            </w:tcMar>
          </w:tcPr>
          <w:p w14:paraId="59D87478">
            <w:pPr>
              <w:spacing w:line="252" w:lineRule="auto"/>
              <w:jc w:val="left"/>
            </w:pPr>
            <w:r>
              <w:rPr>
                <w:rFonts w:ascii="Arial" w:hAnsi="Arial" w:eastAsia="Arial" w:cs="Arial"/>
                <w:b/>
                <w:bCs/>
                <w:color w:val="9C6500"/>
                <w:sz w:val="17"/>
                <w:szCs w:val="17"/>
              </w:rPr>
              <w:t>≈16%</w:t>
            </w:r>
          </w:p>
        </w:tc>
        <w:tc>
          <w:tcPr>
            <w:tcW w:w="3370" w:type="dxa"/>
            <w:shd w:val="clear" w:color="auto" w:fill="F2F2F2"/>
            <w:tcMar>
              <w:top w:w="50" w:type="dxa"/>
              <w:left w:w="80" w:type="dxa"/>
              <w:bottom w:w="50" w:type="dxa"/>
              <w:right w:w="80" w:type="dxa"/>
            </w:tcMar>
          </w:tcPr>
          <w:p w14:paraId="5DFAE231">
            <w:pPr>
              <w:spacing w:line="252" w:lineRule="auto"/>
              <w:jc w:val="left"/>
            </w:pPr>
            <w:r>
              <w:rPr>
                <w:rFonts w:ascii="Arial" w:hAnsi="Arial" w:eastAsia="Arial" w:cs="Arial"/>
                <w:b w:val="0"/>
                <w:bCs w:val="0"/>
                <w:sz w:val="17"/>
                <w:szCs w:val="17"/>
              </w:rPr>
              <w:t>税号自持，下号慢</w:t>
            </w:r>
          </w:p>
        </w:tc>
      </w:tr>
      <w:tr w14:paraId="5EEC6BC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1EAEEBAC">
            <w:pPr>
              <w:spacing w:line="252" w:lineRule="auto"/>
              <w:jc w:val="left"/>
            </w:pPr>
            <w:r>
              <w:rPr>
                <w:rFonts w:ascii="Arial" w:hAnsi="Arial" w:eastAsia="Arial" w:cs="Arial"/>
                <w:sz w:val="17"/>
                <w:szCs w:val="17"/>
              </w:rPr>
              <w:t>本土 RFC + 境外账户</w:t>
            </w:r>
          </w:p>
        </w:tc>
        <w:tc>
          <w:tcPr>
            <w:tcW w:w="1123" w:type="dxa"/>
            <w:shd w:val="clear" w:color="auto" w:fill="FFFFFF"/>
            <w:tcMar>
              <w:top w:w="50" w:type="dxa"/>
              <w:left w:w="80" w:type="dxa"/>
              <w:bottom w:w="50" w:type="dxa"/>
              <w:right w:w="80" w:type="dxa"/>
            </w:tcMar>
          </w:tcPr>
          <w:p w14:paraId="67105D89">
            <w:pPr>
              <w:spacing w:line="252" w:lineRule="auto"/>
              <w:jc w:val="left"/>
            </w:pPr>
            <w:r>
              <w:rPr>
                <w:rFonts w:ascii="Arial" w:hAnsi="Arial" w:eastAsia="Arial" w:cs="Arial"/>
                <w:b w:val="0"/>
                <w:bCs w:val="0"/>
                <w:sz w:val="17"/>
                <w:szCs w:val="17"/>
              </w:rPr>
              <w:t>2.5%</w:t>
            </w:r>
          </w:p>
        </w:tc>
        <w:tc>
          <w:tcPr>
            <w:tcW w:w="1123" w:type="dxa"/>
            <w:shd w:val="clear" w:color="auto" w:fill="FFFFFF"/>
            <w:tcMar>
              <w:top w:w="50" w:type="dxa"/>
              <w:left w:w="80" w:type="dxa"/>
              <w:bottom w:w="50" w:type="dxa"/>
              <w:right w:w="80" w:type="dxa"/>
            </w:tcMar>
          </w:tcPr>
          <w:p w14:paraId="3B8E3443">
            <w:pPr>
              <w:spacing w:line="252" w:lineRule="auto"/>
              <w:jc w:val="left"/>
            </w:pPr>
            <w:r>
              <w:rPr>
                <w:rFonts w:ascii="Arial" w:hAnsi="Arial" w:eastAsia="Arial" w:cs="Arial"/>
                <w:b w:val="0"/>
                <w:bCs w:val="0"/>
                <w:sz w:val="17"/>
                <w:szCs w:val="17"/>
              </w:rPr>
              <w:t>16%</w:t>
            </w:r>
          </w:p>
        </w:tc>
        <w:tc>
          <w:tcPr>
            <w:tcW w:w="1310" w:type="dxa"/>
            <w:shd w:val="clear" w:color="auto" w:fill="FFEB9C"/>
            <w:tcMar>
              <w:top w:w="50" w:type="dxa"/>
              <w:left w:w="80" w:type="dxa"/>
              <w:bottom w:w="50" w:type="dxa"/>
              <w:right w:w="80" w:type="dxa"/>
            </w:tcMar>
          </w:tcPr>
          <w:p w14:paraId="7452163C">
            <w:pPr>
              <w:spacing w:line="252" w:lineRule="auto"/>
              <w:jc w:val="left"/>
            </w:pPr>
            <w:r>
              <w:rPr>
                <w:rFonts w:ascii="Arial" w:hAnsi="Arial" w:eastAsia="Arial" w:cs="Arial"/>
                <w:b/>
                <w:bCs/>
                <w:color w:val="9C6500"/>
                <w:sz w:val="17"/>
                <w:szCs w:val="17"/>
              </w:rPr>
              <w:t>≈18.5%</w:t>
            </w:r>
          </w:p>
        </w:tc>
        <w:tc>
          <w:tcPr>
            <w:tcW w:w="3370" w:type="dxa"/>
            <w:shd w:val="clear" w:color="auto" w:fill="FFFFFF"/>
            <w:tcMar>
              <w:top w:w="50" w:type="dxa"/>
              <w:left w:w="80" w:type="dxa"/>
              <w:bottom w:w="50" w:type="dxa"/>
              <w:right w:w="80" w:type="dxa"/>
            </w:tcMar>
          </w:tcPr>
          <w:p w14:paraId="7121F077">
            <w:pPr>
              <w:spacing w:line="252" w:lineRule="auto"/>
              <w:jc w:val="left"/>
            </w:pPr>
            <w:r>
              <w:rPr>
                <w:rFonts w:ascii="Arial" w:hAnsi="Arial" w:eastAsia="Arial" w:cs="Arial"/>
                <w:b w:val="0"/>
                <w:bCs w:val="0"/>
                <w:sz w:val="17"/>
                <w:szCs w:val="17"/>
              </w:rPr>
              <w:t>境外美金账户仍被强扣16% IVA</w:t>
            </w:r>
          </w:p>
        </w:tc>
      </w:tr>
      <w:tr w14:paraId="33C5B22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2DC4E88D">
            <w:pPr>
              <w:spacing w:line="252" w:lineRule="auto"/>
              <w:jc w:val="left"/>
            </w:pPr>
            <w:r>
              <w:rPr>
                <w:rFonts w:ascii="Arial" w:hAnsi="Arial" w:eastAsia="Arial" w:cs="Arial"/>
                <w:b/>
                <w:bCs/>
                <w:color w:val="000000"/>
                <w:sz w:val="17"/>
                <w:szCs w:val="17"/>
              </w:rPr>
              <w:t>本土 RFC + 本地银行账户</w:t>
            </w:r>
          </w:p>
        </w:tc>
        <w:tc>
          <w:tcPr>
            <w:tcW w:w="1123" w:type="dxa"/>
            <w:shd w:val="clear" w:color="auto" w:fill="F2F2F2"/>
            <w:tcMar>
              <w:top w:w="50" w:type="dxa"/>
              <w:left w:w="80" w:type="dxa"/>
              <w:bottom w:w="50" w:type="dxa"/>
              <w:right w:w="80" w:type="dxa"/>
            </w:tcMar>
          </w:tcPr>
          <w:p w14:paraId="2B291754">
            <w:pPr>
              <w:spacing w:line="252" w:lineRule="auto"/>
              <w:jc w:val="left"/>
            </w:pPr>
            <w:r>
              <w:rPr>
                <w:rFonts w:ascii="Arial" w:hAnsi="Arial" w:eastAsia="Arial" w:cs="Arial"/>
                <w:b w:val="0"/>
                <w:bCs w:val="0"/>
                <w:sz w:val="17"/>
                <w:szCs w:val="17"/>
              </w:rPr>
              <w:t>2.5%</w:t>
            </w:r>
          </w:p>
        </w:tc>
        <w:tc>
          <w:tcPr>
            <w:tcW w:w="1123" w:type="dxa"/>
            <w:shd w:val="clear" w:color="auto" w:fill="F2F2F2"/>
            <w:tcMar>
              <w:top w:w="50" w:type="dxa"/>
              <w:left w:w="80" w:type="dxa"/>
              <w:bottom w:w="50" w:type="dxa"/>
              <w:right w:w="80" w:type="dxa"/>
            </w:tcMar>
          </w:tcPr>
          <w:p w14:paraId="5D41C4C6">
            <w:pPr>
              <w:spacing w:line="252" w:lineRule="auto"/>
              <w:jc w:val="left"/>
            </w:pPr>
            <w:r>
              <w:rPr>
                <w:rFonts w:ascii="Arial" w:hAnsi="Arial" w:eastAsia="Arial" w:cs="Arial"/>
                <w:b w:val="0"/>
                <w:bCs w:val="0"/>
                <w:sz w:val="17"/>
                <w:szCs w:val="17"/>
              </w:rPr>
              <w:t>8%</w:t>
            </w:r>
          </w:p>
        </w:tc>
        <w:tc>
          <w:tcPr>
            <w:tcW w:w="1310" w:type="dxa"/>
            <w:shd w:val="clear" w:color="auto" w:fill="C6EFCE"/>
            <w:tcMar>
              <w:top w:w="50" w:type="dxa"/>
              <w:left w:w="80" w:type="dxa"/>
              <w:bottom w:w="50" w:type="dxa"/>
              <w:right w:w="80" w:type="dxa"/>
            </w:tcMar>
          </w:tcPr>
          <w:p w14:paraId="44F9D20E">
            <w:pPr>
              <w:spacing w:line="252" w:lineRule="auto"/>
              <w:jc w:val="left"/>
            </w:pPr>
            <w:r>
              <w:rPr>
                <w:rFonts w:ascii="Arial" w:hAnsi="Arial" w:eastAsia="Arial" w:cs="Arial"/>
                <w:b/>
                <w:bCs/>
                <w:color w:val="006100"/>
                <w:sz w:val="17"/>
                <w:szCs w:val="17"/>
              </w:rPr>
              <w:t>10.5%</w:t>
            </w:r>
          </w:p>
        </w:tc>
        <w:tc>
          <w:tcPr>
            <w:tcW w:w="3370" w:type="dxa"/>
            <w:shd w:val="clear" w:color="auto" w:fill="F2F2F2"/>
            <w:tcMar>
              <w:top w:w="50" w:type="dxa"/>
              <w:left w:w="80" w:type="dxa"/>
              <w:bottom w:w="50" w:type="dxa"/>
              <w:right w:w="80" w:type="dxa"/>
            </w:tcMar>
          </w:tcPr>
          <w:p w14:paraId="4010263F">
            <w:pPr>
              <w:spacing w:line="252" w:lineRule="auto"/>
              <w:jc w:val="left"/>
            </w:pPr>
            <w:r>
              <w:rPr>
                <w:rFonts w:ascii="Arial" w:hAnsi="Arial" w:eastAsia="Arial" w:cs="Arial"/>
                <w:b w:val="0"/>
                <w:bCs w:val="0"/>
                <w:sz w:val="17"/>
                <w:szCs w:val="17"/>
              </w:rPr>
              <w:t>最优档，需月度/年度补缴差额</w:t>
            </w:r>
          </w:p>
        </w:tc>
      </w:tr>
    </w:tbl>
    <w:p w14:paraId="4E65F27F">
      <w:pPr>
        <w:spacing w:before="40" w:after="160"/>
      </w:pPr>
      <w:r>
        <w:rPr>
          <w:rFonts w:ascii="Arial" w:hAnsi="Arial" w:eastAsia="Arial" w:cs="Arial"/>
          <w:i/>
          <w:iCs/>
          <w:color w:val="808080"/>
          <w:sz w:val="16"/>
          <w:szCs w:val="16"/>
        </w:rPr>
        <w:t>表 3-2：2026年平台预扣税率矩阵（来源：Fonoa、Pyvio、妙手跨境、际连；请与SAT一手核对）。</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B86094C">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23C0FC1E">
            <w:pPr>
              <w:spacing w:after="60"/>
            </w:pPr>
            <w:r>
              <w:rPr>
                <w:rFonts w:ascii="Arial" w:hAnsi="Arial" w:eastAsia="Arial" w:cs="Arial"/>
                <w:b/>
                <w:bCs/>
                <w:color w:val="1F3864"/>
                <w:sz w:val="21"/>
                <w:szCs w:val="21"/>
              </w:rPr>
              <w:t>最重要的专业点：10.5% ≠ 最终税负</w:t>
            </w:r>
          </w:p>
          <w:p w14:paraId="34761E5D">
            <w:pPr>
              <w:spacing w:after="40" w:line="276" w:lineRule="auto"/>
            </w:pPr>
            <w:r>
              <w:rPr>
                <w:rFonts w:ascii="Arial" w:hAnsi="Arial" w:eastAsia="Arial" w:cs="Arial"/>
                <w:b/>
                <w:bCs/>
                <w:sz w:val="20"/>
                <w:szCs w:val="20"/>
              </w:rPr>
              <w:t>竞品常把“10.5%”讲成终点，这是最大的误导。实际是两步计算：</w:t>
            </w:r>
          </w:p>
          <w:p w14:paraId="75D8C2D5">
            <w:pPr>
              <w:spacing w:after="40" w:line="276" w:lineRule="auto"/>
            </w:pPr>
            <w:r>
              <w:rPr>
                <w:rFonts w:ascii="Arial" w:hAnsi="Arial" w:eastAsia="Arial" w:cs="Arial"/>
                <w:sz w:val="20"/>
                <w:szCs w:val="20"/>
              </w:rPr>
              <w:t>① 含税前台价倒推不含税价（÷1.16）；② 按10.5%对不含税价预扣。以含税10.71比索为例：不含税≈9.23，预扣≈0.97比索，约占销售额9%。</w:t>
            </w:r>
          </w:p>
          <w:p w14:paraId="0CA67EAA">
            <w:pPr>
              <w:spacing w:after="40" w:line="276" w:lineRule="auto"/>
            </w:pPr>
            <w:r>
              <w:rPr>
                <w:rFonts w:ascii="Arial" w:hAnsi="Arial" w:eastAsia="Arial" w:cs="Arial"/>
                <w:sz w:val="20"/>
                <w:szCs w:val="20"/>
              </w:rPr>
              <w:t>这0.97中约8%是IVA、约2.5%是ISR。剩余的IVA与按实际利润计算的ISR差额，仍需在月度和年度申报时补缴。把这条讲透，是你区别于“只卖税号”的专业壁垒。</w:t>
            </w:r>
          </w:p>
        </w:tc>
      </w:tr>
    </w:tbl>
    <w:p w14:paraId="583255A9">
      <w:pPr>
        <w:pStyle w:val="4"/>
        <w:spacing w:before="160" w:after="90"/>
      </w:pPr>
      <w:r>
        <w:rPr>
          <w:rFonts w:ascii="Arial" w:hAnsi="Arial" w:eastAsia="Arial" w:cs="Arial"/>
          <w:b/>
          <w:bCs/>
          <w:color w:val="404040"/>
          <w:sz w:val="22"/>
          <w:szCs w:val="22"/>
        </w:rPr>
        <w:t>2026新增：B2B扩展与个人费率上调</w:t>
      </w:r>
    </w:p>
    <w:p w14:paraId="65A59EF5">
      <w:pPr>
        <w:pStyle w:val="16"/>
        <w:numPr>
          <w:ilvl w:val="0"/>
          <w:numId w:val="2"/>
        </w:numPr>
        <w:spacing w:after="70" w:line="276" w:lineRule="auto"/>
      </w:pPr>
      <w:r>
        <w:rPr>
          <w:rFonts w:ascii="Arial" w:hAnsi="Arial" w:eastAsia="Arial" w:cs="Arial"/>
          <w:sz w:val="21"/>
          <w:szCs w:val="21"/>
        </w:rPr>
        <w:t>平台代扣义务扩展至企业（法人）B2B销售：向提供有效RFC的墨西哥公司预扣50% VAT + 2.5%所得税；未提供RFC则预扣全部16% VAT + 20%所得税。</w:t>
      </w:r>
    </w:p>
    <w:p w14:paraId="5144FCC8">
      <w:pPr>
        <w:pStyle w:val="16"/>
        <w:numPr>
          <w:ilvl w:val="0"/>
          <w:numId w:val="2"/>
        </w:numPr>
        <w:spacing w:after="70" w:line="276" w:lineRule="auto"/>
      </w:pPr>
      <w:r>
        <w:rPr>
          <w:rFonts w:ascii="Arial" w:hAnsi="Arial" w:eastAsia="Arial" w:cs="Arial"/>
          <w:sz w:val="21"/>
          <w:szCs w:val="21"/>
        </w:rPr>
        <w:t>墨西哥个人卖家的所得税预扣率从1%上调至2.5%。</w:t>
      </w:r>
    </w:p>
    <w:p w14:paraId="657833ED">
      <w:pPr>
        <w:pStyle w:val="16"/>
        <w:numPr>
          <w:ilvl w:val="0"/>
          <w:numId w:val="2"/>
        </w:numPr>
        <w:spacing w:after="70" w:line="276" w:lineRule="auto"/>
      </w:pPr>
      <w:r>
        <w:rPr>
          <w:rFonts w:ascii="Arial" w:hAnsi="Arial" w:eastAsia="Arial" w:cs="Arial"/>
          <w:sz w:val="21"/>
          <w:szCs w:val="21"/>
        </w:rPr>
        <w:t>对非居民、无常设机构的外国卖家，平台需就其在墨销售预扣100%的VAT。</w:t>
      </w:r>
    </w:p>
    <w:p w14:paraId="3C262EF1">
      <w:pPr>
        <w:pStyle w:val="3"/>
        <w:spacing w:before="220" w:after="120"/>
      </w:pPr>
      <w:r>
        <w:rPr>
          <w:rFonts w:ascii="Arial" w:hAnsi="Arial" w:eastAsia="Arial" w:cs="Arial"/>
          <w:b/>
          <w:bCs/>
          <w:color w:val="2E5496"/>
          <w:sz w:val="25"/>
          <w:szCs w:val="25"/>
        </w:rPr>
        <w:t>3.4　CFDI 4.0 与实时监管：为什么灰色玩法在失效</w:t>
      </w:r>
    </w:p>
    <w:p w14:paraId="52943B8D">
      <w:pPr>
        <w:spacing w:after="140" w:line="288" w:lineRule="auto"/>
        <w:jc w:val="both"/>
      </w:pPr>
      <w:r>
        <w:rPr>
          <w:rFonts w:ascii="Arial" w:hAnsi="Arial" w:eastAsia="Arial" w:cs="Arial"/>
          <w:sz w:val="21"/>
          <w:szCs w:val="21"/>
        </w:rPr>
        <w:t>CFDI 4.0是当前强制版本（2023年4月起）。它引入了更严的数据校验：收件方的RFC、名称、税务制度（Régimen Fiscal）、发票用途（Uso del CFDI）必须与SAT登记完全一致，任何不符都会导致无法盖章（timbrar）、开票失败，直接卡住业务。运输货物还需Carta Porte（电子提单）补充单据，缺失可能导致物流付款被卡。</w:t>
      </w:r>
    </w:p>
    <w:p w14:paraId="0E7EE944">
      <w:pPr>
        <w:spacing w:after="140" w:line="288" w:lineRule="auto"/>
        <w:jc w:val="both"/>
      </w:pPr>
      <w:r>
        <w:rPr>
          <w:rFonts w:ascii="Arial" w:hAnsi="Arial" w:eastAsia="Arial" w:cs="Arial"/>
          <w:sz w:val="21"/>
          <w:szCs w:val="21"/>
        </w:rPr>
        <w:t>2026税改进一步强化执法：CFDI必须对应真实交易，SAT获得加速核验、吊销不合规纳税人数字证书（CSD）、公布虚开发现的权力；不合规罚款可达发票金额的5%–10%。更关键的是《2026杂项税务决议》通过《联邦税法》第30-B条，要求数字平台向SAT开放永久、在线、实时的后台系统访问权限（技术交割死线约在2026年4–5月）。</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06115AB4">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38A5E195">
            <w:pPr>
              <w:spacing w:after="60"/>
            </w:pPr>
            <w:r>
              <w:rPr>
                <w:rFonts w:ascii="Arial" w:hAnsi="Arial" w:eastAsia="Arial" w:cs="Arial"/>
                <w:b/>
                <w:bCs/>
                <w:color w:val="1F3864"/>
                <w:sz w:val="21"/>
                <w:szCs w:val="21"/>
              </w:rPr>
              <w:t>监管趋势判断</w:t>
            </w:r>
          </w:p>
          <w:p w14:paraId="092D2076">
            <w:pPr>
              <w:spacing w:after="40" w:line="276" w:lineRule="auto"/>
            </w:pPr>
            <w:r>
              <w:rPr>
                <w:rFonts w:ascii="Arial" w:hAnsi="Arial" w:eastAsia="Arial" w:cs="Arial"/>
                <w:b/>
                <w:bCs/>
                <w:sz w:val="20"/>
                <w:szCs w:val="20"/>
              </w:rPr>
              <w:t>SAT正从“形式审查”走向“实质穿透 + 实时监控”。这意味着：空壳挂靠、一号多卖、先上车后补票等玩法的生存空间被系统性压缩。对合规服务商是重大利好——市场正在被强制‘正规化’，而正规化恰恰需要专业服务。</w:t>
            </w:r>
          </w:p>
        </w:tc>
      </w:tr>
    </w:tbl>
    <w:p w14:paraId="6F325E84">
      <w:pPr>
        <w:pStyle w:val="3"/>
        <w:spacing w:before="220" w:after="120"/>
      </w:pPr>
      <w:r>
        <w:rPr>
          <w:rFonts w:ascii="Arial" w:hAnsi="Arial" w:eastAsia="Arial" w:cs="Arial"/>
          <w:b/>
          <w:bCs/>
          <w:color w:val="2E5496"/>
          <w:sz w:val="25"/>
          <w:szCs w:val="25"/>
        </w:rPr>
        <w:t>3.5　申报节奏与合规日历</w:t>
      </w:r>
    </w:p>
    <w:p w14:paraId="4891F08C">
      <w:pPr>
        <w:pStyle w:val="16"/>
        <w:numPr>
          <w:ilvl w:val="0"/>
          <w:numId w:val="2"/>
        </w:numPr>
        <w:spacing w:after="70" w:line="276" w:lineRule="auto"/>
      </w:pPr>
      <w:r>
        <w:rPr>
          <w:rFonts w:ascii="Arial" w:hAnsi="Arial" w:eastAsia="Arial" w:cs="Arial"/>
          <w:b/>
          <w:bCs/>
          <w:sz w:val="21"/>
          <w:szCs w:val="21"/>
        </w:rPr>
        <w:t>月度：</w:t>
      </w:r>
      <w:r>
        <w:rPr>
          <w:rFonts w:ascii="Arial" w:hAnsi="Arial" w:eastAsia="Arial" w:cs="Arial"/>
          <w:sz w:val="21"/>
          <w:szCs w:val="21"/>
        </w:rPr>
        <w:t>电子会计/试算表一般需在次月约25日前上传SAT；月度IVA/ISR申报同步进行。</w:t>
      </w:r>
    </w:p>
    <w:p w14:paraId="09BC403D">
      <w:pPr>
        <w:pStyle w:val="16"/>
        <w:numPr>
          <w:ilvl w:val="0"/>
          <w:numId w:val="2"/>
        </w:numPr>
        <w:spacing w:after="70" w:line="276" w:lineRule="auto"/>
      </w:pPr>
      <w:r>
        <w:rPr>
          <w:rFonts w:ascii="Arial" w:hAnsi="Arial" w:eastAsia="Arial" w:cs="Arial"/>
          <w:b/>
          <w:bCs/>
          <w:sz w:val="21"/>
          <w:szCs w:val="21"/>
        </w:rPr>
        <w:t>年度：</w:t>
      </w:r>
      <w:r>
        <w:rPr>
          <w:rFonts w:ascii="Arial" w:hAnsi="Arial" w:eastAsia="Arial" w:cs="Arial"/>
          <w:sz w:val="21"/>
          <w:szCs w:val="21"/>
        </w:rPr>
        <w:t>企业年度所得税申报与差额清算。</w:t>
      </w:r>
    </w:p>
    <w:p w14:paraId="4B8CC943">
      <w:pPr>
        <w:pStyle w:val="16"/>
        <w:numPr>
          <w:ilvl w:val="0"/>
          <w:numId w:val="2"/>
        </w:numPr>
        <w:spacing w:after="70" w:line="276" w:lineRule="auto"/>
      </w:pPr>
      <w:r>
        <w:rPr>
          <w:rFonts w:ascii="Arial" w:hAnsi="Arial" w:eastAsia="Arial" w:cs="Arial"/>
          <w:b/>
          <w:bCs/>
          <w:sz w:val="21"/>
          <w:szCs w:val="21"/>
        </w:rPr>
        <w:t>发票：</w:t>
      </w:r>
      <w:r>
        <w:rPr>
          <w:rFonts w:ascii="Arial" w:hAnsi="Arial" w:eastAsia="Arial" w:cs="Arial"/>
          <w:sz w:val="21"/>
          <w:szCs w:val="21"/>
        </w:rPr>
        <w:t>CFDI实时开具；同一财年内开具的CFDI一般须在当年内取消（如3月开具须在当年12月31日前取消）。</w:t>
      </w:r>
    </w:p>
    <w:p w14:paraId="300C4E46">
      <w:pPr>
        <w:pStyle w:val="16"/>
        <w:numPr>
          <w:ilvl w:val="0"/>
          <w:numId w:val="2"/>
        </w:numPr>
        <w:spacing w:after="70" w:line="276" w:lineRule="auto"/>
      </w:pPr>
      <w:r>
        <w:rPr>
          <w:rFonts w:ascii="Arial" w:hAnsi="Arial" w:eastAsia="Arial" w:cs="Arial"/>
          <w:b/>
          <w:bCs/>
          <w:sz w:val="21"/>
          <w:szCs w:val="21"/>
        </w:rPr>
        <w:t>留存：</w:t>
      </w:r>
      <w:r>
        <w:rPr>
          <w:rFonts w:ascii="Arial" w:hAnsi="Arial" w:eastAsia="Arial" w:cs="Arial"/>
          <w:sz w:val="21"/>
          <w:szCs w:val="21"/>
        </w:rPr>
        <w:t>CFDI XML须保存至少5年；SAT稽查追溯期最长可达5年。</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5AD79BD5">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12F91DE5">
            <w:pPr>
              <w:spacing w:after="60"/>
            </w:pPr>
            <w:r>
              <w:rPr>
                <w:rFonts w:ascii="Arial" w:hAnsi="Arial" w:eastAsia="Arial" w:cs="Arial"/>
                <w:b/>
                <w:bCs/>
                <w:color w:val="1F3864"/>
                <w:sz w:val="21"/>
                <w:szCs w:val="21"/>
              </w:rPr>
              <w:t>本章小结</w:t>
            </w:r>
          </w:p>
          <w:p w14:paraId="4CCB7CF3">
            <w:pPr>
              <w:spacing w:after="40" w:line="276" w:lineRule="auto"/>
            </w:pPr>
            <w:r>
              <w:rPr>
                <w:rFonts w:ascii="Arial" w:hAnsi="Arial" w:eastAsia="Arial" w:cs="Arial"/>
                <w:b/>
                <w:bCs/>
                <w:sz w:val="20"/>
                <w:szCs w:val="20"/>
              </w:rPr>
              <w:t>税务制度的复杂度是这门生意的护城河来源。你要卖的不是‘一个税号’，而是‘一套让客户在10.5%档持续、安全、可抵扣地运营下去的合规能力’。谁能把预扣计算、CFDI开票、月度申报、差额补缴串成闭环并讲清楚，谁就拿到定价权。</w:t>
            </w:r>
          </w:p>
        </w:tc>
      </w:tr>
    </w:tbl>
    <w:p w14:paraId="440D3697">
      <w:pPr>
        <w:pStyle w:val="2"/>
        <w:pageBreakBefore/>
        <w:spacing w:before="240" w:after="160"/>
      </w:pPr>
      <w:r>
        <w:rPr>
          <w:rFonts w:ascii="Arial" w:hAnsi="Arial" w:eastAsia="Arial" w:cs="Arial"/>
          <w:b/>
          <w:bCs/>
          <w:color w:val="1F3864"/>
          <w:sz w:val="30"/>
          <w:szCs w:val="30"/>
        </w:rPr>
        <w:t>第四章　RFC获取路径与公司类型选择</w:t>
      </w:r>
    </w:p>
    <w:p w14:paraId="0351A622">
      <w:pPr>
        <w:spacing w:after="140" w:line="288" w:lineRule="auto"/>
        <w:jc w:val="both"/>
      </w:pPr>
      <w:r>
        <w:rPr>
          <w:rFonts w:ascii="Arial" w:hAnsi="Arial" w:eastAsia="Arial" w:cs="Arial"/>
          <w:sz w:val="21"/>
          <w:szCs w:val="21"/>
        </w:rPr>
        <w:t>客户最常问的两个问题是：“我该用哪种税号？”和“该注册什么公司？”本章把这两条决策链讲透——它们直接构成你的产品菜单。</w:t>
      </w:r>
    </w:p>
    <w:p w14:paraId="6E30C2F6">
      <w:pPr>
        <w:pStyle w:val="3"/>
        <w:spacing w:before="220" w:after="120"/>
      </w:pPr>
      <w:r>
        <w:rPr>
          <w:rFonts w:ascii="Arial" w:hAnsi="Arial" w:eastAsia="Arial" w:cs="Arial"/>
          <w:b/>
          <w:bCs/>
          <w:color w:val="2E5496"/>
          <w:sz w:val="25"/>
          <w:szCs w:val="25"/>
        </w:rPr>
        <w:t>4.1　四种RFC获取路径</w:t>
      </w:r>
    </w:p>
    <w:p w14:paraId="5D4DCDDD">
      <w:pPr>
        <w:spacing w:after="140" w:line="288" w:lineRule="auto"/>
        <w:jc w:val="both"/>
      </w:pPr>
      <w:r>
        <w:rPr>
          <w:rFonts w:ascii="Arial" w:hAnsi="Arial" w:eastAsia="Arial" w:cs="Arial"/>
          <w:sz w:val="21"/>
          <w:szCs w:val="21"/>
        </w:rPr>
        <w:t>对中国跨境卖家，获得RFC主要有四条路径，成本、风险与适用阶段各异：</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764"/>
        <w:gridCol w:w="1764"/>
        <w:gridCol w:w="980"/>
        <w:gridCol w:w="1371"/>
        <w:gridCol w:w="784"/>
        <w:gridCol w:w="980"/>
        <w:gridCol w:w="2155"/>
      </w:tblGrid>
      <w:tr w14:paraId="4ADDA87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685" w:type="dxa"/>
            <w:shd w:val="clear" w:color="auto" w:fill="1F3864"/>
            <w:tcMar>
              <w:top w:w="60" w:type="dxa"/>
              <w:left w:w="80" w:type="dxa"/>
              <w:bottom w:w="60" w:type="dxa"/>
              <w:right w:w="80" w:type="dxa"/>
            </w:tcMar>
          </w:tcPr>
          <w:p w14:paraId="7AC0D1DF">
            <w:pPr>
              <w:jc w:val="center"/>
            </w:pPr>
            <w:r>
              <w:rPr>
                <w:rFonts w:ascii="Arial" w:hAnsi="Arial" w:eastAsia="Arial" w:cs="Arial"/>
                <w:b/>
                <w:bCs/>
                <w:color w:val="FFFFFF"/>
                <w:sz w:val="18"/>
                <w:szCs w:val="18"/>
              </w:rPr>
              <w:t>路径</w:t>
            </w:r>
          </w:p>
        </w:tc>
        <w:tc>
          <w:tcPr>
            <w:tcW w:w="1685" w:type="dxa"/>
            <w:shd w:val="clear" w:color="auto" w:fill="1F3864"/>
            <w:tcMar>
              <w:top w:w="60" w:type="dxa"/>
              <w:left w:w="80" w:type="dxa"/>
              <w:bottom w:w="60" w:type="dxa"/>
              <w:right w:w="80" w:type="dxa"/>
            </w:tcMar>
          </w:tcPr>
          <w:p w14:paraId="1AAAE635">
            <w:pPr>
              <w:jc w:val="center"/>
            </w:pPr>
            <w:r>
              <w:rPr>
                <w:rFonts w:ascii="Arial" w:hAnsi="Arial" w:eastAsia="Arial" w:cs="Arial"/>
                <w:b/>
                <w:bCs/>
                <w:color w:val="FFFFFF"/>
                <w:sz w:val="18"/>
                <w:szCs w:val="18"/>
              </w:rPr>
              <w:t>成本 (估)</w:t>
            </w:r>
          </w:p>
        </w:tc>
        <w:tc>
          <w:tcPr>
            <w:tcW w:w="936" w:type="dxa"/>
            <w:shd w:val="clear" w:color="auto" w:fill="1F3864"/>
            <w:tcMar>
              <w:top w:w="60" w:type="dxa"/>
              <w:left w:w="80" w:type="dxa"/>
              <w:bottom w:w="60" w:type="dxa"/>
              <w:right w:w="80" w:type="dxa"/>
            </w:tcMar>
          </w:tcPr>
          <w:p w14:paraId="0A8308EA">
            <w:pPr>
              <w:jc w:val="center"/>
            </w:pPr>
            <w:r>
              <w:rPr>
                <w:rFonts w:ascii="Arial" w:hAnsi="Arial" w:eastAsia="Arial" w:cs="Arial"/>
                <w:b/>
                <w:bCs/>
                <w:color w:val="FFFFFF"/>
                <w:sz w:val="18"/>
                <w:szCs w:val="18"/>
              </w:rPr>
              <w:t>周期</w:t>
            </w:r>
          </w:p>
        </w:tc>
        <w:tc>
          <w:tcPr>
            <w:tcW w:w="1310" w:type="dxa"/>
            <w:shd w:val="clear" w:color="auto" w:fill="1F3864"/>
            <w:tcMar>
              <w:top w:w="60" w:type="dxa"/>
              <w:left w:w="80" w:type="dxa"/>
              <w:bottom w:w="60" w:type="dxa"/>
              <w:right w:w="80" w:type="dxa"/>
            </w:tcMar>
          </w:tcPr>
          <w:p w14:paraId="5C628749">
            <w:pPr>
              <w:jc w:val="center"/>
            </w:pPr>
            <w:r>
              <w:rPr>
                <w:rFonts w:ascii="Arial" w:hAnsi="Arial" w:eastAsia="Arial" w:cs="Arial"/>
                <w:b/>
                <w:bCs/>
                <w:color w:val="FFFFFF"/>
                <w:sz w:val="18"/>
                <w:szCs w:val="18"/>
              </w:rPr>
              <w:t>预扣率</w:t>
            </w:r>
          </w:p>
        </w:tc>
        <w:tc>
          <w:tcPr>
            <w:tcW w:w="749" w:type="dxa"/>
            <w:shd w:val="clear" w:color="auto" w:fill="1F3864"/>
            <w:tcMar>
              <w:top w:w="60" w:type="dxa"/>
              <w:left w:w="80" w:type="dxa"/>
              <w:bottom w:w="60" w:type="dxa"/>
              <w:right w:w="80" w:type="dxa"/>
            </w:tcMar>
          </w:tcPr>
          <w:p w14:paraId="4C17EAD4">
            <w:pPr>
              <w:jc w:val="center"/>
            </w:pPr>
            <w:r>
              <w:rPr>
                <w:rFonts w:ascii="Arial" w:hAnsi="Arial" w:eastAsia="Arial" w:cs="Arial"/>
                <w:b/>
                <w:bCs/>
                <w:color w:val="FFFFFF"/>
                <w:sz w:val="18"/>
                <w:szCs w:val="18"/>
              </w:rPr>
              <w:t>抵扣</w:t>
            </w:r>
          </w:p>
        </w:tc>
        <w:tc>
          <w:tcPr>
            <w:tcW w:w="936" w:type="dxa"/>
            <w:shd w:val="clear" w:color="auto" w:fill="1F3864"/>
            <w:tcMar>
              <w:top w:w="60" w:type="dxa"/>
              <w:left w:w="80" w:type="dxa"/>
              <w:bottom w:w="60" w:type="dxa"/>
              <w:right w:w="80" w:type="dxa"/>
            </w:tcMar>
          </w:tcPr>
          <w:p w14:paraId="3431A7A8">
            <w:pPr>
              <w:jc w:val="center"/>
            </w:pPr>
            <w:r>
              <w:rPr>
                <w:rFonts w:ascii="Arial" w:hAnsi="Arial" w:eastAsia="Arial" w:cs="Arial"/>
                <w:b/>
                <w:bCs/>
                <w:color w:val="FFFFFF"/>
                <w:sz w:val="18"/>
                <w:szCs w:val="18"/>
              </w:rPr>
              <w:t>控制权</w:t>
            </w:r>
          </w:p>
        </w:tc>
        <w:tc>
          <w:tcPr>
            <w:tcW w:w="2059" w:type="dxa"/>
            <w:shd w:val="clear" w:color="auto" w:fill="1F3864"/>
            <w:tcMar>
              <w:top w:w="60" w:type="dxa"/>
              <w:left w:w="80" w:type="dxa"/>
              <w:bottom w:w="60" w:type="dxa"/>
              <w:right w:w="80" w:type="dxa"/>
            </w:tcMar>
          </w:tcPr>
          <w:p w14:paraId="651119AB">
            <w:pPr>
              <w:jc w:val="center"/>
            </w:pPr>
            <w:r>
              <w:rPr>
                <w:rFonts w:ascii="Arial" w:hAnsi="Arial" w:eastAsia="Arial" w:cs="Arial"/>
                <w:b/>
                <w:bCs/>
                <w:color w:val="FFFFFF"/>
                <w:sz w:val="18"/>
                <w:szCs w:val="18"/>
              </w:rPr>
              <w:t>适合谁</w:t>
            </w:r>
          </w:p>
        </w:tc>
      </w:tr>
      <w:tr w14:paraId="701A34E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4A818434">
            <w:pPr>
              <w:spacing w:line="252" w:lineRule="auto"/>
              <w:jc w:val="left"/>
            </w:pPr>
            <w:r>
              <w:rPr>
                <w:rFonts w:ascii="Arial" w:hAnsi="Arial" w:eastAsia="Arial" w:cs="Arial"/>
                <w:b/>
                <w:bCs/>
                <w:color w:val="000000"/>
                <w:sz w:val="16"/>
                <w:szCs w:val="16"/>
              </w:rPr>
              <w:t>① 离岸RFC</w:t>
            </w:r>
          </w:p>
        </w:tc>
        <w:tc>
          <w:tcPr>
            <w:tcW w:w="1685" w:type="dxa"/>
            <w:shd w:val="clear" w:color="auto" w:fill="FFFFFF"/>
            <w:tcMar>
              <w:top w:w="50" w:type="dxa"/>
              <w:left w:w="80" w:type="dxa"/>
              <w:bottom w:w="50" w:type="dxa"/>
              <w:right w:w="80" w:type="dxa"/>
            </w:tcMar>
          </w:tcPr>
          <w:p w14:paraId="20CA7398">
            <w:pPr>
              <w:spacing w:line="252" w:lineRule="auto"/>
              <w:jc w:val="left"/>
            </w:pPr>
            <w:r>
              <w:rPr>
                <w:rFonts w:ascii="Arial" w:hAnsi="Arial" w:eastAsia="Arial" w:cs="Arial"/>
                <w:b w:val="0"/>
                <w:bCs w:val="0"/>
                <w:sz w:val="16"/>
                <w:szCs w:val="16"/>
              </w:rPr>
              <w:t>注册≈¥2万
年续¥1.5–1.7万</w:t>
            </w:r>
          </w:p>
        </w:tc>
        <w:tc>
          <w:tcPr>
            <w:tcW w:w="936" w:type="dxa"/>
            <w:shd w:val="clear" w:color="auto" w:fill="FFFFFF"/>
            <w:tcMar>
              <w:top w:w="50" w:type="dxa"/>
              <w:left w:w="80" w:type="dxa"/>
              <w:bottom w:w="50" w:type="dxa"/>
              <w:right w:w="80" w:type="dxa"/>
            </w:tcMar>
          </w:tcPr>
          <w:p w14:paraId="4EF3CF67">
            <w:pPr>
              <w:spacing w:line="252" w:lineRule="auto"/>
              <w:jc w:val="left"/>
            </w:pPr>
            <w:r>
              <w:rPr>
                <w:rFonts w:ascii="Arial" w:hAnsi="Arial" w:eastAsia="Arial" w:cs="Arial"/>
                <w:b w:val="0"/>
                <w:bCs w:val="0"/>
                <w:sz w:val="16"/>
                <w:szCs w:val="16"/>
              </w:rPr>
              <w:t>3–12月</w:t>
            </w:r>
          </w:p>
        </w:tc>
        <w:tc>
          <w:tcPr>
            <w:tcW w:w="1310" w:type="dxa"/>
            <w:shd w:val="clear" w:color="auto" w:fill="FFEB9C"/>
            <w:tcMar>
              <w:top w:w="50" w:type="dxa"/>
              <w:left w:w="80" w:type="dxa"/>
              <w:bottom w:w="50" w:type="dxa"/>
              <w:right w:w="80" w:type="dxa"/>
            </w:tcMar>
          </w:tcPr>
          <w:p w14:paraId="50A04031">
            <w:pPr>
              <w:spacing w:line="252" w:lineRule="auto"/>
              <w:jc w:val="left"/>
            </w:pPr>
            <w:r>
              <w:rPr>
                <w:rFonts w:ascii="Arial" w:hAnsi="Arial" w:eastAsia="Arial" w:cs="Arial"/>
                <w:b w:val="0"/>
                <w:bCs w:val="0"/>
                <w:color w:val="000000"/>
                <w:sz w:val="16"/>
                <w:szCs w:val="16"/>
              </w:rPr>
              <w:t>16%</w:t>
            </w:r>
          </w:p>
        </w:tc>
        <w:tc>
          <w:tcPr>
            <w:tcW w:w="749" w:type="dxa"/>
            <w:shd w:val="clear" w:color="auto" w:fill="FFFFFF"/>
            <w:tcMar>
              <w:top w:w="50" w:type="dxa"/>
              <w:left w:w="80" w:type="dxa"/>
              <w:bottom w:w="50" w:type="dxa"/>
              <w:right w:w="80" w:type="dxa"/>
            </w:tcMar>
          </w:tcPr>
          <w:p w14:paraId="37BB632B">
            <w:pPr>
              <w:spacing w:line="252" w:lineRule="auto"/>
              <w:jc w:val="left"/>
            </w:pPr>
            <w:r>
              <w:rPr>
                <w:rFonts w:ascii="Arial" w:hAnsi="Arial" w:eastAsia="Arial" w:cs="Arial"/>
                <w:b w:val="0"/>
                <w:bCs w:val="0"/>
                <w:sz w:val="16"/>
                <w:szCs w:val="16"/>
              </w:rPr>
              <w:t>否</w:t>
            </w:r>
          </w:p>
        </w:tc>
        <w:tc>
          <w:tcPr>
            <w:tcW w:w="936" w:type="dxa"/>
            <w:shd w:val="clear" w:color="auto" w:fill="FFFFFF"/>
            <w:tcMar>
              <w:top w:w="50" w:type="dxa"/>
              <w:left w:w="80" w:type="dxa"/>
              <w:bottom w:w="50" w:type="dxa"/>
              <w:right w:w="80" w:type="dxa"/>
            </w:tcMar>
          </w:tcPr>
          <w:p w14:paraId="13E3366A">
            <w:pPr>
              <w:spacing w:line="252" w:lineRule="auto"/>
              <w:jc w:val="left"/>
            </w:pPr>
            <w:r>
              <w:rPr>
                <w:rFonts w:ascii="Arial" w:hAnsi="Arial" w:eastAsia="Arial" w:cs="Arial"/>
                <w:b w:val="0"/>
                <w:bCs w:val="0"/>
                <w:sz w:val="16"/>
                <w:szCs w:val="16"/>
              </w:rPr>
              <w:t>自持</w:t>
            </w:r>
          </w:p>
        </w:tc>
        <w:tc>
          <w:tcPr>
            <w:tcW w:w="2059" w:type="dxa"/>
            <w:shd w:val="clear" w:color="auto" w:fill="FFFFFF"/>
            <w:tcMar>
              <w:top w:w="50" w:type="dxa"/>
              <w:left w:w="80" w:type="dxa"/>
              <w:bottom w:w="50" w:type="dxa"/>
              <w:right w:w="80" w:type="dxa"/>
            </w:tcMar>
          </w:tcPr>
          <w:p w14:paraId="518F157F">
            <w:pPr>
              <w:spacing w:line="252" w:lineRule="auto"/>
              <w:jc w:val="left"/>
            </w:pPr>
            <w:r>
              <w:rPr>
                <w:rFonts w:ascii="Arial" w:hAnsi="Arial" w:eastAsia="Arial" w:cs="Arial"/>
                <w:b w:val="0"/>
                <w:bCs w:val="0"/>
                <w:sz w:val="16"/>
                <w:szCs w:val="16"/>
              </w:rPr>
              <w:t>规模大、不急合规的成熟卖家</w:t>
            </w:r>
          </w:p>
        </w:tc>
      </w:tr>
      <w:tr w14:paraId="42969B4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236646D7">
            <w:pPr>
              <w:spacing w:line="252" w:lineRule="auto"/>
              <w:jc w:val="left"/>
            </w:pPr>
            <w:r>
              <w:rPr>
                <w:rFonts w:ascii="Arial" w:hAnsi="Arial" w:eastAsia="Arial" w:cs="Arial"/>
                <w:b/>
                <w:bCs/>
                <w:color w:val="000000"/>
                <w:sz w:val="16"/>
                <w:szCs w:val="16"/>
              </w:rPr>
              <w:t>② 自注册本土公司+税号</w:t>
            </w:r>
          </w:p>
        </w:tc>
        <w:tc>
          <w:tcPr>
            <w:tcW w:w="1685" w:type="dxa"/>
            <w:shd w:val="clear" w:color="auto" w:fill="F2F2F2"/>
            <w:tcMar>
              <w:top w:w="50" w:type="dxa"/>
              <w:left w:w="80" w:type="dxa"/>
              <w:bottom w:w="50" w:type="dxa"/>
              <w:right w:w="80" w:type="dxa"/>
            </w:tcMar>
          </w:tcPr>
          <w:p w14:paraId="2AAAC030">
            <w:pPr>
              <w:spacing w:line="252" w:lineRule="auto"/>
              <w:jc w:val="left"/>
            </w:pPr>
            <w:r>
              <w:rPr>
                <w:rFonts w:ascii="Arial" w:hAnsi="Arial" w:eastAsia="Arial" w:cs="Arial"/>
                <w:b w:val="0"/>
                <w:bCs w:val="0"/>
                <w:sz w:val="16"/>
                <w:szCs w:val="16"/>
              </w:rPr>
              <w:t>US$3k–6k/年维护</w:t>
            </w:r>
          </w:p>
        </w:tc>
        <w:tc>
          <w:tcPr>
            <w:tcW w:w="936" w:type="dxa"/>
            <w:shd w:val="clear" w:color="auto" w:fill="F2F2F2"/>
            <w:tcMar>
              <w:top w:w="50" w:type="dxa"/>
              <w:left w:w="80" w:type="dxa"/>
              <w:bottom w:w="50" w:type="dxa"/>
              <w:right w:w="80" w:type="dxa"/>
            </w:tcMar>
          </w:tcPr>
          <w:p w14:paraId="3F97E8BA">
            <w:pPr>
              <w:spacing w:line="252" w:lineRule="auto"/>
              <w:jc w:val="left"/>
            </w:pPr>
            <w:r>
              <w:rPr>
                <w:rFonts w:ascii="Arial" w:hAnsi="Arial" w:eastAsia="Arial" w:cs="Arial"/>
                <w:b w:val="0"/>
                <w:bCs w:val="0"/>
                <w:sz w:val="16"/>
                <w:szCs w:val="16"/>
              </w:rPr>
              <w:t>数月</w:t>
            </w:r>
          </w:p>
        </w:tc>
        <w:tc>
          <w:tcPr>
            <w:tcW w:w="1310" w:type="dxa"/>
            <w:shd w:val="clear" w:color="auto" w:fill="C6EFCE"/>
            <w:tcMar>
              <w:top w:w="50" w:type="dxa"/>
              <w:left w:w="80" w:type="dxa"/>
              <w:bottom w:w="50" w:type="dxa"/>
              <w:right w:w="80" w:type="dxa"/>
            </w:tcMar>
          </w:tcPr>
          <w:p w14:paraId="20BC4AA8">
            <w:pPr>
              <w:spacing w:line="252" w:lineRule="auto"/>
              <w:jc w:val="left"/>
            </w:pPr>
            <w:r>
              <w:rPr>
                <w:rFonts w:ascii="Arial" w:hAnsi="Arial" w:eastAsia="Arial" w:cs="Arial"/>
                <w:b w:val="0"/>
                <w:bCs w:val="0"/>
                <w:color w:val="000000"/>
                <w:sz w:val="16"/>
                <w:szCs w:val="16"/>
              </w:rPr>
              <w:t>10.5%</w:t>
            </w:r>
          </w:p>
        </w:tc>
        <w:tc>
          <w:tcPr>
            <w:tcW w:w="749" w:type="dxa"/>
            <w:shd w:val="clear" w:color="auto" w:fill="F2F2F2"/>
            <w:tcMar>
              <w:top w:w="50" w:type="dxa"/>
              <w:left w:w="80" w:type="dxa"/>
              <w:bottom w:w="50" w:type="dxa"/>
              <w:right w:w="80" w:type="dxa"/>
            </w:tcMar>
          </w:tcPr>
          <w:p w14:paraId="6CA058EF">
            <w:pPr>
              <w:spacing w:line="252" w:lineRule="auto"/>
              <w:jc w:val="left"/>
            </w:pPr>
            <w:r>
              <w:rPr>
                <w:rFonts w:ascii="Arial" w:hAnsi="Arial" w:eastAsia="Arial" w:cs="Arial"/>
                <w:b w:val="0"/>
                <w:bCs w:val="0"/>
                <w:sz w:val="16"/>
                <w:szCs w:val="16"/>
              </w:rPr>
              <w:t>是</w:t>
            </w:r>
          </w:p>
        </w:tc>
        <w:tc>
          <w:tcPr>
            <w:tcW w:w="936" w:type="dxa"/>
            <w:shd w:val="clear" w:color="auto" w:fill="F2F2F2"/>
            <w:tcMar>
              <w:top w:w="50" w:type="dxa"/>
              <w:left w:w="80" w:type="dxa"/>
              <w:bottom w:w="50" w:type="dxa"/>
              <w:right w:w="80" w:type="dxa"/>
            </w:tcMar>
          </w:tcPr>
          <w:p w14:paraId="17B86CA2">
            <w:pPr>
              <w:spacing w:line="252" w:lineRule="auto"/>
              <w:jc w:val="left"/>
            </w:pPr>
            <w:r>
              <w:rPr>
                <w:rFonts w:ascii="Arial" w:hAnsi="Arial" w:eastAsia="Arial" w:cs="Arial"/>
                <w:b w:val="0"/>
                <w:bCs w:val="0"/>
                <w:sz w:val="16"/>
                <w:szCs w:val="16"/>
              </w:rPr>
              <w:t>自持</w:t>
            </w:r>
          </w:p>
        </w:tc>
        <w:tc>
          <w:tcPr>
            <w:tcW w:w="2059" w:type="dxa"/>
            <w:shd w:val="clear" w:color="auto" w:fill="F2F2F2"/>
            <w:tcMar>
              <w:top w:w="50" w:type="dxa"/>
              <w:left w:w="80" w:type="dxa"/>
              <w:bottom w:w="50" w:type="dxa"/>
              <w:right w:w="80" w:type="dxa"/>
            </w:tcMar>
          </w:tcPr>
          <w:p w14:paraId="78A87FC9">
            <w:pPr>
              <w:spacing w:line="252" w:lineRule="auto"/>
              <w:jc w:val="left"/>
            </w:pPr>
            <w:r>
              <w:rPr>
                <w:rFonts w:ascii="Arial" w:hAnsi="Arial" w:eastAsia="Arial" w:cs="Arial"/>
                <w:b w:val="0"/>
                <w:bCs w:val="0"/>
                <w:sz w:val="16"/>
                <w:szCs w:val="16"/>
              </w:rPr>
              <w:t>已跑通、长期深耕</w:t>
            </w:r>
          </w:p>
        </w:tc>
      </w:tr>
      <w:tr w14:paraId="0EA2157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39387ACE">
            <w:pPr>
              <w:spacing w:line="252" w:lineRule="auto"/>
              <w:jc w:val="left"/>
            </w:pPr>
            <w:r>
              <w:rPr>
                <w:rFonts w:ascii="Arial" w:hAnsi="Arial" w:eastAsia="Arial" w:cs="Arial"/>
                <w:b/>
                <w:bCs/>
                <w:color w:val="000000"/>
                <w:sz w:val="16"/>
                <w:szCs w:val="16"/>
              </w:rPr>
              <w:t>③a 挂靠·空壳</w:t>
            </w:r>
          </w:p>
        </w:tc>
        <w:tc>
          <w:tcPr>
            <w:tcW w:w="1685" w:type="dxa"/>
            <w:shd w:val="clear" w:color="auto" w:fill="FFFFFF"/>
            <w:tcMar>
              <w:top w:w="50" w:type="dxa"/>
              <w:left w:w="80" w:type="dxa"/>
              <w:bottom w:w="50" w:type="dxa"/>
              <w:right w:w="80" w:type="dxa"/>
            </w:tcMar>
          </w:tcPr>
          <w:p w14:paraId="390301B9">
            <w:pPr>
              <w:spacing w:line="252" w:lineRule="auto"/>
              <w:jc w:val="left"/>
            </w:pPr>
            <w:r>
              <w:rPr>
                <w:rFonts w:ascii="Arial" w:hAnsi="Arial" w:eastAsia="Arial" w:cs="Arial"/>
                <w:b w:val="0"/>
                <w:bCs w:val="0"/>
                <w:sz w:val="16"/>
                <w:szCs w:val="16"/>
              </w:rPr>
              <w:t>极低</w:t>
            </w:r>
          </w:p>
        </w:tc>
        <w:tc>
          <w:tcPr>
            <w:tcW w:w="936" w:type="dxa"/>
            <w:shd w:val="clear" w:color="auto" w:fill="FFFFFF"/>
            <w:tcMar>
              <w:top w:w="50" w:type="dxa"/>
              <w:left w:w="80" w:type="dxa"/>
              <w:bottom w:w="50" w:type="dxa"/>
              <w:right w:w="80" w:type="dxa"/>
            </w:tcMar>
          </w:tcPr>
          <w:p w14:paraId="7E463022">
            <w:pPr>
              <w:spacing w:line="252" w:lineRule="auto"/>
              <w:jc w:val="left"/>
            </w:pPr>
            <w:r>
              <w:rPr>
                <w:rFonts w:ascii="Arial" w:hAnsi="Arial" w:eastAsia="Arial" w:cs="Arial"/>
                <w:b w:val="0"/>
                <w:bCs w:val="0"/>
                <w:sz w:val="16"/>
                <w:szCs w:val="16"/>
              </w:rPr>
              <w:t>1–4天</w:t>
            </w:r>
          </w:p>
        </w:tc>
        <w:tc>
          <w:tcPr>
            <w:tcW w:w="1310" w:type="dxa"/>
            <w:shd w:val="clear" w:color="auto" w:fill="FFEB9C"/>
            <w:tcMar>
              <w:top w:w="50" w:type="dxa"/>
              <w:left w:w="80" w:type="dxa"/>
              <w:bottom w:w="50" w:type="dxa"/>
              <w:right w:w="80" w:type="dxa"/>
            </w:tcMar>
          </w:tcPr>
          <w:p w14:paraId="11D9DDD1">
            <w:pPr>
              <w:spacing w:line="252" w:lineRule="auto"/>
              <w:jc w:val="left"/>
            </w:pPr>
            <w:r>
              <w:rPr>
                <w:rFonts w:ascii="Arial" w:hAnsi="Arial" w:eastAsia="Arial" w:cs="Arial"/>
                <w:b w:val="0"/>
                <w:bCs w:val="0"/>
                <w:color w:val="000000"/>
                <w:sz w:val="16"/>
                <w:szCs w:val="16"/>
              </w:rPr>
              <w:t>10.5%名义</w:t>
            </w:r>
          </w:p>
        </w:tc>
        <w:tc>
          <w:tcPr>
            <w:tcW w:w="749" w:type="dxa"/>
            <w:shd w:val="clear" w:color="auto" w:fill="FFFFFF"/>
            <w:tcMar>
              <w:top w:w="50" w:type="dxa"/>
              <w:left w:w="80" w:type="dxa"/>
              <w:bottom w:w="50" w:type="dxa"/>
              <w:right w:w="80" w:type="dxa"/>
            </w:tcMar>
          </w:tcPr>
          <w:p w14:paraId="0A69ADBA">
            <w:pPr>
              <w:spacing w:line="252" w:lineRule="auto"/>
              <w:jc w:val="left"/>
            </w:pPr>
            <w:r>
              <w:rPr>
                <w:rFonts w:ascii="Arial" w:hAnsi="Arial" w:eastAsia="Arial" w:cs="Arial"/>
                <w:b w:val="0"/>
                <w:bCs w:val="0"/>
                <w:sz w:val="16"/>
                <w:szCs w:val="16"/>
              </w:rPr>
              <w:t>否</w:t>
            </w:r>
          </w:p>
        </w:tc>
        <w:tc>
          <w:tcPr>
            <w:tcW w:w="936" w:type="dxa"/>
            <w:shd w:val="clear" w:color="auto" w:fill="FFFFFF"/>
            <w:tcMar>
              <w:top w:w="50" w:type="dxa"/>
              <w:left w:w="80" w:type="dxa"/>
              <w:bottom w:w="50" w:type="dxa"/>
              <w:right w:w="80" w:type="dxa"/>
            </w:tcMar>
          </w:tcPr>
          <w:p w14:paraId="4159056A">
            <w:pPr>
              <w:spacing w:line="252" w:lineRule="auto"/>
              <w:jc w:val="left"/>
            </w:pPr>
            <w:r>
              <w:rPr>
                <w:rFonts w:ascii="Arial" w:hAnsi="Arial" w:eastAsia="Arial" w:cs="Arial"/>
                <w:b w:val="0"/>
                <w:bCs w:val="0"/>
                <w:sz w:val="16"/>
                <w:szCs w:val="16"/>
              </w:rPr>
              <w:t>第三方</w:t>
            </w:r>
          </w:p>
        </w:tc>
        <w:tc>
          <w:tcPr>
            <w:tcW w:w="2059" w:type="dxa"/>
            <w:shd w:val="clear" w:color="auto" w:fill="FFFFFF"/>
            <w:tcMar>
              <w:top w:w="50" w:type="dxa"/>
              <w:left w:w="80" w:type="dxa"/>
              <w:bottom w:w="50" w:type="dxa"/>
              <w:right w:w="80" w:type="dxa"/>
            </w:tcMar>
          </w:tcPr>
          <w:p w14:paraId="3A59941C">
            <w:pPr>
              <w:spacing w:line="252" w:lineRule="auto"/>
              <w:jc w:val="left"/>
            </w:pPr>
            <w:r>
              <w:rPr>
                <w:rFonts w:ascii="Arial" w:hAnsi="Arial" w:eastAsia="Arial" w:cs="Arial"/>
                <w:b w:val="0"/>
                <w:bCs w:val="0"/>
                <w:sz w:val="16"/>
                <w:szCs w:val="16"/>
              </w:rPr>
              <w:t>仅应急缓冲（不可长期）</w:t>
            </w:r>
          </w:p>
        </w:tc>
      </w:tr>
      <w:tr w14:paraId="651EEF5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39FE8818">
            <w:pPr>
              <w:spacing w:line="252" w:lineRule="auto"/>
              <w:jc w:val="left"/>
            </w:pPr>
            <w:r>
              <w:rPr>
                <w:rFonts w:ascii="Arial" w:hAnsi="Arial" w:eastAsia="Arial" w:cs="Arial"/>
                <w:b/>
                <w:bCs/>
                <w:color w:val="000000"/>
                <w:sz w:val="16"/>
                <w:szCs w:val="16"/>
              </w:rPr>
              <w:t>③b 挂靠·合规维护</w:t>
            </w:r>
          </w:p>
        </w:tc>
        <w:tc>
          <w:tcPr>
            <w:tcW w:w="1685" w:type="dxa"/>
            <w:shd w:val="clear" w:color="auto" w:fill="F2F2F2"/>
            <w:tcMar>
              <w:top w:w="50" w:type="dxa"/>
              <w:left w:w="80" w:type="dxa"/>
              <w:bottom w:w="50" w:type="dxa"/>
              <w:right w:w="80" w:type="dxa"/>
            </w:tcMar>
          </w:tcPr>
          <w:p w14:paraId="5D5FC029">
            <w:pPr>
              <w:spacing w:line="252" w:lineRule="auto"/>
              <w:jc w:val="left"/>
            </w:pPr>
            <w:r>
              <w:rPr>
                <w:rFonts w:ascii="Arial" w:hAnsi="Arial" w:eastAsia="Arial" w:cs="Arial"/>
                <w:b w:val="0"/>
                <w:bCs w:val="0"/>
                <w:sz w:val="16"/>
                <w:szCs w:val="16"/>
              </w:rPr>
              <w:t>服务费+实际税费</w:t>
            </w:r>
          </w:p>
        </w:tc>
        <w:tc>
          <w:tcPr>
            <w:tcW w:w="936" w:type="dxa"/>
            <w:shd w:val="clear" w:color="auto" w:fill="F2F2F2"/>
            <w:tcMar>
              <w:top w:w="50" w:type="dxa"/>
              <w:left w:w="80" w:type="dxa"/>
              <w:bottom w:w="50" w:type="dxa"/>
              <w:right w:w="80" w:type="dxa"/>
            </w:tcMar>
          </w:tcPr>
          <w:p w14:paraId="1D6767AF">
            <w:pPr>
              <w:spacing w:line="252" w:lineRule="auto"/>
              <w:jc w:val="left"/>
            </w:pPr>
            <w:r>
              <w:rPr>
                <w:rFonts w:ascii="Arial" w:hAnsi="Arial" w:eastAsia="Arial" w:cs="Arial"/>
                <w:b w:val="0"/>
                <w:bCs w:val="0"/>
                <w:sz w:val="16"/>
                <w:szCs w:val="16"/>
              </w:rPr>
              <w:t>数天</w:t>
            </w:r>
          </w:p>
        </w:tc>
        <w:tc>
          <w:tcPr>
            <w:tcW w:w="1310" w:type="dxa"/>
            <w:shd w:val="clear" w:color="auto" w:fill="C6EFCE"/>
            <w:tcMar>
              <w:top w:w="50" w:type="dxa"/>
              <w:left w:w="80" w:type="dxa"/>
              <w:bottom w:w="50" w:type="dxa"/>
              <w:right w:w="80" w:type="dxa"/>
            </w:tcMar>
          </w:tcPr>
          <w:p w14:paraId="6428F210">
            <w:pPr>
              <w:spacing w:line="252" w:lineRule="auto"/>
              <w:jc w:val="left"/>
            </w:pPr>
            <w:r>
              <w:rPr>
                <w:rFonts w:ascii="Arial" w:hAnsi="Arial" w:eastAsia="Arial" w:cs="Arial"/>
                <w:b w:val="0"/>
                <w:bCs w:val="0"/>
                <w:color w:val="000000"/>
                <w:sz w:val="16"/>
                <w:szCs w:val="16"/>
              </w:rPr>
              <w:t>10.5%</w:t>
            </w:r>
          </w:p>
        </w:tc>
        <w:tc>
          <w:tcPr>
            <w:tcW w:w="749" w:type="dxa"/>
            <w:shd w:val="clear" w:color="auto" w:fill="F2F2F2"/>
            <w:tcMar>
              <w:top w:w="50" w:type="dxa"/>
              <w:left w:w="80" w:type="dxa"/>
              <w:bottom w:w="50" w:type="dxa"/>
              <w:right w:w="80" w:type="dxa"/>
            </w:tcMar>
          </w:tcPr>
          <w:p w14:paraId="54C9AEB0">
            <w:pPr>
              <w:spacing w:line="252" w:lineRule="auto"/>
              <w:jc w:val="left"/>
            </w:pPr>
            <w:r>
              <w:rPr>
                <w:rFonts w:ascii="Arial" w:hAnsi="Arial" w:eastAsia="Arial" w:cs="Arial"/>
                <w:b w:val="0"/>
                <w:bCs w:val="0"/>
                <w:sz w:val="16"/>
                <w:szCs w:val="16"/>
              </w:rPr>
              <w:t>部分</w:t>
            </w:r>
          </w:p>
        </w:tc>
        <w:tc>
          <w:tcPr>
            <w:tcW w:w="936" w:type="dxa"/>
            <w:shd w:val="clear" w:color="auto" w:fill="F2F2F2"/>
            <w:tcMar>
              <w:top w:w="50" w:type="dxa"/>
              <w:left w:w="80" w:type="dxa"/>
              <w:bottom w:w="50" w:type="dxa"/>
              <w:right w:w="80" w:type="dxa"/>
            </w:tcMar>
          </w:tcPr>
          <w:p w14:paraId="29D8CE31">
            <w:pPr>
              <w:spacing w:line="252" w:lineRule="auto"/>
              <w:jc w:val="left"/>
            </w:pPr>
            <w:r>
              <w:rPr>
                <w:rFonts w:ascii="Arial" w:hAnsi="Arial" w:eastAsia="Arial" w:cs="Arial"/>
                <w:b w:val="0"/>
                <w:bCs w:val="0"/>
                <w:sz w:val="16"/>
                <w:szCs w:val="16"/>
              </w:rPr>
              <w:t>第三方</w:t>
            </w:r>
          </w:p>
        </w:tc>
        <w:tc>
          <w:tcPr>
            <w:tcW w:w="2059" w:type="dxa"/>
            <w:shd w:val="clear" w:color="auto" w:fill="F2F2F2"/>
            <w:tcMar>
              <w:top w:w="50" w:type="dxa"/>
              <w:left w:w="80" w:type="dxa"/>
              <w:bottom w:w="50" w:type="dxa"/>
              <w:right w:w="80" w:type="dxa"/>
            </w:tcMar>
          </w:tcPr>
          <w:p w14:paraId="164A2097">
            <w:pPr>
              <w:spacing w:line="252" w:lineRule="auto"/>
              <w:jc w:val="left"/>
            </w:pPr>
            <w:r>
              <w:rPr>
                <w:rFonts w:ascii="Arial" w:hAnsi="Arial" w:eastAsia="Arial" w:cs="Arial"/>
                <w:b w:val="0"/>
                <w:bCs w:val="0"/>
                <w:sz w:val="16"/>
                <w:szCs w:val="16"/>
              </w:rPr>
              <w:t>短期过渡、预算有限</w:t>
            </w:r>
          </w:p>
        </w:tc>
      </w:tr>
      <w:tr w14:paraId="07F1D93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3C07E58B">
            <w:pPr>
              <w:spacing w:line="252" w:lineRule="auto"/>
              <w:jc w:val="left"/>
            </w:pPr>
            <w:r>
              <w:rPr>
                <w:rFonts w:ascii="Arial" w:hAnsi="Arial" w:eastAsia="Arial" w:cs="Arial"/>
                <w:b/>
                <w:bCs/>
                <w:color w:val="000000"/>
                <w:sz w:val="16"/>
                <w:szCs w:val="16"/>
              </w:rPr>
              <w:t>④ SAS 简易股份</w:t>
            </w:r>
          </w:p>
        </w:tc>
        <w:tc>
          <w:tcPr>
            <w:tcW w:w="1685" w:type="dxa"/>
            <w:shd w:val="clear" w:color="auto" w:fill="FFFFFF"/>
            <w:tcMar>
              <w:top w:w="50" w:type="dxa"/>
              <w:left w:w="80" w:type="dxa"/>
              <w:bottom w:w="50" w:type="dxa"/>
              <w:right w:w="80" w:type="dxa"/>
            </w:tcMar>
          </w:tcPr>
          <w:p w14:paraId="5BB0AA95">
            <w:pPr>
              <w:spacing w:line="252" w:lineRule="auto"/>
              <w:jc w:val="left"/>
            </w:pPr>
            <w:r>
              <w:rPr>
                <w:rFonts w:ascii="Arial" w:hAnsi="Arial" w:eastAsia="Arial" w:cs="Arial"/>
                <w:b w:val="0"/>
                <w:bCs w:val="0"/>
                <w:sz w:val="16"/>
                <w:szCs w:val="16"/>
              </w:rPr>
              <w:t>已关停</w:t>
            </w:r>
          </w:p>
        </w:tc>
        <w:tc>
          <w:tcPr>
            <w:tcW w:w="936" w:type="dxa"/>
            <w:shd w:val="clear" w:color="auto" w:fill="FFFFFF"/>
            <w:tcMar>
              <w:top w:w="50" w:type="dxa"/>
              <w:left w:w="80" w:type="dxa"/>
              <w:bottom w:w="50" w:type="dxa"/>
              <w:right w:w="80" w:type="dxa"/>
            </w:tcMar>
          </w:tcPr>
          <w:p w14:paraId="6E0D8BFE">
            <w:pPr>
              <w:spacing w:line="252" w:lineRule="auto"/>
              <w:jc w:val="left"/>
            </w:pPr>
            <w:r>
              <w:rPr>
                <w:rFonts w:ascii="Arial" w:hAnsi="Arial" w:eastAsia="Arial" w:cs="Arial"/>
                <w:b w:val="0"/>
                <w:bCs w:val="0"/>
                <w:sz w:val="16"/>
                <w:szCs w:val="16"/>
              </w:rPr>
              <w:t>—</w:t>
            </w:r>
          </w:p>
        </w:tc>
        <w:tc>
          <w:tcPr>
            <w:tcW w:w="1310" w:type="dxa"/>
            <w:shd w:val="clear" w:color="auto" w:fill="FFEB9C"/>
            <w:tcMar>
              <w:top w:w="50" w:type="dxa"/>
              <w:left w:w="80" w:type="dxa"/>
              <w:bottom w:w="50" w:type="dxa"/>
              <w:right w:w="80" w:type="dxa"/>
            </w:tcMar>
          </w:tcPr>
          <w:p w14:paraId="6E6621F8">
            <w:pPr>
              <w:spacing w:line="252" w:lineRule="auto"/>
              <w:jc w:val="left"/>
            </w:pPr>
            <w:r>
              <w:rPr>
                <w:rFonts w:ascii="Arial" w:hAnsi="Arial" w:eastAsia="Arial" w:cs="Arial"/>
                <w:b w:val="0"/>
                <w:bCs w:val="0"/>
                <w:color w:val="000000"/>
                <w:sz w:val="16"/>
                <w:szCs w:val="16"/>
              </w:rPr>
              <w:t>10.5%</w:t>
            </w:r>
          </w:p>
        </w:tc>
        <w:tc>
          <w:tcPr>
            <w:tcW w:w="749" w:type="dxa"/>
            <w:shd w:val="clear" w:color="auto" w:fill="FFFFFF"/>
            <w:tcMar>
              <w:top w:w="50" w:type="dxa"/>
              <w:left w:w="80" w:type="dxa"/>
              <w:bottom w:w="50" w:type="dxa"/>
              <w:right w:w="80" w:type="dxa"/>
            </w:tcMar>
          </w:tcPr>
          <w:p w14:paraId="62087DDC">
            <w:pPr>
              <w:spacing w:line="252" w:lineRule="auto"/>
              <w:jc w:val="left"/>
            </w:pPr>
            <w:r>
              <w:rPr>
                <w:rFonts w:ascii="Arial" w:hAnsi="Arial" w:eastAsia="Arial" w:cs="Arial"/>
                <w:b w:val="0"/>
                <w:bCs w:val="0"/>
                <w:sz w:val="16"/>
                <w:szCs w:val="16"/>
              </w:rPr>
              <w:t>是</w:t>
            </w:r>
          </w:p>
        </w:tc>
        <w:tc>
          <w:tcPr>
            <w:tcW w:w="936" w:type="dxa"/>
            <w:shd w:val="clear" w:color="auto" w:fill="FFFFFF"/>
            <w:tcMar>
              <w:top w:w="50" w:type="dxa"/>
              <w:left w:w="80" w:type="dxa"/>
              <w:bottom w:w="50" w:type="dxa"/>
              <w:right w:w="80" w:type="dxa"/>
            </w:tcMar>
          </w:tcPr>
          <w:p w14:paraId="72C2F17E">
            <w:pPr>
              <w:spacing w:line="252" w:lineRule="auto"/>
              <w:jc w:val="left"/>
            </w:pPr>
            <w:r>
              <w:rPr>
                <w:rFonts w:ascii="Arial" w:hAnsi="Arial" w:eastAsia="Arial" w:cs="Arial"/>
                <w:b w:val="0"/>
                <w:bCs w:val="0"/>
                <w:sz w:val="16"/>
                <w:szCs w:val="16"/>
              </w:rPr>
              <w:t>自持</w:t>
            </w:r>
          </w:p>
        </w:tc>
        <w:tc>
          <w:tcPr>
            <w:tcW w:w="2059" w:type="dxa"/>
            <w:shd w:val="clear" w:color="auto" w:fill="FFFFFF"/>
            <w:tcMar>
              <w:top w:w="50" w:type="dxa"/>
              <w:left w:w="80" w:type="dxa"/>
              <w:bottom w:w="50" w:type="dxa"/>
              <w:right w:w="80" w:type="dxa"/>
            </w:tcMar>
          </w:tcPr>
          <w:p w14:paraId="24024318">
            <w:pPr>
              <w:spacing w:line="252" w:lineRule="auto"/>
              <w:jc w:val="left"/>
            </w:pPr>
            <w:r>
              <w:rPr>
                <w:rFonts w:ascii="Arial" w:hAnsi="Arial" w:eastAsia="Arial" w:cs="Arial"/>
                <w:b w:val="0"/>
                <w:bCs w:val="0"/>
                <w:sz w:val="16"/>
                <w:szCs w:val="16"/>
              </w:rPr>
              <w:t>通道关停，仅存量过渡</w:t>
            </w:r>
          </w:p>
        </w:tc>
      </w:tr>
    </w:tbl>
    <w:p w14:paraId="52C6DDD6">
      <w:pPr>
        <w:spacing w:before="40" w:after="160"/>
      </w:pPr>
      <w:r>
        <w:rPr>
          <w:rFonts w:ascii="Arial" w:hAnsi="Arial" w:eastAsia="Arial" w:cs="Arial"/>
          <w:i/>
          <w:iCs/>
          <w:color w:val="808080"/>
          <w:sz w:val="16"/>
          <w:szCs w:val="16"/>
        </w:rPr>
        <w:t>表 4-1：四种RFC路径对比（费用为2026公开信息估算，非报价）。</w:t>
      </w:r>
    </w:p>
    <w:tbl>
      <w:tblPr>
        <w:tblStyle w:val="11"/>
        <w:tblW w:w="5000" w:type="pct"/>
        <w:tblInd w:w="0" w:type="dxa"/>
        <w:tblBorders>
          <w:top w:val="single" w:color="FCE4D6" w:sz="2" w:space="0"/>
          <w:left w:val="single" w:color="C00000" w:sz="30" w:space="0"/>
          <w:bottom w:val="single" w:color="FCE4D6" w:sz="2" w:space="0"/>
          <w:right w:val="single" w:color="FCE4D6"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15E998C7">
        <w:tblPrEx>
          <w:tblBorders>
            <w:top w:val="single" w:color="FCE4D6" w:sz="2" w:space="0"/>
            <w:left w:val="single" w:color="C00000" w:sz="30" w:space="0"/>
            <w:bottom w:val="single" w:color="FCE4D6" w:sz="2" w:space="0"/>
            <w:right w:val="single" w:color="FCE4D6"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CE4D6"/>
            <w:tcMar>
              <w:top w:w="120" w:type="dxa"/>
              <w:left w:w="200" w:type="dxa"/>
              <w:bottom w:w="120" w:type="dxa"/>
              <w:right w:w="200" w:type="dxa"/>
            </w:tcMar>
          </w:tcPr>
          <w:p w14:paraId="0010B95B">
            <w:pPr>
              <w:spacing w:after="60"/>
            </w:pPr>
            <w:r>
              <w:rPr>
                <w:rFonts w:ascii="Arial" w:hAnsi="Arial" w:eastAsia="Arial" w:cs="Arial"/>
                <w:b/>
                <w:bCs/>
                <w:color w:val="1F3864"/>
                <w:sz w:val="21"/>
                <w:szCs w:val="21"/>
              </w:rPr>
              <w:t>挂靠的两副面孔（务必向客户讲清）</w:t>
            </w:r>
          </w:p>
          <w:p w14:paraId="60BE0DE9">
            <w:pPr>
              <w:spacing w:after="40" w:line="276" w:lineRule="auto"/>
            </w:pPr>
            <w:r>
              <w:rPr>
                <w:rFonts w:ascii="Arial" w:hAnsi="Arial" w:eastAsia="Arial" w:cs="Arial"/>
                <w:sz w:val="20"/>
                <w:szCs w:val="20"/>
              </w:rPr>
              <w:t>③a 空壳挂靠：服务商提供短期存续、不做财税合规的本土公司RFC，用完即弃。费用极低但风险极高——一号多卖、服务商跑路会导致关联店铺全部被牵连封停。</w:t>
            </w:r>
          </w:p>
          <w:p w14:paraId="137F93FD">
            <w:pPr>
              <w:spacing w:after="40" w:line="276" w:lineRule="auto"/>
            </w:pPr>
            <w:r>
              <w:rPr>
                <w:rFonts w:ascii="Arial" w:hAnsi="Arial" w:eastAsia="Arial" w:cs="Arial"/>
                <w:sz w:val="20"/>
                <w:szCs w:val="20"/>
              </w:rPr>
              <w:t>③b 合规维护挂靠：服务商定期收“服务费+实际运营税费”，为公司购买合规进项发票、做月度申报，维持公司活跃合规。风险中等，高度依赖服务商诚信与税务操作能力。</w:t>
            </w:r>
          </w:p>
          <w:p w14:paraId="1FE0D286">
            <w:pPr>
              <w:spacing w:after="40" w:line="276" w:lineRule="auto"/>
            </w:pPr>
            <w:r>
              <w:rPr>
                <w:rFonts w:ascii="Arial" w:hAnsi="Arial" w:eastAsia="Arial" w:cs="Arial"/>
                <w:b/>
                <w:bCs/>
                <w:color w:val="C00000"/>
                <w:sz w:val="20"/>
                <w:szCs w:val="20"/>
              </w:rPr>
              <w:t>美客多官方支持“一号多绑”，但风险共享——一个税号出问题，所有绑定店铺遭殃。</w:t>
            </w:r>
          </w:p>
        </w:tc>
      </w:tr>
    </w:tbl>
    <w:p w14:paraId="248E677B">
      <w:pPr>
        <w:pStyle w:val="3"/>
        <w:spacing w:before="220" w:after="120"/>
      </w:pPr>
      <w:r>
        <w:rPr>
          <w:rFonts w:ascii="Arial" w:hAnsi="Arial" w:eastAsia="Arial" w:cs="Arial"/>
          <w:b/>
          <w:bCs/>
          <w:color w:val="2E5496"/>
          <w:sz w:val="25"/>
          <w:szCs w:val="25"/>
        </w:rPr>
        <w:t>4.2　公司类型：SA de CV 为什么是主推</w:t>
      </w:r>
    </w:p>
    <w:p w14:paraId="2A94BBB2">
      <w:pPr>
        <w:spacing w:after="140" w:line="288" w:lineRule="auto"/>
        <w:jc w:val="both"/>
      </w:pPr>
      <w:r>
        <w:rPr>
          <w:rFonts w:ascii="Arial" w:hAnsi="Arial" w:eastAsia="Arial" w:cs="Arial"/>
          <w:sz w:val="21"/>
          <w:szCs w:val="21"/>
        </w:rPr>
        <w:t>墨西哥常见的公司实体形式包括SA de CV（可变资本股份有限公司）、SAS（简易股份公司）、S. de R.L.（有限责任公司）。对跨境卖家服务而言，选型直接影响成本与业务存续。</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371"/>
        <w:gridCol w:w="1764"/>
        <w:gridCol w:w="1568"/>
        <w:gridCol w:w="1568"/>
        <w:gridCol w:w="2155"/>
        <w:gridCol w:w="1372"/>
      </w:tblGrid>
      <w:tr w14:paraId="6188C016">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310" w:type="dxa"/>
            <w:shd w:val="clear" w:color="auto" w:fill="1F3864"/>
            <w:tcMar>
              <w:top w:w="60" w:type="dxa"/>
              <w:left w:w="80" w:type="dxa"/>
              <w:bottom w:w="60" w:type="dxa"/>
              <w:right w:w="80" w:type="dxa"/>
            </w:tcMar>
          </w:tcPr>
          <w:p w14:paraId="123EC5D9">
            <w:pPr>
              <w:jc w:val="center"/>
            </w:pPr>
            <w:r>
              <w:rPr>
                <w:rFonts w:ascii="Arial" w:hAnsi="Arial" w:eastAsia="Arial" w:cs="Arial"/>
                <w:b/>
                <w:bCs/>
                <w:color w:val="FFFFFF"/>
                <w:sz w:val="18"/>
                <w:szCs w:val="18"/>
              </w:rPr>
              <w:t>类型</w:t>
            </w:r>
          </w:p>
        </w:tc>
        <w:tc>
          <w:tcPr>
            <w:tcW w:w="1685" w:type="dxa"/>
            <w:shd w:val="clear" w:color="auto" w:fill="1F3864"/>
            <w:tcMar>
              <w:top w:w="60" w:type="dxa"/>
              <w:left w:w="80" w:type="dxa"/>
              <w:bottom w:w="60" w:type="dxa"/>
              <w:right w:w="80" w:type="dxa"/>
            </w:tcMar>
          </w:tcPr>
          <w:p w14:paraId="68E849D4">
            <w:pPr>
              <w:jc w:val="center"/>
            </w:pPr>
            <w:r>
              <w:rPr>
                <w:rFonts w:ascii="Arial" w:hAnsi="Arial" w:eastAsia="Arial" w:cs="Arial"/>
                <w:b/>
                <w:bCs/>
                <w:color w:val="FFFFFF"/>
                <w:sz w:val="18"/>
                <w:szCs w:val="18"/>
              </w:rPr>
              <w:t>股东</w:t>
            </w:r>
          </w:p>
        </w:tc>
        <w:tc>
          <w:tcPr>
            <w:tcW w:w="1498" w:type="dxa"/>
            <w:shd w:val="clear" w:color="auto" w:fill="1F3864"/>
            <w:tcMar>
              <w:top w:w="60" w:type="dxa"/>
              <w:left w:w="80" w:type="dxa"/>
              <w:bottom w:w="60" w:type="dxa"/>
              <w:right w:w="80" w:type="dxa"/>
            </w:tcMar>
          </w:tcPr>
          <w:p w14:paraId="731A141D">
            <w:pPr>
              <w:jc w:val="center"/>
            </w:pPr>
            <w:r>
              <w:rPr>
                <w:rFonts w:ascii="Arial" w:hAnsi="Arial" w:eastAsia="Arial" w:cs="Arial"/>
                <w:b/>
                <w:bCs/>
                <w:color w:val="FFFFFF"/>
                <w:sz w:val="18"/>
                <w:szCs w:val="18"/>
              </w:rPr>
              <w:t>营收上限</w:t>
            </w:r>
          </w:p>
        </w:tc>
        <w:tc>
          <w:tcPr>
            <w:tcW w:w="1498" w:type="dxa"/>
            <w:shd w:val="clear" w:color="auto" w:fill="1F3864"/>
            <w:tcMar>
              <w:top w:w="60" w:type="dxa"/>
              <w:left w:w="80" w:type="dxa"/>
              <w:bottom w:w="60" w:type="dxa"/>
              <w:right w:w="80" w:type="dxa"/>
            </w:tcMar>
          </w:tcPr>
          <w:p w14:paraId="75C5A921">
            <w:pPr>
              <w:jc w:val="center"/>
            </w:pPr>
            <w:r>
              <w:rPr>
                <w:rFonts w:ascii="Arial" w:hAnsi="Arial" w:eastAsia="Arial" w:cs="Arial"/>
                <w:b/>
                <w:bCs/>
                <w:color w:val="FFFFFF"/>
                <w:sz w:val="18"/>
                <w:szCs w:val="18"/>
              </w:rPr>
              <w:t>维护成本 (估)</w:t>
            </w:r>
          </w:p>
        </w:tc>
        <w:tc>
          <w:tcPr>
            <w:tcW w:w="2059" w:type="dxa"/>
            <w:shd w:val="clear" w:color="auto" w:fill="1F3864"/>
            <w:tcMar>
              <w:top w:w="60" w:type="dxa"/>
              <w:left w:w="80" w:type="dxa"/>
              <w:bottom w:w="60" w:type="dxa"/>
              <w:right w:w="80" w:type="dxa"/>
            </w:tcMar>
          </w:tcPr>
          <w:p w14:paraId="7FBE95AA">
            <w:pPr>
              <w:jc w:val="center"/>
            </w:pPr>
            <w:r>
              <w:rPr>
                <w:rFonts w:ascii="Arial" w:hAnsi="Arial" w:eastAsia="Arial" w:cs="Arial"/>
                <w:b/>
                <w:bCs/>
                <w:color w:val="FFFFFF"/>
                <w:sz w:val="18"/>
                <w:szCs w:val="18"/>
              </w:rPr>
              <w:t>适用场景</w:t>
            </w:r>
          </w:p>
        </w:tc>
        <w:tc>
          <w:tcPr>
            <w:tcW w:w="1310" w:type="dxa"/>
            <w:shd w:val="clear" w:color="auto" w:fill="1F3864"/>
            <w:tcMar>
              <w:top w:w="60" w:type="dxa"/>
              <w:left w:w="80" w:type="dxa"/>
              <w:bottom w:w="60" w:type="dxa"/>
              <w:right w:w="80" w:type="dxa"/>
            </w:tcMar>
          </w:tcPr>
          <w:p w14:paraId="7C428BFE">
            <w:pPr>
              <w:jc w:val="center"/>
            </w:pPr>
            <w:r>
              <w:rPr>
                <w:rFonts w:ascii="Arial" w:hAnsi="Arial" w:eastAsia="Arial" w:cs="Arial"/>
                <w:b/>
                <w:bCs/>
                <w:color w:val="FFFFFF"/>
                <w:sz w:val="18"/>
                <w:szCs w:val="18"/>
              </w:rPr>
              <w:t>结论</w:t>
            </w:r>
          </w:p>
        </w:tc>
      </w:tr>
      <w:tr w14:paraId="46435C1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5133035C">
            <w:pPr>
              <w:spacing w:line="252" w:lineRule="auto"/>
              <w:jc w:val="left"/>
            </w:pPr>
            <w:r>
              <w:rPr>
                <w:rFonts w:ascii="Arial" w:hAnsi="Arial" w:eastAsia="Arial" w:cs="Arial"/>
                <w:b/>
                <w:bCs/>
                <w:color w:val="000000"/>
                <w:sz w:val="17"/>
                <w:szCs w:val="17"/>
              </w:rPr>
              <w:t>SA de CV</w:t>
            </w:r>
          </w:p>
        </w:tc>
        <w:tc>
          <w:tcPr>
            <w:tcW w:w="1685" w:type="dxa"/>
            <w:shd w:val="clear" w:color="auto" w:fill="FFFFFF"/>
            <w:tcMar>
              <w:top w:w="50" w:type="dxa"/>
              <w:left w:w="80" w:type="dxa"/>
              <w:bottom w:w="50" w:type="dxa"/>
              <w:right w:w="80" w:type="dxa"/>
            </w:tcMar>
          </w:tcPr>
          <w:p w14:paraId="4AAE3521">
            <w:pPr>
              <w:spacing w:line="252" w:lineRule="auto"/>
              <w:jc w:val="left"/>
            </w:pPr>
            <w:r>
              <w:rPr>
                <w:rFonts w:ascii="Arial" w:hAnsi="Arial" w:eastAsia="Arial" w:cs="Arial"/>
                <w:b w:val="0"/>
                <w:bCs w:val="0"/>
                <w:sz w:val="17"/>
                <w:szCs w:val="17"/>
              </w:rPr>
              <w:t>≥2（可1%名义）</w:t>
            </w:r>
          </w:p>
        </w:tc>
        <w:tc>
          <w:tcPr>
            <w:tcW w:w="1498" w:type="dxa"/>
            <w:shd w:val="clear" w:color="auto" w:fill="FFFFFF"/>
            <w:tcMar>
              <w:top w:w="50" w:type="dxa"/>
              <w:left w:w="80" w:type="dxa"/>
              <w:bottom w:w="50" w:type="dxa"/>
              <w:right w:w="80" w:type="dxa"/>
            </w:tcMar>
          </w:tcPr>
          <w:p w14:paraId="18664E6C">
            <w:pPr>
              <w:spacing w:line="252" w:lineRule="auto"/>
              <w:jc w:val="left"/>
            </w:pPr>
            <w:r>
              <w:rPr>
                <w:rFonts w:ascii="Arial" w:hAnsi="Arial" w:eastAsia="Arial" w:cs="Arial"/>
                <w:b w:val="0"/>
                <w:bCs w:val="0"/>
                <w:sz w:val="17"/>
                <w:szCs w:val="17"/>
              </w:rPr>
              <w:t>无</w:t>
            </w:r>
          </w:p>
        </w:tc>
        <w:tc>
          <w:tcPr>
            <w:tcW w:w="1498" w:type="dxa"/>
            <w:shd w:val="clear" w:color="auto" w:fill="FFFFFF"/>
            <w:tcMar>
              <w:top w:w="50" w:type="dxa"/>
              <w:left w:w="80" w:type="dxa"/>
              <w:bottom w:w="50" w:type="dxa"/>
              <w:right w:w="80" w:type="dxa"/>
            </w:tcMar>
          </w:tcPr>
          <w:p w14:paraId="6786A845">
            <w:pPr>
              <w:spacing w:line="252" w:lineRule="auto"/>
              <w:jc w:val="left"/>
            </w:pPr>
            <w:r>
              <w:rPr>
                <w:rFonts w:ascii="Arial" w:hAnsi="Arial" w:eastAsia="Arial" w:cs="Arial"/>
                <w:b w:val="0"/>
                <w:bCs w:val="0"/>
                <w:sz w:val="17"/>
                <w:szCs w:val="17"/>
              </w:rPr>
              <w:t>US$3k–6k/年</w:t>
            </w:r>
          </w:p>
        </w:tc>
        <w:tc>
          <w:tcPr>
            <w:tcW w:w="2059" w:type="dxa"/>
            <w:shd w:val="clear" w:color="auto" w:fill="FFFFFF"/>
            <w:tcMar>
              <w:top w:w="50" w:type="dxa"/>
              <w:left w:w="80" w:type="dxa"/>
              <w:bottom w:w="50" w:type="dxa"/>
              <w:right w:w="80" w:type="dxa"/>
            </w:tcMar>
          </w:tcPr>
          <w:p w14:paraId="6DCDF7EE">
            <w:pPr>
              <w:spacing w:line="252" w:lineRule="auto"/>
              <w:jc w:val="left"/>
            </w:pPr>
            <w:r>
              <w:rPr>
                <w:rFonts w:ascii="Arial" w:hAnsi="Arial" w:eastAsia="Arial" w:cs="Arial"/>
                <w:b w:val="0"/>
                <w:bCs w:val="0"/>
                <w:sz w:val="17"/>
                <w:szCs w:val="17"/>
              </w:rPr>
              <w:t>中大型、外资主流（约80%）</w:t>
            </w:r>
          </w:p>
        </w:tc>
        <w:tc>
          <w:tcPr>
            <w:tcW w:w="1310" w:type="dxa"/>
            <w:shd w:val="clear" w:color="auto" w:fill="C6EFCE"/>
            <w:tcMar>
              <w:top w:w="50" w:type="dxa"/>
              <w:left w:w="80" w:type="dxa"/>
              <w:bottom w:w="50" w:type="dxa"/>
              <w:right w:w="80" w:type="dxa"/>
            </w:tcMar>
          </w:tcPr>
          <w:p w14:paraId="0E7DDE41">
            <w:pPr>
              <w:spacing w:line="252" w:lineRule="auto"/>
              <w:jc w:val="left"/>
            </w:pPr>
            <w:r>
              <w:rPr>
                <w:rFonts w:ascii="Arial" w:hAnsi="Arial" w:eastAsia="Arial" w:cs="Arial"/>
                <w:b w:val="0"/>
                <w:bCs w:val="0"/>
                <w:color w:val="000000"/>
                <w:sz w:val="17"/>
                <w:szCs w:val="17"/>
              </w:rPr>
              <w:t>★ 主推</w:t>
            </w:r>
          </w:p>
        </w:tc>
      </w:tr>
      <w:tr w14:paraId="5ADD56B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01BEFD99">
            <w:pPr>
              <w:spacing w:line="252" w:lineRule="auto"/>
              <w:jc w:val="left"/>
            </w:pPr>
            <w:r>
              <w:rPr>
                <w:rFonts w:ascii="Arial" w:hAnsi="Arial" w:eastAsia="Arial" w:cs="Arial"/>
                <w:b/>
                <w:bCs/>
                <w:color w:val="000000"/>
                <w:sz w:val="17"/>
                <w:szCs w:val="17"/>
              </w:rPr>
              <w:t>SAS</w:t>
            </w:r>
          </w:p>
        </w:tc>
        <w:tc>
          <w:tcPr>
            <w:tcW w:w="1685" w:type="dxa"/>
            <w:shd w:val="clear" w:color="auto" w:fill="F2F2F2"/>
            <w:tcMar>
              <w:top w:w="50" w:type="dxa"/>
              <w:left w:w="80" w:type="dxa"/>
              <w:bottom w:w="50" w:type="dxa"/>
              <w:right w:w="80" w:type="dxa"/>
            </w:tcMar>
          </w:tcPr>
          <w:p w14:paraId="3784DD92">
            <w:pPr>
              <w:spacing w:line="252" w:lineRule="auto"/>
              <w:jc w:val="left"/>
            </w:pPr>
            <w:r>
              <w:rPr>
                <w:rFonts w:ascii="Arial" w:hAnsi="Arial" w:eastAsia="Arial" w:cs="Arial"/>
                <w:b w:val="0"/>
                <w:bCs w:val="0"/>
                <w:sz w:val="17"/>
                <w:szCs w:val="17"/>
              </w:rPr>
              <w:t>可单人</w:t>
            </w:r>
          </w:p>
        </w:tc>
        <w:tc>
          <w:tcPr>
            <w:tcW w:w="1498" w:type="dxa"/>
            <w:shd w:val="clear" w:color="auto" w:fill="F2F2F2"/>
            <w:tcMar>
              <w:top w:w="50" w:type="dxa"/>
              <w:left w:w="80" w:type="dxa"/>
              <w:bottom w:w="50" w:type="dxa"/>
              <w:right w:w="80" w:type="dxa"/>
            </w:tcMar>
          </w:tcPr>
          <w:p w14:paraId="0E26BD1A">
            <w:pPr>
              <w:spacing w:line="252" w:lineRule="auto"/>
              <w:jc w:val="left"/>
            </w:pPr>
            <w:r>
              <w:rPr>
                <w:rFonts w:ascii="Arial" w:hAnsi="Arial" w:eastAsia="Arial" w:cs="Arial"/>
                <w:b w:val="0"/>
                <w:bCs w:val="0"/>
                <w:sz w:val="17"/>
                <w:szCs w:val="17"/>
              </w:rPr>
              <w:t>≈768万比索</w:t>
            </w:r>
          </w:p>
        </w:tc>
        <w:tc>
          <w:tcPr>
            <w:tcW w:w="1498" w:type="dxa"/>
            <w:shd w:val="clear" w:color="auto" w:fill="F2F2F2"/>
            <w:tcMar>
              <w:top w:w="50" w:type="dxa"/>
              <w:left w:w="80" w:type="dxa"/>
              <w:bottom w:w="50" w:type="dxa"/>
              <w:right w:w="80" w:type="dxa"/>
            </w:tcMar>
          </w:tcPr>
          <w:p w14:paraId="08C1A6DA">
            <w:pPr>
              <w:spacing w:line="252" w:lineRule="auto"/>
              <w:jc w:val="left"/>
            </w:pPr>
            <w:r>
              <w:rPr>
                <w:rFonts w:ascii="Arial" w:hAnsi="Arial" w:eastAsia="Arial" w:cs="Arial"/>
                <w:b w:val="0"/>
                <w:bCs w:val="0"/>
                <w:sz w:val="17"/>
                <w:szCs w:val="17"/>
              </w:rPr>
              <w:t>低</w:t>
            </w:r>
          </w:p>
        </w:tc>
        <w:tc>
          <w:tcPr>
            <w:tcW w:w="2059" w:type="dxa"/>
            <w:shd w:val="clear" w:color="auto" w:fill="F2F2F2"/>
            <w:tcMar>
              <w:top w:w="50" w:type="dxa"/>
              <w:left w:w="80" w:type="dxa"/>
              <w:bottom w:w="50" w:type="dxa"/>
              <w:right w:w="80" w:type="dxa"/>
            </w:tcMar>
          </w:tcPr>
          <w:p w14:paraId="2B00097C">
            <w:pPr>
              <w:spacing w:line="252" w:lineRule="auto"/>
              <w:jc w:val="left"/>
            </w:pPr>
            <w:r>
              <w:rPr>
                <w:rFonts w:ascii="Arial" w:hAnsi="Arial" w:eastAsia="Arial" w:cs="Arial"/>
                <w:b w:val="0"/>
                <w:bCs w:val="0"/>
                <w:sz w:val="17"/>
                <w:szCs w:val="17"/>
              </w:rPr>
              <w:t>初创（通道已关停）</w:t>
            </w:r>
          </w:p>
        </w:tc>
        <w:tc>
          <w:tcPr>
            <w:tcW w:w="1310" w:type="dxa"/>
            <w:shd w:val="clear" w:color="auto" w:fill="FFC7CE"/>
            <w:tcMar>
              <w:top w:w="50" w:type="dxa"/>
              <w:left w:w="80" w:type="dxa"/>
              <w:bottom w:w="50" w:type="dxa"/>
              <w:right w:w="80" w:type="dxa"/>
            </w:tcMar>
          </w:tcPr>
          <w:p w14:paraId="3DC4588B">
            <w:pPr>
              <w:spacing w:line="252" w:lineRule="auto"/>
              <w:jc w:val="left"/>
            </w:pPr>
            <w:r>
              <w:rPr>
                <w:rFonts w:ascii="Arial" w:hAnsi="Arial" w:eastAsia="Arial" w:cs="Arial"/>
                <w:b w:val="0"/>
                <w:bCs w:val="0"/>
                <w:color w:val="000000"/>
                <w:sz w:val="17"/>
                <w:szCs w:val="17"/>
              </w:rPr>
              <w:t>不可新设</w:t>
            </w:r>
          </w:p>
        </w:tc>
      </w:tr>
      <w:tr w14:paraId="40F05F6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59250FAD">
            <w:pPr>
              <w:spacing w:line="252" w:lineRule="auto"/>
              <w:jc w:val="left"/>
            </w:pPr>
            <w:r>
              <w:rPr>
                <w:rFonts w:ascii="Arial" w:hAnsi="Arial" w:eastAsia="Arial" w:cs="Arial"/>
                <w:b/>
                <w:bCs/>
                <w:color w:val="000000"/>
                <w:sz w:val="17"/>
                <w:szCs w:val="17"/>
              </w:rPr>
              <w:t>S. de R.L.</w:t>
            </w:r>
          </w:p>
        </w:tc>
        <w:tc>
          <w:tcPr>
            <w:tcW w:w="1685" w:type="dxa"/>
            <w:shd w:val="clear" w:color="auto" w:fill="FFFFFF"/>
            <w:tcMar>
              <w:top w:w="50" w:type="dxa"/>
              <w:left w:w="80" w:type="dxa"/>
              <w:bottom w:w="50" w:type="dxa"/>
              <w:right w:w="80" w:type="dxa"/>
            </w:tcMar>
          </w:tcPr>
          <w:p w14:paraId="1273A443">
            <w:pPr>
              <w:spacing w:line="252" w:lineRule="auto"/>
              <w:jc w:val="left"/>
            </w:pPr>
            <w:r>
              <w:rPr>
                <w:rFonts w:ascii="Arial" w:hAnsi="Arial" w:eastAsia="Arial" w:cs="Arial"/>
                <w:b w:val="0"/>
                <w:bCs w:val="0"/>
                <w:sz w:val="17"/>
                <w:szCs w:val="17"/>
              </w:rPr>
              <w:t>≥2</w:t>
            </w:r>
          </w:p>
        </w:tc>
        <w:tc>
          <w:tcPr>
            <w:tcW w:w="1498" w:type="dxa"/>
            <w:shd w:val="clear" w:color="auto" w:fill="FFFFFF"/>
            <w:tcMar>
              <w:top w:w="50" w:type="dxa"/>
              <w:left w:w="80" w:type="dxa"/>
              <w:bottom w:w="50" w:type="dxa"/>
              <w:right w:w="80" w:type="dxa"/>
            </w:tcMar>
          </w:tcPr>
          <w:p w14:paraId="18C9D1B3">
            <w:pPr>
              <w:spacing w:line="252" w:lineRule="auto"/>
              <w:jc w:val="left"/>
            </w:pPr>
            <w:r>
              <w:rPr>
                <w:rFonts w:ascii="Arial" w:hAnsi="Arial" w:eastAsia="Arial" w:cs="Arial"/>
                <w:b w:val="0"/>
                <w:bCs w:val="0"/>
                <w:sz w:val="17"/>
                <w:szCs w:val="17"/>
              </w:rPr>
              <w:t>无</w:t>
            </w:r>
          </w:p>
        </w:tc>
        <w:tc>
          <w:tcPr>
            <w:tcW w:w="1498" w:type="dxa"/>
            <w:shd w:val="clear" w:color="auto" w:fill="FFFFFF"/>
            <w:tcMar>
              <w:top w:w="50" w:type="dxa"/>
              <w:left w:w="80" w:type="dxa"/>
              <w:bottom w:w="50" w:type="dxa"/>
              <w:right w:w="80" w:type="dxa"/>
            </w:tcMar>
          </w:tcPr>
          <w:p w14:paraId="463EB6E9">
            <w:pPr>
              <w:spacing w:line="252" w:lineRule="auto"/>
              <w:jc w:val="left"/>
            </w:pPr>
            <w:r>
              <w:rPr>
                <w:rFonts w:ascii="Arial" w:hAnsi="Arial" w:eastAsia="Arial" w:cs="Arial"/>
                <w:b w:val="0"/>
                <w:bCs w:val="0"/>
                <w:sz w:val="17"/>
                <w:szCs w:val="17"/>
              </w:rPr>
              <w:t>中</w:t>
            </w:r>
          </w:p>
        </w:tc>
        <w:tc>
          <w:tcPr>
            <w:tcW w:w="2059" w:type="dxa"/>
            <w:shd w:val="clear" w:color="auto" w:fill="FFFFFF"/>
            <w:tcMar>
              <w:top w:w="50" w:type="dxa"/>
              <w:left w:w="80" w:type="dxa"/>
              <w:bottom w:w="50" w:type="dxa"/>
              <w:right w:w="80" w:type="dxa"/>
            </w:tcMar>
          </w:tcPr>
          <w:p w14:paraId="3646ED5C">
            <w:pPr>
              <w:spacing w:line="252" w:lineRule="auto"/>
              <w:jc w:val="left"/>
            </w:pPr>
            <w:r>
              <w:rPr>
                <w:rFonts w:ascii="Arial" w:hAnsi="Arial" w:eastAsia="Arial" w:cs="Arial"/>
                <w:b w:val="0"/>
                <w:bCs w:val="0"/>
                <w:sz w:val="17"/>
                <w:szCs w:val="17"/>
              </w:rPr>
              <w:t>实体制造/IMMEX出口</w:t>
            </w:r>
          </w:p>
        </w:tc>
        <w:tc>
          <w:tcPr>
            <w:tcW w:w="1310" w:type="dxa"/>
            <w:shd w:val="clear" w:color="auto" w:fill="FFFFFF"/>
            <w:tcMar>
              <w:top w:w="50" w:type="dxa"/>
              <w:left w:w="80" w:type="dxa"/>
              <w:bottom w:w="50" w:type="dxa"/>
              <w:right w:w="80" w:type="dxa"/>
            </w:tcMar>
          </w:tcPr>
          <w:p w14:paraId="22F17F51">
            <w:pPr>
              <w:spacing w:line="252" w:lineRule="auto"/>
              <w:jc w:val="left"/>
            </w:pPr>
            <w:r>
              <w:rPr>
                <w:rFonts w:ascii="Arial" w:hAnsi="Arial" w:eastAsia="Arial" w:cs="Arial"/>
                <w:b w:val="0"/>
                <w:bCs w:val="0"/>
                <w:sz w:val="17"/>
                <w:szCs w:val="17"/>
              </w:rPr>
              <w:t>特定场景</w:t>
            </w:r>
          </w:p>
        </w:tc>
      </w:tr>
    </w:tbl>
    <w:p w14:paraId="6C5D6DD7">
      <w:pPr>
        <w:spacing w:before="40" w:after="160"/>
      </w:pPr>
      <w:r>
        <w:rPr>
          <w:rFonts w:ascii="Arial" w:hAnsi="Arial" w:eastAsia="Arial" w:cs="Arial"/>
          <w:i/>
          <w:iCs/>
          <w:color w:val="808080"/>
          <w:sz w:val="16"/>
          <w:szCs w:val="16"/>
        </w:rPr>
        <w:t>表 4-2：公司类型对比。SAS注册通道已于2026年关停且有营收上限，SA de CV成为跨境服务的默认主体。</w:t>
      </w:r>
    </w:p>
    <w:p w14:paraId="2FC27CFB">
      <w:pPr>
        <w:spacing w:after="140" w:line="288" w:lineRule="auto"/>
        <w:jc w:val="both"/>
      </w:pPr>
      <w:r>
        <w:rPr>
          <w:rFonts w:ascii="Arial" w:hAnsi="Arial" w:eastAsia="Arial" w:cs="Arial"/>
          <w:sz w:val="21"/>
          <w:szCs w:val="21"/>
        </w:rPr>
        <w:t>关键结论：由于SAS通道关停、且有约768万比索（约人民币270万）的年营收上限（超额可能被系统拦截并面临最高5%营业额罚款），你的产品应围绕SA de CV设计本土主体；S. de R.L.保留给有IMMEX/进出口需求的制造型客户。</w:t>
      </w:r>
    </w:p>
    <w:p w14:paraId="1C6083A6">
      <w:pPr>
        <w:pStyle w:val="3"/>
        <w:spacing w:before="220" w:after="120"/>
      </w:pPr>
      <w:r>
        <w:rPr>
          <w:rFonts w:ascii="Arial" w:hAnsi="Arial" w:eastAsia="Arial" w:cs="Arial"/>
          <w:b/>
          <w:bCs/>
          <w:color w:val="2E5496"/>
          <w:sz w:val="25"/>
          <w:szCs w:val="25"/>
        </w:rPr>
        <w:t>4.3　路径决策树：把客户对号入座</w:t>
      </w:r>
    </w:p>
    <w:p w14:paraId="24895020">
      <w:pPr>
        <w:spacing w:after="140" w:line="288" w:lineRule="auto"/>
        <w:jc w:val="both"/>
      </w:pPr>
      <w:r>
        <w:rPr>
          <w:rFonts w:ascii="Arial" w:hAnsi="Arial" w:eastAsia="Arial" w:cs="Arial"/>
          <w:sz w:val="21"/>
          <w:szCs w:val="21"/>
        </w:rPr>
        <w:t>把客户按“月流水规模 + 时间紧迫度 + 长期意愿”三维分层，对应到具体路径，是你的核心咨询方法论：</w:t>
      </w:r>
    </w:p>
    <w:p w14:paraId="2BB48D8E">
      <w:pPr>
        <w:pStyle w:val="16"/>
        <w:numPr>
          <w:ilvl w:val="0"/>
          <w:numId w:val="2"/>
        </w:numPr>
        <w:spacing w:after="70" w:line="276" w:lineRule="auto"/>
      </w:pPr>
      <w:r>
        <w:rPr>
          <w:rFonts w:ascii="Arial" w:hAnsi="Arial" w:eastAsia="Arial" w:cs="Arial"/>
          <w:b/>
          <w:bCs/>
          <w:sz w:val="21"/>
          <w:szCs w:val="21"/>
        </w:rPr>
        <w:t>急救型（预扣已跳36%、旺季在即）：</w:t>
      </w:r>
      <w:r>
        <w:rPr>
          <w:rFonts w:ascii="Arial" w:hAnsi="Arial" w:eastAsia="Arial" w:cs="Arial"/>
          <w:sz w:val="21"/>
          <w:szCs w:val="21"/>
        </w:rPr>
        <w:t>先用③b合规维护挂靠止血，同步启动②自注册本土公司。</w:t>
      </w:r>
    </w:p>
    <w:p w14:paraId="7313C30D">
      <w:pPr>
        <w:pStyle w:val="16"/>
        <w:numPr>
          <w:ilvl w:val="0"/>
          <w:numId w:val="2"/>
        </w:numPr>
        <w:spacing w:after="70" w:line="276" w:lineRule="auto"/>
      </w:pPr>
      <w:r>
        <w:rPr>
          <w:rFonts w:ascii="Arial" w:hAnsi="Arial" w:eastAsia="Arial" w:cs="Arial"/>
          <w:b/>
          <w:bCs/>
          <w:sz w:val="21"/>
          <w:szCs w:val="21"/>
        </w:rPr>
        <w:t>成长型（月流水稳定、打算长期做）：</w:t>
      </w:r>
      <w:r>
        <w:rPr>
          <w:rFonts w:ascii="Arial" w:hAnsi="Arial" w:eastAsia="Arial" w:cs="Arial"/>
          <w:sz w:val="21"/>
          <w:szCs w:val="21"/>
        </w:rPr>
        <w:t>直接②自注册SA + 本地收款账户，锁定10.5%档。</w:t>
      </w:r>
    </w:p>
    <w:p w14:paraId="4A87D986">
      <w:pPr>
        <w:pStyle w:val="16"/>
        <w:numPr>
          <w:ilvl w:val="0"/>
          <w:numId w:val="2"/>
        </w:numPr>
        <w:spacing w:after="70" w:line="276" w:lineRule="auto"/>
      </w:pPr>
      <w:r>
        <w:rPr>
          <w:rFonts w:ascii="Arial" w:hAnsi="Arial" w:eastAsia="Arial" w:cs="Arial"/>
          <w:b/>
          <w:bCs/>
          <w:sz w:val="21"/>
          <w:szCs w:val="21"/>
        </w:rPr>
        <w:t>成熟大卖（多店多主体、要绝对安全）：</w:t>
      </w:r>
      <w:r>
        <w:rPr>
          <w:rFonts w:ascii="Arial" w:hAnsi="Arial" w:eastAsia="Arial" w:cs="Arial"/>
          <w:sz w:val="21"/>
          <w:szCs w:val="21"/>
        </w:rPr>
        <w:t>①离岸RFC或②多主体本土公司组合，做税务架构规划。</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39A658CE">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064C42D5">
            <w:pPr>
              <w:spacing w:after="60"/>
            </w:pPr>
            <w:r>
              <w:rPr>
                <w:rFonts w:ascii="Arial" w:hAnsi="Arial" w:eastAsia="Arial" w:cs="Arial"/>
                <w:b/>
                <w:bCs/>
                <w:color w:val="1F3864"/>
                <w:sz w:val="21"/>
                <w:szCs w:val="21"/>
              </w:rPr>
              <w:t>本章小结</w:t>
            </w:r>
          </w:p>
          <w:p w14:paraId="1DCBABA1">
            <w:pPr>
              <w:spacing w:after="40" w:line="276" w:lineRule="auto"/>
            </w:pPr>
            <w:r>
              <w:rPr>
                <w:rFonts w:ascii="Arial" w:hAnsi="Arial" w:eastAsia="Arial" w:cs="Arial"/>
                <w:b/>
                <w:bCs/>
                <w:sz w:val="20"/>
                <w:szCs w:val="20"/>
              </w:rPr>
              <w:t>四路径 + 三公司类型 = 你的产品矩阵骨架。真正的专业价值不在于卖某一个方案，而在于用决策树帮客户在‘成本/速度/安全/长期’之间做正确权衡，并管理路径升级（挂靠→自持）的迁移。</w:t>
            </w:r>
          </w:p>
        </w:tc>
      </w:tr>
    </w:tbl>
    <w:p w14:paraId="7B457B9D">
      <w:pPr>
        <w:pStyle w:val="2"/>
        <w:pageBreakBefore/>
        <w:spacing w:before="240" w:after="160"/>
      </w:pPr>
      <w:r>
        <w:rPr>
          <w:rFonts w:ascii="Arial" w:hAnsi="Arial" w:eastAsia="Arial" w:cs="Arial"/>
          <w:b/>
          <w:bCs/>
          <w:color w:val="1F3864"/>
          <w:sz w:val="30"/>
          <w:szCs w:val="30"/>
        </w:rPr>
        <w:t>第五章　竞争格局：中国服务商与本土专业机构</w:t>
      </w:r>
    </w:p>
    <w:p w14:paraId="6C7D65A3">
      <w:pPr>
        <w:spacing w:after="140" w:line="288" w:lineRule="auto"/>
        <w:jc w:val="both"/>
      </w:pPr>
      <w:r>
        <w:rPr>
          <w:rFonts w:ascii="Arial" w:hAnsi="Arial" w:eastAsia="Arial" w:cs="Arial"/>
          <w:sz w:val="21"/>
          <w:szCs w:val="21"/>
        </w:rPr>
        <w:t>这一章回答“对手是谁、他们强在哪、弱在哪、我从哪个缝隙进去”。配套的《竞品对比矩阵》xlsx提供了可编辑的完整数据，本章给出定性判断。</w:t>
      </w:r>
    </w:p>
    <w:p w14:paraId="5D093903">
      <w:pPr>
        <w:pStyle w:val="3"/>
        <w:spacing w:before="220" w:after="120"/>
      </w:pPr>
      <w:r>
        <w:rPr>
          <w:rFonts w:ascii="Arial" w:hAnsi="Arial" w:eastAsia="Arial" w:cs="Arial"/>
          <w:b/>
          <w:bCs/>
          <w:color w:val="2E5496"/>
          <w:sz w:val="25"/>
          <w:szCs w:val="25"/>
        </w:rPr>
        <w:t>5.1　玩家分类地图</w:t>
      </w:r>
    </w:p>
    <w:p w14:paraId="501E6BB5">
      <w:pPr>
        <w:spacing w:after="140" w:line="288" w:lineRule="auto"/>
        <w:jc w:val="both"/>
      </w:pPr>
      <w:r>
        <w:rPr>
          <w:rFonts w:ascii="Arial" w:hAnsi="Arial" w:eastAsia="Arial" w:cs="Arial"/>
          <w:sz w:val="21"/>
          <w:szCs w:val="21"/>
        </w:rPr>
        <w:t>按“入口 + 专业度”维度，可把面向中国/跨境卖家的服务商分为六类：</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567"/>
        <w:gridCol w:w="2548"/>
        <w:gridCol w:w="1568"/>
        <w:gridCol w:w="4115"/>
      </w:tblGrid>
      <w:tr w14:paraId="6D73FC5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498" w:type="dxa"/>
            <w:shd w:val="clear" w:color="auto" w:fill="1F3864"/>
            <w:tcMar>
              <w:top w:w="60" w:type="dxa"/>
              <w:left w:w="80" w:type="dxa"/>
              <w:bottom w:w="60" w:type="dxa"/>
              <w:right w:w="80" w:type="dxa"/>
            </w:tcMar>
          </w:tcPr>
          <w:p w14:paraId="447DEEAC">
            <w:pPr>
              <w:jc w:val="center"/>
            </w:pPr>
            <w:r>
              <w:rPr>
                <w:rFonts w:ascii="Arial" w:hAnsi="Arial" w:eastAsia="Arial" w:cs="Arial"/>
                <w:b/>
                <w:bCs/>
                <w:color w:val="FFFFFF"/>
                <w:sz w:val="18"/>
                <w:szCs w:val="18"/>
              </w:rPr>
              <w:t>类别</w:t>
            </w:r>
          </w:p>
        </w:tc>
        <w:tc>
          <w:tcPr>
            <w:tcW w:w="2434" w:type="dxa"/>
            <w:shd w:val="clear" w:color="auto" w:fill="1F3864"/>
            <w:tcMar>
              <w:top w:w="60" w:type="dxa"/>
              <w:left w:w="80" w:type="dxa"/>
              <w:bottom w:w="60" w:type="dxa"/>
              <w:right w:w="80" w:type="dxa"/>
            </w:tcMar>
          </w:tcPr>
          <w:p w14:paraId="764CF839">
            <w:pPr>
              <w:jc w:val="center"/>
            </w:pPr>
            <w:r>
              <w:rPr>
                <w:rFonts w:ascii="Arial" w:hAnsi="Arial" w:eastAsia="Arial" w:cs="Arial"/>
                <w:b/>
                <w:bCs/>
                <w:color w:val="FFFFFF"/>
                <w:sz w:val="18"/>
                <w:szCs w:val="18"/>
              </w:rPr>
              <w:t>代表玩家</w:t>
            </w:r>
          </w:p>
        </w:tc>
        <w:tc>
          <w:tcPr>
            <w:tcW w:w="1498" w:type="dxa"/>
            <w:shd w:val="clear" w:color="auto" w:fill="1F3864"/>
            <w:tcMar>
              <w:top w:w="60" w:type="dxa"/>
              <w:left w:w="80" w:type="dxa"/>
              <w:bottom w:w="60" w:type="dxa"/>
              <w:right w:w="80" w:type="dxa"/>
            </w:tcMar>
          </w:tcPr>
          <w:p w14:paraId="0D0CF317">
            <w:pPr>
              <w:jc w:val="center"/>
            </w:pPr>
            <w:r>
              <w:rPr>
                <w:rFonts w:ascii="Arial" w:hAnsi="Arial" w:eastAsia="Arial" w:cs="Arial"/>
                <w:b/>
                <w:bCs/>
                <w:color w:val="FFFFFF"/>
                <w:sz w:val="18"/>
                <w:szCs w:val="18"/>
              </w:rPr>
              <w:t>入口</w:t>
            </w:r>
          </w:p>
        </w:tc>
        <w:tc>
          <w:tcPr>
            <w:tcW w:w="3931" w:type="dxa"/>
            <w:shd w:val="clear" w:color="auto" w:fill="1F3864"/>
            <w:tcMar>
              <w:top w:w="60" w:type="dxa"/>
              <w:left w:w="80" w:type="dxa"/>
              <w:bottom w:w="60" w:type="dxa"/>
              <w:right w:w="80" w:type="dxa"/>
            </w:tcMar>
          </w:tcPr>
          <w:p w14:paraId="66DB74F4">
            <w:pPr>
              <w:jc w:val="center"/>
            </w:pPr>
            <w:r>
              <w:rPr>
                <w:rFonts w:ascii="Arial" w:hAnsi="Arial" w:eastAsia="Arial" w:cs="Arial"/>
                <w:b/>
                <w:bCs/>
                <w:color w:val="FFFFFF"/>
                <w:sz w:val="18"/>
                <w:szCs w:val="18"/>
              </w:rPr>
              <w:t>核心弱点（=你的机会）</w:t>
            </w:r>
          </w:p>
        </w:tc>
      </w:tr>
      <w:tr w14:paraId="3CB1A94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00CDC282">
            <w:pPr>
              <w:spacing w:line="252" w:lineRule="auto"/>
              <w:jc w:val="left"/>
            </w:pPr>
            <w:r>
              <w:rPr>
                <w:rFonts w:ascii="Arial" w:hAnsi="Arial" w:eastAsia="Arial" w:cs="Arial"/>
                <w:b/>
                <w:bCs/>
                <w:color w:val="000000"/>
                <w:sz w:val="17"/>
                <w:szCs w:val="17"/>
              </w:rPr>
              <w:t>物流+税号型</w:t>
            </w:r>
          </w:p>
        </w:tc>
        <w:tc>
          <w:tcPr>
            <w:tcW w:w="2434" w:type="dxa"/>
            <w:shd w:val="clear" w:color="auto" w:fill="FFFFFF"/>
            <w:tcMar>
              <w:top w:w="50" w:type="dxa"/>
              <w:left w:w="80" w:type="dxa"/>
              <w:bottom w:w="50" w:type="dxa"/>
              <w:right w:w="80" w:type="dxa"/>
            </w:tcMar>
          </w:tcPr>
          <w:p w14:paraId="23E0E426">
            <w:pPr>
              <w:spacing w:line="252" w:lineRule="auto"/>
              <w:jc w:val="left"/>
            </w:pPr>
            <w:r>
              <w:rPr>
                <w:rFonts w:ascii="Arial" w:hAnsi="Arial" w:eastAsia="Arial" w:cs="Arial"/>
                <w:b w:val="0"/>
                <w:bCs w:val="0"/>
                <w:sz w:val="17"/>
                <w:szCs w:val="17"/>
              </w:rPr>
              <w:t>墨尔海、SISA、客优云</w:t>
            </w:r>
          </w:p>
        </w:tc>
        <w:tc>
          <w:tcPr>
            <w:tcW w:w="1498" w:type="dxa"/>
            <w:shd w:val="clear" w:color="auto" w:fill="FFFFFF"/>
            <w:tcMar>
              <w:top w:w="50" w:type="dxa"/>
              <w:left w:w="80" w:type="dxa"/>
              <w:bottom w:w="50" w:type="dxa"/>
              <w:right w:w="80" w:type="dxa"/>
            </w:tcMar>
          </w:tcPr>
          <w:p w14:paraId="78D05DB8">
            <w:pPr>
              <w:spacing w:line="252" w:lineRule="auto"/>
              <w:jc w:val="left"/>
            </w:pPr>
            <w:r>
              <w:rPr>
                <w:rFonts w:ascii="Arial" w:hAnsi="Arial" w:eastAsia="Arial" w:cs="Arial"/>
                <w:b w:val="0"/>
                <w:bCs w:val="0"/>
                <w:sz w:val="17"/>
                <w:szCs w:val="17"/>
              </w:rPr>
              <w:t>物流现金流</w:t>
            </w:r>
          </w:p>
        </w:tc>
        <w:tc>
          <w:tcPr>
            <w:tcW w:w="3931" w:type="dxa"/>
            <w:shd w:val="clear" w:color="auto" w:fill="FFFFFF"/>
            <w:tcMar>
              <w:top w:w="50" w:type="dxa"/>
              <w:left w:w="80" w:type="dxa"/>
              <w:bottom w:w="50" w:type="dxa"/>
              <w:right w:w="80" w:type="dxa"/>
            </w:tcMar>
          </w:tcPr>
          <w:p w14:paraId="662FEC3A">
            <w:pPr>
              <w:spacing w:line="252" w:lineRule="auto"/>
              <w:jc w:val="left"/>
            </w:pPr>
            <w:r>
              <w:rPr>
                <w:rFonts w:ascii="Arial" w:hAnsi="Arial" w:eastAsia="Arial" w:cs="Arial"/>
                <w:b w:val="0"/>
                <w:bCs w:val="0"/>
                <w:sz w:val="17"/>
                <w:szCs w:val="17"/>
              </w:rPr>
              <w:t>只卖动作、不讲税务逻辑；挂靠风险</w:t>
            </w:r>
          </w:p>
        </w:tc>
      </w:tr>
      <w:tr w14:paraId="52DAD11E">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2E311F32">
            <w:pPr>
              <w:spacing w:line="252" w:lineRule="auto"/>
              <w:jc w:val="left"/>
            </w:pPr>
            <w:r>
              <w:rPr>
                <w:rFonts w:ascii="Arial" w:hAnsi="Arial" w:eastAsia="Arial" w:cs="Arial"/>
                <w:b/>
                <w:bCs/>
                <w:color w:val="000000"/>
                <w:sz w:val="17"/>
                <w:szCs w:val="17"/>
              </w:rPr>
              <w:t>支付+收款型</w:t>
            </w:r>
          </w:p>
        </w:tc>
        <w:tc>
          <w:tcPr>
            <w:tcW w:w="2434" w:type="dxa"/>
            <w:shd w:val="clear" w:color="auto" w:fill="F2F2F2"/>
            <w:tcMar>
              <w:top w:w="50" w:type="dxa"/>
              <w:left w:w="80" w:type="dxa"/>
              <w:bottom w:w="50" w:type="dxa"/>
              <w:right w:w="80" w:type="dxa"/>
            </w:tcMar>
          </w:tcPr>
          <w:p w14:paraId="2F074DE5">
            <w:pPr>
              <w:spacing w:line="252" w:lineRule="auto"/>
              <w:jc w:val="left"/>
            </w:pPr>
            <w:r>
              <w:rPr>
                <w:rFonts w:ascii="Arial" w:hAnsi="Arial" w:eastAsia="Arial" w:cs="Arial"/>
                <w:b w:val="0"/>
                <w:bCs w:val="0"/>
                <w:sz w:val="17"/>
                <w:szCs w:val="17"/>
              </w:rPr>
              <w:t>Pyvio、PhotonPay</w:t>
            </w:r>
          </w:p>
        </w:tc>
        <w:tc>
          <w:tcPr>
            <w:tcW w:w="1498" w:type="dxa"/>
            <w:shd w:val="clear" w:color="auto" w:fill="F2F2F2"/>
            <w:tcMar>
              <w:top w:w="50" w:type="dxa"/>
              <w:left w:w="80" w:type="dxa"/>
              <w:bottom w:w="50" w:type="dxa"/>
              <w:right w:w="80" w:type="dxa"/>
            </w:tcMar>
          </w:tcPr>
          <w:p w14:paraId="3FCEB706">
            <w:pPr>
              <w:spacing w:line="252" w:lineRule="auto"/>
              <w:jc w:val="left"/>
            </w:pPr>
            <w:r>
              <w:rPr>
                <w:rFonts w:ascii="Arial" w:hAnsi="Arial" w:eastAsia="Arial" w:cs="Arial"/>
                <w:b w:val="0"/>
                <w:bCs w:val="0"/>
                <w:sz w:val="17"/>
                <w:szCs w:val="17"/>
              </w:rPr>
              <w:t>本地收款</w:t>
            </w:r>
          </w:p>
        </w:tc>
        <w:tc>
          <w:tcPr>
            <w:tcW w:w="3931" w:type="dxa"/>
            <w:shd w:val="clear" w:color="auto" w:fill="F2F2F2"/>
            <w:tcMar>
              <w:top w:w="50" w:type="dxa"/>
              <w:left w:w="80" w:type="dxa"/>
              <w:bottom w:w="50" w:type="dxa"/>
              <w:right w:w="80" w:type="dxa"/>
            </w:tcMar>
          </w:tcPr>
          <w:p w14:paraId="079CEDD9">
            <w:pPr>
              <w:spacing w:line="252" w:lineRule="auto"/>
              <w:jc w:val="left"/>
            </w:pPr>
            <w:r>
              <w:rPr>
                <w:rFonts w:ascii="Arial" w:hAnsi="Arial" w:eastAsia="Arial" w:cs="Arial"/>
                <w:b w:val="0"/>
                <w:bCs w:val="0"/>
                <w:sz w:val="17"/>
                <w:szCs w:val="17"/>
              </w:rPr>
              <w:t>税务非主业，深度浅</w:t>
            </w:r>
          </w:p>
        </w:tc>
      </w:tr>
      <w:tr w14:paraId="387FCC8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7FEC002A">
            <w:pPr>
              <w:spacing w:line="252" w:lineRule="auto"/>
              <w:jc w:val="left"/>
            </w:pPr>
            <w:r>
              <w:rPr>
                <w:rFonts w:ascii="Arial" w:hAnsi="Arial" w:eastAsia="Arial" w:cs="Arial"/>
                <w:b/>
                <w:bCs/>
                <w:color w:val="000000"/>
                <w:sz w:val="17"/>
                <w:szCs w:val="17"/>
              </w:rPr>
              <w:t>综合合规型</w:t>
            </w:r>
          </w:p>
        </w:tc>
        <w:tc>
          <w:tcPr>
            <w:tcW w:w="2434" w:type="dxa"/>
            <w:shd w:val="clear" w:color="auto" w:fill="FFFFFF"/>
            <w:tcMar>
              <w:top w:w="50" w:type="dxa"/>
              <w:left w:w="80" w:type="dxa"/>
              <w:bottom w:w="50" w:type="dxa"/>
              <w:right w:w="80" w:type="dxa"/>
            </w:tcMar>
          </w:tcPr>
          <w:p w14:paraId="7B3C80B0">
            <w:pPr>
              <w:spacing w:line="252" w:lineRule="auto"/>
              <w:jc w:val="left"/>
            </w:pPr>
            <w:r>
              <w:rPr>
                <w:rFonts w:ascii="Arial" w:hAnsi="Arial" w:eastAsia="Arial" w:cs="Arial"/>
                <w:b w:val="0"/>
                <w:bCs w:val="0"/>
                <w:sz w:val="17"/>
                <w:szCs w:val="17"/>
              </w:rPr>
              <w:t>逸居海外、际连、雅玛森</w:t>
            </w:r>
          </w:p>
        </w:tc>
        <w:tc>
          <w:tcPr>
            <w:tcW w:w="1498" w:type="dxa"/>
            <w:shd w:val="clear" w:color="auto" w:fill="FFFFFF"/>
            <w:tcMar>
              <w:top w:w="50" w:type="dxa"/>
              <w:left w:w="80" w:type="dxa"/>
              <w:bottom w:w="50" w:type="dxa"/>
              <w:right w:w="80" w:type="dxa"/>
            </w:tcMar>
          </w:tcPr>
          <w:p w14:paraId="2305F1DF">
            <w:pPr>
              <w:spacing w:line="252" w:lineRule="auto"/>
              <w:jc w:val="left"/>
            </w:pPr>
            <w:r>
              <w:rPr>
                <w:rFonts w:ascii="Arial" w:hAnsi="Arial" w:eastAsia="Arial" w:cs="Arial"/>
                <w:b w:val="0"/>
                <w:bCs w:val="0"/>
                <w:sz w:val="17"/>
                <w:szCs w:val="17"/>
              </w:rPr>
              <w:t>公司注册</w:t>
            </w:r>
          </w:p>
        </w:tc>
        <w:tc>
          <w:tcPr>
            <w:tcW w:w="3931" w:type="dxa"/>
            <w:shd w:val="clear" w:color="auto" w:fill="FFFFFF"/>
            <w:tcMar>
              <w:top w:w="50" w:type="dxa"/>
              <w:left w:w="80" w:type="dxa"/>
              <w:bottom w:w="50" w:type="dxa"/>
              <w:right w:w="80" w:type="dxa"/>
            </w:tcMar>
          </w:tcPr>
          <w:p w14:paraId="705F2ED9">
            <w:pPr>
              <w:spacing w:line="252" w:lineRule="auto"/>
              <w:jc w:val="left"/>
            </w:pPr>
            <w:r>
              <w:rPr>
                <w:rFonts w:ascii="Arial" w:hAnsi="Arial" w:eastAsia="Arial" w:cs="Arial"/>
                <w:b w:val="0"/>
                <w:bCs w:val="0"/>
                <w:sz w:val="17"/>
                <w:szCs w:val="17"/>
              </w:rPr>
              <w:t>广而不深，缺运营闭环</w:t>
            </w:r>
          </w:p>
        </w:tc>
      </w:tr>
      <w:tr w14:paraId="1AC3F27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0D665561">
            <w:pPr>
              <w:spacing w:line="252" w:lineRule="auto"/>
              <w:jc w:val="left"/>
            </w:pPr>
            <w:r>
              <w:rPr>
                <w:rFonts w:ascii="Arial" w:hAnsi="Arial" w:eastAsia="Arial" w:cs="Arial"/>
                <w:b/>
                <w:bCs/>
                <w:color w:val="000000"/>
                <w:sz w:val="17"/>
                <w:szCs w:val="17"/>
              </w:rPr>
              <w:t>LATAM专精</w:t>
            </w:r>
          </w:p>
        </w:tc>
        <w:tc>
          <w:tcPr>
            <w:tcW w:w="2434" w:type="dxa"/>
            <w:shd w:val="clear" w:color="auto" w:fill="F2F2F2"/>
            <w:tcMar>
              <w:top w:w="50" w:type="dxa"/>
              <w:left w:w="80" w:type="dxa"/>
              <w:bottom w:w="50" w:type="dxa"/>
              <w:right w:w="80" w:type="dxa"/>
            </w:tcMar>
          </w:tcPr>
          <w:p w14:paraId="2B85BF1D">
            <w:pPr>
              <w:spacing w:line="252" w:lineRule="auto"/>
              <w:jc w:val="left"/>
            </w:pPr>
            <w:r>
              <w:rPr>
                <w:rFonts w:ascii="Arial" w:hAnsi="Arial" w:eastAsia="Arial" w:cs="Arial"/>
                <w:b w:val="0"/>
                <w:bCs w:val="0"/>
                <w:sz w:val="17"/>
                <w:szCs w:val="17"/>
              </w:rPr>
              <w:t>普瑞鑫</w:t>
            </w:r>
          </w:p>
        </w:tc>
        <w:tc>
          <w:tcPr>
            <w:tcW w:w="1498" w:type="dxa"/>
            <w:shd w:val="clear" w:color="auto" w:fill="F2F2F2"/>
            <w:tcMar>
              <w:top w:w="50" w:type="dxa"/>
              <w:left w:w="80" w:type="dxa"/>
              <w:bottom w:w="50" w:type="dxa"/>
              <w:right w:w="80" w:type="dxa"/>
            </w:tcMar>
          </w:tcPr>
          <w:p w14:paraId="06349985">
            <w:pPr>
              <w:spacing w:line="252" w:lineRule="auto"/>
              <w:jc w:val="left"/>
            </w:pPr>
            <w:r>
              <w:rPr>
                <w:rFonts w:ascii="Arial" w:hAnsi="Arial" w:eastAsia="Arial" w:cs="Arial"/>
                <w:b w:val="0"/>
                <w:bCs w:val="0"/>
                <w:sz w:val="17"/>
                <w:szCs w:val="17"/>
              </w:rPr>
              <w:t>区域落地</w:t>
            </w:r>
          </w:p>
        </w:tc>
        <w:tc>
          <w:tcPr>
            <w:tcW w:w="3931" w:type="dxa"/>
            <w:shd w:val="clear" w:color="auto" w:fill="F2F2F2"/>
            <w:tcMar>
              <w:top w:w="50" w:type="dxa"/>
              <w:left w:w="80" w:type="dxa"/>
              <w:bottom w:w="50" w:type="dxa"/>
              <w:right w:w="80" w:type="dxa"/>
            </w:tcMar>
          </w:tcPr>
          <w:p w14:paraId="2A4A2347">
            <w:pPr>
              <w:spacing w:line="252" w:lineRule="auto"/>
              <w:jc w:val="left"/>
            </w:pPr>
            <w:r>
              <w:rPr>
                <w:rFonts w:ascii="Arial" w:hAnsi="Arial" w:eastAsia="Arial" w:cs="Arial"/>
                <w:b w:val="0"/>
                <w:bCs w:val="0"/>
                <w:sz w:val="17"/>
                <w:szCs w:val="17"/>
              </w:rPr>
              <w:t>规模有限，产品化弱</w:t>
            </w:r>
          </w:p>
        </w:tc>
      </w:tr>
      <w:tr w14:paraId="3DF76FC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2FD7DCB6">
            <w:pPr>
              <w:spacing w:line="252" w:lineRule="auto"/>
              <w:jc w:val="left"/>
            </w:pPr>
            <w:r>
              <w:rPr>
                <w:rFonts w:ascii="Arial" w:hAnsi="Arial" w:eastAsia="Arial" w:cs="Arial"/>
                <w:b/>
                <w:bCs/>
                <w:color w:val="000000"/>
                <w:sz w:val="17"/>
                <w:szCs w:val="17"/>
              </w:rPr>
              <w:t>本土税务所</w:t>
            </w:r>
          </w:p>
        </w:tc>
        <w:tc>
          <w:tcPr>
            <w:tcW w:w="2434" w:type="dxa"/>
            <w:shd w:val="clear" w:color="auto" w:fill="FFFFFF"/>
            <w:tcMar>
              <w:top w:w="50" w:type="dxa"/>
              <w:left w:w="80" w:type="dxa"/>
              <w:bottom w:w="50" w:type="dxa"/>
              <w:right w:w="80" w:type="dxa"/>
            </w:tcMar>
          </w:tcPr>
          <w:p w14:paraId="04845E5F">
            <w:pPr>
              <w:spacing w:line="252" w:lineRule="auto"/>
              <w:jc w:val="left"/>
            </w:pPr>
            <w:r>
              <w:rPr>
                <w:rFonts w:ascii="Arial" w:hAnsi="Arial" w:eastAsia="Arial" w:cs="Arial"/>
                <w:b w:val="0"/>
                <w:bCs w:val="0"/>
                <w:sz w:val="17"/>
                <w:szCs w:val="17"/>
              </w:rPr>
              <w:t>MexTax、LIDO</w:t>
            </w:r>
          </w:p>
        </w:tc>
        <w:tc>
          <w:tcPr>
            <w:tcW w:w="1498" w:type="dxa"/>
            <w:shd w:val="clear" w:color="auto" w:fill="FFFFFF"/>
            <w:tcMar>
              <w:top w:w="50" w:type="dxa"/>
              <w:left w:w="80" w:type="dxa"/>
              <w:bottom w:w="50" w:type="dxa"/>
              <w:right w:w="80" w:type="dxa"/>
            </w:tcMar>
          </w:tcPr>
          <w:p w14:paraId="51B91D9A">
            <w:pPr>
              <w:spacing w:line="252" w:lineRule="auto"/>
              <w:jc w:val="left"/>
            </w:pPr>
            <w:r>
              <w:rPr>
                <w:rFonts w:ascii="Arial" w:hAnsi="Arial" w:eastAsia="Arial" w:cs="Arial"/>
                <w:b w:val="0"/>
                <w:bCs w:val="0"/>
                <w:sz w:val="17"/>
                <w:szCs w:val="17"/>
              </w:rPr>
              <w:t>本地专业</w:t>
            </w:r>
          </w:p>
        </w:tc>
        <w:tc>
          <w:tcPr>
            <w:tcW w:w="3931" w:type="dxa"/>
            <w:shd w:val="clear" w:color="auto" w:fill="FFFFFF"/>
            <w:tcMar>
              <w:top w:w="50" w:type="dxa"/>
              <w:left w:w="80" w:type="dxa"/>
              <w:bottom w:w="50" w:type="dxa"/>
              <w:right w:w="80" w:type="dxa"/>
            </w:tcMar>
          </w:tcPr>
          <w:p w14:paraId="11F5CF21">
            <w:pPr>
              <w:spacing w:line="252" w:lineRule="auto"/>
              <w:jc w:val="left"/>
            </w:pPr>
            <w:r>
              <w:rPr>
                <w:rFonts w:ascii="Arial" w:hAnsi="Arial" w:eastAsia="Arial" w:cs="Arial"/>
                <w:b w:val="0"/>
                <w:bCs w:val="0"/>
                <w:sz w:val="17"/>
                <w:szCs w:val="17"/>
              </w:rPr>
              <w:t>缺中文+跨境电商know-how</w:t>
            </w:r>
          </w:p>
        </w:tc>
      </w:tr>
      <w:tr w14:paraId="0163C8D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3A8D025C">
            <w:pPr>
              <w:spacing w:line="252" w:lineRule="auto"/>
              <w:jc w:val="left"/>
            </w:pPr>
            <w:r>
              <w:rPr>
                <w:rFonts w:ascii="Arial" w:hAnsi="Arial" w:eastAsia="Arial" w:cs="Arial"/>
                <w:b/>
                <w:bCs/>
                <w:color w:val="000000"/>
                <w:sz w:val="17"/>
                <w:szCs w:val="17"/>
              </w:rPr>
              <w:t>国际四大/律所</w:t>
            </w:r>
          </w:p>
        </w:tc>
        <w:tc>
          <w:tcPr>
            <w:tcW w:w="2434" w:type="dxa"/>
            <w:shd w:val="clear" w:color="auto" w:fill="F2F2F2"/>
            <w:tcMar>
              <w:top w:w="50" w:type="dxa"/>
              <w:left w:w="80" w:type="dxa"/>
              <w:bottom w:w="50" w:type="dxa"/>
              <w:right w:w="80" w:type="dxa"/>
            </w:tcMar>
          </w:tcPr>
          <w:p w14:paraId="6233E1FE">
            <w:pPr>
              <w:spacing w:line="252" w:lineRule="auto"/>
              <w:jc w:val="left"/>
            </w:pPr>
            <w:r>
              <w:rPr>
                <w:rFonts w:ascii="Arial" w:hAnsi="Arial" w:eastAsia="Arial" w:cs="Arial"/>
                <w:b w:val="0"/>
                <w:bCs w:val="0"/>
                <w:sz w:val="17"/>
                <w:szCs w:val="17"/>
              </w:rPr>
              <w:t>Deloitte、PwC、KPMG、EY MX</w:t>
            </w:r>
          </w:p>
        </w:tc>
        <w:tc>
          <w:tcPr>
            <w:tcW w:w="1498" w:type="dxa"/>
            <w:shd w:val="clear" w:color="auto" w:fill="F2F2F2"/>
            <w:tcMar>
              <w:top w:w="50" w:type="dxa"/>
              <w:left w:w="80" w:type="dxa"/>
              <w:bottom w:w="50" w:type="dxa"/>
              <w:right w:w="80" w:type="dxa"/>
            </w:tcMar>
          </w:tcPr>
          <w:p w14:paraId="1484E404">
            <w:pPr>
              <w:spacing w:line="252" w:lineRule="auto"/>
              <w:jc w:val="left"/>
            </w:pPr>
            <w:r>
              <w:rPr>
                <w:rFonts w:ascii="Arial" w:hAnsi="Arial" w:eastAsia="Arial" w:cs="Arial"/>
                <w:b w:val="0"/>
                <w:bCs w:val="0"/>
                <w:sz w:val="17"/>
                <w:szCs w:val="17"/>
              </w:rPr>
              <w:t>权威背书</w:t>
            </w:r>
          </w:p>
        </w:tc>
        <w:tc>
          <w:tcPr>
            <w:tcW w:w="3931" w:type="dxa"/>
            <w:shd w:val="clear" w:color="auto" w:fill="F2F2F2"/>
            <w:tcMar>
              <w:top w:w="50" w:type="dxa"/>
              <w:left w:w="80" w:type="dxa"/>
              <w:bottom w:w="50" w:type="dxa"/>
              <w:right w:w="80" w:type="dxa"/>
            </w:tcMar>
          </w:tcPr>
          <w:p w14:paraId="46CADAD6">
            <w:pPr>
              <w:spacing w:line="252" w:lineRule="auto"/>
              <w:jc w:val="left"/>
            </w:pPr>
            <w:r>
              <w:rPr>
                <w:rFonts w:ascii="Arial" w:hAnsi="Arial" w:eastAsia="Arial" w:cs="Arial"/>
                <w:b w:val="0"/>
                <w:bCs w:val="0"/>
                <w:sz w:val="17"/>
                <w:szCs w:val="17"/>
              </w:rPr>
              <w:t>高价高门槛，不服务中小卖家</w:t>
            </w:r>
          </w:p>
        </w:tc>
      </w:tr>
    </w:tbl>
    <w:p w14:paraId="6466E3BC">
      <w:pPr>
        <w:spacing w:before="40" w:after="160"/>
      </w:pPr>
      <w:r>
        <w:rPr>
          <w:rFonts w:ascii="Arial" w:hAnsi="Arial" w:eastAsia="Arial" w:cs="Arial"/>
          <w:i/>
          <w:iCs/>
          <w:color w:val="808080"/>
          <w:sz w:val="16"/>
          <w:szCs w:val="16"/>
        </w:rPr>
        <w:t>表 5-1：竞争玩家分类地图（详见配套矩阵Tab①）。</w:t>
      </w:r>
    </w:p>
    <w:p w14:paraId="54CC7B0C">
      <w:pPr>
        <w:pStyle w:val="3"/>
        <w:spacing w:before="220" w:after="120"/>
      </w:pPr>
      <w:r>
        <w:rPr>
          <w:rFonts w:ascii="Arial" w:hAnsi="Arial" w:eastAsia="Arial" w:cs="Arial"/>
          <w:b/>
          <w:bCs/>
          <w:color w:val="2E5496"/>
          <w:sz w:val="25"/>
          <w:szCs w:val="25"/>
        </w:rPr>
        <w:t>5.2　竞品普遍的三大结构性弱点</w:t>
      </w:r>
    </w:p>
    <w:p w14:paraId="0AE5ED1E">
      <w:pPr>
        <w:pStyle w:val="16"/>
        <w:numPr>
          <w:ilvl w:val="0"/>
          <w:numId w:val="4"/>
        </w:numPr>
        <w:spacing w:after="70" w:line="276" w:lineRule="auto"/>
      </w:pPr>
      <w:r>
        <w:rPr>
          <w:rFonts w:ascii="Arial" w:hAnsi="Arial" w:eastAsia="Arial" w:cs="Arial"/>
          <w:b/>
          <w:bCs/>
          <w:sz w:val="21"/>
          <w:szCs w:val="21"/>
        </w:rPr>
        <w:t>“卖动作”而非“卖能力”。</w:t>
      </w:r>
      <w:r>
        <w:rPr>
          <w:rFonts w:ascii="Arial" w:hAnsi="Arial" w:eastAsia="Arial" w:cs="Arial"/>
          <w:sz w:val="21"/>
          <w:szCs w:val="21"/>
        </w:rPr>
        <w:t>大多数只交付“一个税号”，不解释10.5%之后的补缴逻辑，客户被扣差额才发现被坑，复购与口碑受损。</w:t>
      </w:r>
    </w:p>
    <w:p w14:paraId="3C8F4602">
      <w:pPr>
        <w:pStyle w:val="16"/>
        <w:numPr>
          <w:ilvl w:val="0"/>
          <w:numId w:val="4"/>
        </w:numPr>
        <w:spacing w:after="70" w:line="276" w:lineRule="auto"/>
      </w:pPr>
      <w:r>
        <w:rPr>
          <w:rFonts w:ascii="Arial" w:hAnsi="Arial" w:eastAsia="Arial" w:cs="Arial"/>
          <w:b/>
          <w:bCs/>
          <w:sz w:val="21"/>
          <w:szCs w:val="21"/>
        </w:rPr>
        <w:t>信任脆弱。</w:t>
      </w:r>
      <w:r>
        <w:rPr>
          <w:rFonts w:ascii="Arial" w:hAnsi="Arial" w:eastAsia="Arial" w:cs="Arial"/>
          <w:sz w:val="21"/>
          <w:szCs w:val="21"/>
        </w:rPr>
        <w:t>挂靠模式的“一号多卖 + 服务商暴雷跑路”是系统性风险，SAT穿透监管后更甚。诚信、自持实体的服务商反而稀缺。</w:t>
      </w:r>
    </w:p>
    <w:p w14:paraId="1F1B5344">
      <w:pPr>
        <w:pStyle w:val="16"/>
        <w:numPr>
          <w:ilvl w:val="0"/>
          <w:numId w:val="4"/>
        </w:numPr>
        <w:spacing w:after="70" w:line="276" w:lineRule="auto"/>
      </w:pPr>
      <w:r>
        <w:rPr>
          <w:rFonts w:ascii="Arial" w:hAnsi="Arial" w:eastAsia="Arial" w:cs="Arial"/>
          <w:b/>
          <w:bCs/>
          <w:sz w:val="21"/>
          <w:szCs w:val="21"/>
        </w:rPr>
        <w:t>能力断层。</w:t>
      </w:r>
      <w:r>
        <w:rPr>
          <w:rFonts w:ascii="Arial" w:hAnsi="Arial" w:eastAsia="Arial" w:cs="Arial"/>
          <w:sz w:val="21"/>
          <w:szCs w:val="21"/>
        </w:rPr>
        <w:t>懂墨西哥财税的（本土所）不懂跨境电商运营与中文服务；懂运营的（中国服务商）不懂本地财税深水区。两头都强的玩家几乎没有。</w:t>
      </w:r>
    </w:p>
    <w:p w14:paraId="1DE4BF81">
      <w:pPr>
        <w:pStyle w:val="3"/>
        <w:spacing w:before="220" w:after="120"/>
      </w:pPr>
      <w:r>
        <w:rPr>
          <w:rFonts w:ascii="Arial" w:hAnsi="Arial" w:eastAsia="Arial" w:cs="Arial"/>
          <w:b/>
          <w:bCs/>
          <w:color w:val="2E5496"/>
          <w:sz w:val="25"/>
          <w:szCs w:val="25"/>
        </w:rPr>
        <w:t>5.3　“空白市场”在哪</w:t>
      </w: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520ED0E0">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2431C5D9">
            <w:pPr>
              <w:spacing w:after="60"/>
            </w:pPr>
            <w:r>
              <w:rPr>
                <w:rFonts w:ascii="Arial" w:hAnsi="Arial" w:eastAsia="Arial" w:cs="Arial"/>
                <w:b/>
                <w:bCs/>
                <w:color w:val="1F3864"/>
                <w:sz w:val="21"/>
                <w:szCs w:val="21"/>
              </w:rPr>
              <w:t>三个未被有效满足的缝隙</w:t>
            </w:r>
          </w:p>
          <w:p w14:paraId="617CE9CF">
            <w:pPr>
              <w:spacing w:after="40" w:line="276" w:lineRule="auto"/>
            </w:pPr>
            <w:r>
              <w:rPr>
                <w:rFonts w:ascii="Arial" w:hAnsi="Arial" w:eastAsia="Arial" w:cs="Arial"/>
                <w:sz w:val="20"/>
                <w:szCs w:val="20"/>
              </w:rPr>
              <w:t>① 中端专业带：介于“低价挂靠”和“四大高价”之间——愿意为合规与安全付费、但支付不起四大的成长型卖家，缺乏可信赖的中端供给。</w:t>
            </w:r>
          </w:p>
          <w:p w14:paraId="512D34E9">
            <w:pPr>
              <w:spacing w:after="40" w:line="276" w:lineRule="auto"/>
            </w:pPr>
            <w:r>
              <w:rPr>
                <w:rFonts w:ascii="Arial" w:hAnsi="Arial" w:eastAsia="Arial" w:cs="Arial"/>
                <w:sz w:val="20"/>
                <w:szCs w:val="20"/>
              </w:rPr>
              <w:t>② 税务+运营闭环：把合规做成运营结果的一部分（合规主体→本地收款→代运营→广告），目前没人打通。</w:t>
            </w:r>
          </w:p>
          <w:p w14:paraId="78C76A83">
            <w:pPr>
              <w:spacing w:after="40" w:line="276" w:lineRule="auto"/>
            </w:pPr>
            <w:r>
              <w:rPr>
                <w:rFonts w:ascii="Arial" w:hAnsi="Arial" w:eastAsia="Arial" w:cs="Arial"/>
                <w:sz w:val="20"/>
                <w:szCs w:val="20"/>
              </w:rPr>
              <w:t>③ 产品化/自动化：税务测算、预扣模拟、申报提醒仍靠人工Excel，谁把它SaaS化，谁就获得规模化与壁垒。</w:t>
            </w:r>
          </w:p>
        </w:tc>
      </w:tr>
    </w:tbl>
    <w:p w14:paraId="263FEA0A">
      <w:pPr>
        <w:pStyle w:val="3"/>
        <w:spacing w:before="220" w:after="120"/>
      </w:pPr>
      <w:r>
        <w:rPr>
          <w:rFonts w:ascii="Arial" w:hAnsi="Arial" w:eastAsia="Arial" w:cs="Arial"/>
          <w:b/>
          <w:bCs/>
          <w:color w:val="2E5496"/>
          <w:sz w:val="25"/>
          <w:szCs w:val="25"/>
        </w:rPr>
        <w:t>5.4　本土专业机构：合作还是竞争</w:t>
      </w:r>
    </w:p>
    <w:p w14:paraId="03ABC7A4">
      <w:pPr>
        <w:spacing w:after="140" w:line="288" w:lineRule="auto"/>
        <w:jc w:val="both"/>
      </w:pPr>
      <w:r>
        <w:rPr>
          <w:rFonts w:ascii="Arial" w:hAnsi="Arial" w:eastAsia="Arial" w:cs="Arial"/>
          <w:sz w:val="21"/>
          <w:szCs w:val="21"/>
        </w:rPr>
        <w:t>本土会计师事务所、公证人（Notario）、律所是公司设立与申报的必经环节。对你而言，它们更多是供应链上游而非直接对手——正确策略是与1–2家可靠本地所建立稳定合作（甚至股权绑定），把它们的专业能力封装进你的中文化、产品化交付里。四大与顶级精品所（如Chevez Ruiz Zamarripa）服务的是大企业，与你的目标客群基本不重叠，可作为疑难案件的转介资源。</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35D58756">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68E5728B">
            <w:pPr>
              <w:spacing w:after="60"/>
            </w:pPr>
            <w:r>
              <w:rPr>
                <w:rFonts w:ascii="Arial" w:hAnsi="Arial" w:eastAsia="Arial" w:cs="Arial"/>
                <w:b/>
                <w:bCs/>
                <w:color w:val="1F3864"/>
                <w:sz w:val="21"/>
                <w:szCs w:val="21"/>
              </w:rPr>
              <w:t>本章小结</w:t>
            </w:r>
          </w:p>
          <w:p w14:paraId="70CFCA95">
            <w:pPr>
              <w:spacing w:after="40" w:line="276" w:lineRule="auto"/>
            </w:pPr>
            <w:r>
              <w:rPr>
                <w:rFonts w:ascii="Arial" w:hAnsi="Arial" w:eastAsia="Arial" w:cs="Arial"/>
                <w:b/>
                <w:bCs/>
                <w:sz w:val="20"/>
                <w:szCs w:val="20"/>
              </w:rPr>
              <w:t>竞争格局拥挤但不高效：入口各异、深度普遍不足、信任普遍脆弱。你的进入策略不是‘更便宜’，而是‘中端价位提供本土所级别的专业 + 中国服务商级别的响应 + 谁都没有的运营闭环’。</w:t>
            </w:r>
          </w:p>
        </w:tc>
      </w:tr>
    </w:tbl>
    <w:p w14:paraId="4D451222">
      <w:pPr>
        <w:pStyle w:val="2"/>
        <w:pageBreakBefore/>
        <w:spacing w:before="240" w:after="160"/>
      </w:pPr>
      <w:r>
        <w:rPr>
          <w:rFonts w:ascii="Arial" w:hAnsi="Arial" w:eastAsia="Arial" w:cs="Arial"/>
          <w:b/>
          <w:bCs/>
          <w:color w:val="1F3864"/>
          <w:sz w:val="30"/>
          <w:szCs w:val="30"/>
        </w:rPr>
        <w:t>第六章　商业模式与盈利分析</w:t>
      </w:r>
    </w:p>
    <w:p w14:paraId="5D0F8063">
      <w:pPr>
        <w:spacing w:after="140" w:line="288" w:lineRule="auto"/>
        <w:jc w:val="both"/>
      </w:pPr>
      <w:r>
        <w:rPr>
          <w:rFonts w:ascii="Arial" w:hAnsi="Arial" w:eastAsia="Arial" w:cs="Arial"/>
          <w:sz w:val="21"/>
          <w:szCs w:val="21"/>
        </w:rPr>
        <w:t>有了市场和定位，接下来是“怎么赚钱、赚多少”。本章给出收入结构、单客经济模型（示意）与规模化路径。所有数字均为示意假设，用于结构演示，非承诺。</w:t>
      </w:r>
    </w:p>
    <w:p w14:paraId="2E927DFA">
      <w:pPr>
        <w:pStyle w:val="3"/>
        <w:spacing w:before="220" w:after="120"/>
      </w:pPr>
      <w:r>
        <w:rPr>
          <w:rFonts w:ascii="Arial" w:hAnsi="Arial" w:eastAsia="Arial" w:cs="Arial"/>
          <w:b/>
          <w:bCs/>
          <w:color w:val="2E5496"/>
          <w:sz w:val="25"/>
          <w:szCs w:val="25"/>
        </w:rPr>
        <w:t>6.1　收入结构：一次性 + 经常性 + 增值</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371"/>
        <w:gridCol w:w="2939"/>
        <w:gridCol w:w="1568"/>
        <w:gridCol w:w="1176"/>
        <w:gridCol w:w="2744"/>
      </w:tblGrid>
      <w:tr w14:paraId="2671424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310" w:type="dxa"/>
            <w:shd w:val="clear" w:color="auto" w:fill="1F3864"/>
            <w:tcMar>
              <w:top w:w="60" w:type="dxa"/>
              <w:left w:w="80" w:type="dxa"/>
              <w:bottom w:w="60" w:type="dxa"/>
              <w:right w:w="80" w:type="dxa"/>
            </w:tcMar>
          </w:tcPr>
          <w:p w14:paraId="2276915A">
            <w:pPr>
              <w:jc w:val="center"/>
            </w:pPr>
            <w:r>
              <w:rPr>
                <w:rFonts w:ascii="Arial" w:hAnsi="Arial" w:eastAsia="Arial" w:cs="Arial"/>
                <w:b/>
                <w:bCs/>
                <w:color w:val="FFFFFF"/>
                <w:sz w:val="18"/>
                <w:szCs w:val="18"/>
              </w:rPr>
              <w:t>收入类型</w:t>
            </w:r>
          </w:p>
        </w:tc>
        <w:tc>
          <w:tcPr>
            <w:tcW w:w="2808" w:type="dxa"/>
            <w:shd w:val="clear" w:color="auto" w:fill="1F3864"/>
            <w:tcMar>
              <w:top w:w="60" w:type="dxa"/>
              <w:left w:w="80" w:type="dxa"/>
              <w:bottom w:w="60" w:type="dxa"/>
              <w:right w:w="80" w:type="dxa"/>
            </w:tcMar>
          </w:tcPr>
          <w:p w14:paraId="1AEE5D05">
            <w:pPr>
              <w:jc w:val="center"/>
            </w:pPr>
            <w:r>
              <w:rPr>
                <w:rFonts w:ascii="Arial" w:hAnsi="Arial" w:eastAsia="Arial" w:cs="Arial"/>
                <w:b/>
                <w:bCs/>
                <w:color w:val="FFFFFF"/>
                <w:sz w:val="18"/>
                <w:szCs w:val="18"/>
              </w:rPr>
              <w:t>服务项</w:t>
            </w:r>
          </w:p>
        </w:tc>
        <w:tc>
          <w:tcPr>
            <w:tcW w:w="1498" w:type="dxa"/>
            <w:shd w:val="clear" w:color="auto" w:fill="1F3864"/>
            <w:tcMar>
              <w:top w:w="60" w:type="dxa"/>
              <w:left w:w="80" w:type="dxa"/>
              <w:bottom w:w="60" w:type="dxa"/>
              <w:right w:w="80" w:type="dxa"/>
            </w:tcMar>
          </w:tcPr>
          <w:p w14:paraId="6C3646FA">
            <w:pPr>
              <w:jc w:val="center"/>
            </w:pPr>
            <w:r>
              <w:rPr>
                <w:rFonts w:ascii="Arial" w:hAnsi="Arial" w:eastAsia="Arial" w:cs="Arial"/>
                <w:b/>
                <w:bCs/>
                <w:color w:val="FFFFFF"/>
                <w:sz w:val="18"/>
                <w:szCs w:val="18"/>
              </w:rPr>
              <w:t>计费方式</w:t>
            </w:r>
          </w:p>
        </w:tc>
        <w:tc>
          <w:tcPr>
            <w:tcW w:w="1123" w:type="dxa"/>
            <w:shd w:val="clear" w:color="auto" w:fill="1F3864"/>
            <w:tcMar>
              <w:top w:w="60" w:type="dxa"/>
              <w:left w:w="80" w:type="dxa"/>
              <w:bottom w:w="60" w:type="dxa"/>
              <w:right w:w="80" w:type="dxa"/>
            </w:tcMar>
          </w:tcPr>
          <w:p w14:paraId="5EA7244F">
            <w:pPr>
              <w:jc w:val="center"/>
            </w:pPr>
            <w:r>
              <w:rPr>
                <w:rFonts w:ascii="Arial" w:hAnsi="Arial" w:eastAsia="Arial" w:cs="Arial"/>
                <w:b/>
                <w:bCs/>
                <w:color w:val="FFFFFF"/>
                <w:sz w:val="18"/>
                <w:szCs w:val="18"/>
              </w:rPr>
              <w:t>毛利特征</w:t>
            </w:r>
          </w:p>
        </w:tc>
        <w:tc>
          <w:tcPr>
            <w:tcW w:w="2621" w:type="dxa"/>
            <w:shd w:val="clear" w:color="auto" w:fill="1F3864"/>
            <w:tcMar>
              <w:top w:w="60" w:type="dxa"/>
              <w:left w:w="80" w:type="dxa"/>
              <w:bottom w:w="60" w:type="dxa"/>
              <w:right w:w="80" w:type="dxa"/>
            </w:tcMar>
          </w:tcPr>
          <w:p w14:paraId="30583F4B">
            <w:pPr>
              <w:jc w:val="center"/>
            </w:pPr>
            <w:r>
              <w:rPr>
                <w:rFonts w:ascii="Arial" w:hAnsi="Arial" w:eastAsia="Arial" w:cs="Arial"/>
                <w:b/>
                <w:bCs/>
                <w:color w:val="FFFFFF"/>
                <w:sz w:val="18"/>
                <w:szCs w:val="18"/>
              </w:rPr>
              <w:t>战略角色</w:t>
            </w:r>
          </w:p>
        </w:tc>
      </w:tr>
      <w:tr w14:paraId="24093CB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4B791800">
            <w:pPr>
              <w:spacing w:line="252" w:lineRule="auto"/>
              <w:jc w:val="left"/>
            </w:pPr>
            <w:r>
              <w:rPr>
                <w:rFonts w:ascii="Arial" w:hAnsi="Arial" w:eastAsia="Arial" w:cs="Arial"/>
                <w:b/>
                <w:bCs/>
                <w:color w:val="000000"/>
                <w:sz w:val="17"/>
                <w:szCs w:val="17"/>
              </w:rPr>
              <w:t>一次性</w:t>
            </w:r>
          </w:p>
        </w:tc>
        <w:tc>
          <w:tcPr>
            <w:tcW w:w="2808" w:type="dxa"/>
            <w:shd w:val="clear" w:color="auto" w:fill="FFFFFF"/>
            <w:tcMar>
              <w:top w:w="50" w:type="dxa"/>
              <w:left w:w="80" w:type="dxa"/>
              <w:bottom w:w="50" w:type="dxa"/>
              <w:right w:w="80" w:type="dxa"/>
            </w:tcMar>
          </w:tcPr>
          <w:p w14:paraId="12A92044">
            <w:pPr>
              <w:spacing w:line="252" w:lineRule="auto"/>
              <w:jc w:val="left"/>
            </w:pPr>
            <w:r>
              <w:rPr>
                <w:rFonts w:ascii="Arial" w:hAnsi="Arial" w:eastAsia="Arial" w:cs="Arial"/>
                <w:b w:val="0"/>
                <w:bCs w:val="0"/>
                <w:sz w:val="17"/>
                <w:szCs w:val="17"/>
              </w:rPr>
              <w:t>公司注册、RFC办理、开店入驻</w:t>
            </w:r>
          </w:p>
        </w:tc>
        <w:tc>
          <w:tcPr>
            <w:tcW w:w="1498" w:type="dxa"/>
            <w:shd w:val="clear" w:color="auto" w:fill="FFFFFF"/>
            <w:tcMar>
              <w:top w:w="50" w:type="dxa"/>
              <w:left w:w="80" w:type="dxa"/>
              <w:bottom w:w="50" w:type="dxa"/>
              <w:right w:w="80" w:type="dxa"/>
            </w:tcMar>
          </w:tcPr>
          <w:p w14:paraId="477752F3">
            <w:pPr>
              <w:spacing w:line="252" w:lineRule="auto"/>
              <w:jc w:val="left"/>
            </w:pPr>
            <w:r>
              <w:rPr>
                <w:rFonts w:ascii="Arial" w:hAnsi="Arial" w:eastAsia="Arial" w:cs="Arial"/>
                <w:b w:val="0"/>
                <w:bCs w:val="0"/>
                <w:sz w:val="17"/>
                <w:szCs w:val="17"/>
              </w:rPr>
              <w:t>项目费</w:t>
            </w:r>
          </w:p>
        </w:tc>
        <w:tc>
          <w:tcPr>
            <w:tcW w:w="1123" w:type="dxa"/>
            <w:shd w:val="clear" w:color="auto" w:fill="FFFFFF"/>
            <w:tcMar>
              <w:top w:w="50" w:type="dxa"/>
              <w:left w:w="80" w:type="dxa"/>
              <w:bottom w:w="50" w:type="dxa"/>
              <w:right w:w="80" w:type="dxa"/>
            </w:tcMar>
          </w:tcPr>
          <w:p w14:paraId="6D615817">
            <w:pPr>
              <w:spacing w:line="252" w:lineRule="auto"/>
              <w:jc w:val="left"/>
            </w:pPr>
            <w:r>
              <w:rPr>
                <w:rFonts w:ascii="Arial" w:hAnsi="Arial" w:eastAsia="Arial" w:cs="Arial"/>
                <w:b w:val="0"/>
                <w:bCs w:val="0"/>
                <w:sz w:val="17"/>
                <w:szCs w:val="17"/>
              </w:rPr>
              <w:t>中</w:t>
            </w:r>
          </w:p>
        </w:tc>
        <w:tc>
          <w:tcPr>
            <w:tcW w:w="2621" w:type="dxa"/>
            <w:shd w:val="clear" w:color="auto" w:fill="FFFFFF"/>
            <w:tcMar>
              <w:top w:w="50" w:type="dxa"/>
              <w:left w:w="80" w:type="dxa"/>
              <w:bottom w:w="50" w:type="dxa"/>
              <w:right w:w="80" w:type="dxa"/>
            </w:tcMar>
          </w:tcPr>
          <w:p w14:paraId="4723FCE6">
            <w:pPr>
              <w:spacing w:line="252" w:lineRule="auto"/>
              <w:jc w:val="left"/>
            </w:pPr>
            <w:r>
              <w:rPr>
                <w:rFonts w:ascii="Arial" w:hAnsi="Arial" w:eastAsia="Arial" w:cs="Arial"/>
                <w:b w:val="0"/>
                <w:bCs w:val="0"/>
                <w:sz w:val="17"/>
                <w:szCs w:val="17"/>
              </w:rPr>
              <w:t>获客钩子</w:t>
            </w:r>
          </w:p>
        </w:tc>
      </w:tr>
      <w:tr w14:paraId="7DC95A5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474901FB">
            <w:pPr>
              <w:spacing w:line="252" w:lineRule="auto"/>
              <w:jc w:val="left"/>
            </w:pPr>
            <w:r>
              <w:rPr>
                <w:rFonts w:ascii="Arial" w:hAnsi="Arial" w:eastAsia="Arial" w:cs="Arial"/>
                <w:b/>
                <w:bCs/>
                <w:color w:val="000000"/>
                <w:sz w:val="17"/>
                <w:szCs w:val="17"/>
              </w:rPr>
              <w:t>经常性 (核心)</w:t>
            </w:r>
          </w:p>
        </w:tc>
        <w:tc>
          <w:tcPr>
            <w:tcW w:w="2808" w:type="dxa"/>
            <w:shd w:val="clear" w:color="auto" w:fill="F2F2F2"/>
            <w:tcMar>
              <w:top w:w="50" w:type="dxa"/>
              <w:left w:w="80" w:type="dxa"/>
              <w:bottom w:w="50" w:type="dxa"/>
              <w:right w:w="80" w:type="dxa"/>
            </w:tcMar>
          </w:tcPr>
          <w:p w14:paraId="27ECC62E">
            <w:pPr>
              <w:spacing w:line="252" w:lineRule="auto"/>
              <w:jc w:val="left"/>
            </w:pPr>
            <w:r>
              <w:rPr>
                <w:rFonts w:ascii="Arial" w:hAnsi="Arial" w:eastAsia="Arial" w:cs="Arial"/>
                <w:b w:val="0"/>
                <w:bCs w:val="0"/>
                <w:sz w:val="17"/>
                <w:szCs w:val="17"/>
              </w:rPr>
              <w:t>月度/年度申报、CFDI开票、合规托管</w:t>
            </w:r>
          </w:p>
        </w:tc>
        <w:tc>
          <w:tcPr>
            <w:tcW w:w="1498" w:type="dxa"/>
            <w:shd w:val="clear" w:color="auto" w:fill="F2F2F2"/>
            <w:tcMar>
              <w:top w:w="50" w:type="dxa"/>
              <w:left w:w="80" w:type="dxa"/>
              <w:bottom w:w="50" w:type="dxa"/>
              <w:right w:w="80" w:type="dxa"/>
            </w:tcMar>
          </w:tcPr>
          <w:p w14:paraId="03C22DA8">
            <w:pPr>
              <w:spacing w:line="252" w:lineRule="auto"/>
              <w:jc w:val="left"/>
            </w:pPr>
            <w:r>
              <w:rPr>
                <w:rFonts w:ascii="Arial" w:hAnsi="Arial" w:eastAsia="Arial" w:cs="Arial"/>
                <w:b w:val="0"/>
                <w:bCs w:val="0"/>
                <w:sz w:val="17"/>
                <w:szCs w:val="17"/>
              </w:rPr>
              <w:t>月费/年费</w:t>
            </w:r>
          </w:p>
        </w:tc>
        <w:tc>
          <w:tcPr>
            <w:tcW w:w="1123" w:type="dxa"/>
            <w:shd w:val="clear" w:color="auto" w:fill="F2F2F2"/>
            <w:tcMar>
              <w:top w:w="50" w:type="dxa"/>
              <w:left w:w="80" w:type="dxa"/>
              <w:bottom w:w="50" w:type="dxa"/>
              <w:right w:w="80" w:type="dxa"/>
            </w:tcMar>
          </w:tcPr>
          <w:p w14:paraId="6B1C01CC">
            <w:pPr>
              <w:spacing w:line="252" w:lineRule="auto"/>
              <w:jc w:val="left"/>
            </w:pPr>
            <w:r>
              <w:rPr>
                <w:rFonts w:ascii="Arial" w:hAnsi="Arial" w:eastAsia="Arial" w:cs="Arial"/>
                <w:b w:val="0"/>
                <w:bCs w:val="0"/>
                <w:sz w:val="17"/>
                <w:szCs w:val="17"/>
              </w:rPr>
              <w:t>高</w:t>
            </w:r>
          </w:p>
        </w:tc>
        <w:tc>
          <w:tcPr>
            <w:tcW w:w="2621" w:type="dxa"/>
            <w:shd w:val="clear" w:color="auto" w:fill="F2F2F2"/>
            <w:tcMar>
              <w:top w:w="50" w:type="dxa"/>
              <w:left w:w="80" w:type="dxa"/>
              <w:bottom w:w="50" w:type="dxa"/>
              <w:right w:w="80" w:type="dxa"/>
            </w:tcMar>
          </w:tcPr>
          <w:p w14:paraId="446BB5C7">
            <w:pPr>
              <w:spacing w:line="252" w:lineRule="auto"/>
              <w:jc w:val="left"/>
            </w:pPr>
            <w:r>
              <w:rPr>
                <w:rFonts w:ascii="Arial" w:hAnsi="Arial" w:eastAsia="Arial" w:cs="Arial"/>
                <w:b w:val="0"/>
                <w:bCs w:val="0"/>
                <w:sz w:val="17"/>
                <w:szCs w:val="17"/>
              </w:rPr>
              <w:t>现金流与黏性</w:t>
            </w:r>
          </w:p>
        </w:tc>
      </w:tr>
      <w:tr w14:paraId="2B75DFB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0FA953C5">
            <w:pPr>
              <w:spacing w:line="252" w:lineRule="auto"/>
              <w:jc w:val="left"/>
            </w:pPr>
            <w:r>
              <w:rPr>
                <w:rFonts w:ascii="Arial" w:hAnsi="Arial" w:eastAsia="Arial" w:cs="Arial"/>
                <w:b/>
                <w:bCs/>
                <w:color w:val="000000"/>
                <w:sz w:val="17"/>
                <w:szCs w:val="17"/>
              </w:rPr>
              <w:t>经常性</w:t>
            </w:r>
          </w:p>
        </w:tc>
        <w:tc>
          <w:tcPr>
            <w:tcW w:w="2808" w:type="dxa"/>
            <w:shd w:val="clear" w:color="auto" w:fill="FFFFFF"/>
            <w:tcMar>
              <w:top w:w="50" w:type="dxa"/>
              <w:left w:w="80" w:type="dxa"/>
              <w:bottom w:w="50" w:type="dxa"/>
              <w:right w:w="80" w:type="dxa"/>
            </w:tcMar>
          </w:tcPr>
          <w:p w14:paraId="1C176E88">
            <w:pPr>
              <w:spacing w:line="252" w:lineRule="auto"/>
              <w:jc w:val="left"/>
            </w:pPr>
            <w:r>
              <w:rPr>
                <w:rFonts w:ascii="Arial" w:hAnsi="Arial" w:eastAsia="Arial" w:cs="Arial"/>
                <w:b w:val="0"/>
                <w:bCs w:val="0"/>
                <w:sz w:val="17"/>
                <w:szCs w:val="17"/>
              </w:rPr>
              <w:t>本地收款/结算</w:t>
            </w:r>
          </w:p>
        </w:tc>
        <w:tc>
          <w:tcPr>
            <w:tcW w:w="1498" w:type="dxa"/>
            <w:shd w:val="clear" w:color="auto" w:fill="FFFFFF"/>
            <w:tcMar>
              <w:top w:w="50" w:type="dxa"/>
              <w:left w:w="80" w:type="dxa"/>
              <w:bottom w:w="50" w:type="dxa"/>
              <w:right w:w="80" w:type="dxa"/>
            </w:tcMar>
          </w:tcPr>
          <w:p w14:paraId="30A6FEA0">
            <w:pPr>
              <w:spacing w:line="252" w:lineRule="auto"/>
              <w:jc w:val="left"/>
            </w:pPr>
            <w:r>
              <w:rPr>
                <w:rFonts w:ascii="Arial" w:hAnsi="Arial" w:eastAsia="Arial" w:cs="Arial"/>
                <w:b w:val="0"/>
                <w:bCs w:val="0"/>
                <w:sz w:val="17"/>
                <w:szCs w:val="17"/>
              </w:rPr>
              <w:t>手续费分成</w:t>
            </w:r>
          </w:p>
        </w:tc>
        <w:tc>
          <w:tcPr>
            <w:tcW w:w="1123" w:type="dxa"/>
            <w:shd w:val="clear" w:color="auto" w:fill="FFFFFF"/>
            <w:tcMar>
              <w:top w:w="50" w:type="dxa"/>
              <w:left w:w="80" w:type="dxa"/>
              <w:bottom w:w="50" w:type="dxa"/>
              <w:right w:w="80" w:type="dxa"/>
            </w:tcMar>
          </w:tcPr>
          <w:p w14:paraId="0CD889CD">
            <w:pPr>
              <w:spacing w:line="252" w:lineRule="auto"/>
              <w:jc w:val="left"/>
            </w:pPr>
            <w:r>
              <w:rPr>
                <w:rFonts w:ascii="Arial" w:hAnsi="Arial" w:eastAsia="Arial" w:cs="Arial"/>
                <w:b w:val="0"/>
                <w:bCs w:val="0"/>
                <w:sz w:val="17"/>
                <w:szCs w:val="17"/>
              </w:rPr>
              <w:t>中</w:t>
            </w:r>
          </w:p>
        </w:tc>
        <w:tc>
          <w:tcPr>
            <w:tcW w:w="2621" w:type="dxa"/>
            <w:shd w:val="clear" w:color="auto" w:fill="FFFFFF"/>
            <w:tcMar>
              <w:top w:w="50" w:type="dxa"/>
              <w:left w:w="80" w:type="dxa"/>
              <w:bottom w:w="50" w:type="dxa"/>
              <w:right w:w="80" w:type="dxa"/>
            </w:tcMar>
          </w:tcPr>
          <w:p w14:paraId="2D287ACB">
            <w:pPr>
              <w:spacing w:line="252" w:lineRule="auto"/>
              <w:jc w:val="left"/>
            </w:pPr>
            <w:r>
              <w:rPr>
                <w:rFonts w:ascii="Arial" w:hAnsi="Arial" w:eastAsia="Arial" w:cs="Arial"/>
                <w:b w:val="0"/>
                <w:bCs w:val="0"/>
                <w:sz w:val="17"/>
                <w:szCs w:val="17"/>
              </w:rPr>
              <w:t>刚需入口</w:t>
            </w:r>
          </w:p>
        </w:tc>
      </w:tr>
      <w:tr w14:paraId="27DBFB9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23ABF51C">
            <w:pPr>
              <w:spacing w:line="252" w:lineRule="auto"/>
              <w:jc w:val="left"/>
            </w:pPr>
            <w:r>
              <w:rPr>
                <w:rFonts w:ascii="Arial" w:hAnsi="Arial" w:eastAsia="Arial" w:cs="Arial"/>
                <w:b/>
                <w:bCs/>
                <w:color w:val="000000"/>
                <w:sz w:val="17"/>
                <w:szCs w:val="17"/>
              </w:rPr>
              <w:t>增值 (高价值)</w:t>
            </w:r>
          </w:p>
        </w:tc>
        <w:tc>
          <w:tcPr>
            <w:tcW w:w="2808" w:type="dxa"/>
            <w:shd w:val="clear" w:color="auto" w:fill="F2F2F2"/>
            <w:tcMar>
              <w:top w:w="50" w:type="dxa"/>
              <w:left w:w="80" w:type="dxa"/>
              <w:bottom w:w="50" w:type="dxa"/>
              <w:right w:w="80" w:type="dxa"/>
            </w:tcMar>
          </w:tcPr>
          <w:p w14:paraId="47023AF8">
            <w:pPr>
              <w:spacing w:line="252" w:lineRule="auto"/>
              <w:jc w:val="left"/>
            </w:pPr>
            <w:r>
              <w:rPr>
                <w:rFonts w:ascii="Arial" w:hAnsi="Arial" w:eastAsia="Arial" w:cs="Arial"/>
                <w:b w:val="0"/>
                <w:bCs w:val="0"/>
                <w:sz w:val="17"/>
                <w:szCs w:val="17"/>
              </w:rPr>
              <w:t>代运营、Mercado Ads、内容/达人</w:t>
            </w:r>
          </w:p>
        </w:tc>
        <w:tc>
          <w:tcPr>
            <w:tcW w:w="1498" w:type="dxa"/>
            <w:shd w:val="clear" w:color="auto" w:fill="F2F2F2"/>
            <w:tcMar>
              <w:top w:w="50" w:type="dxa"/>
              <w:left w:w="80" w:type="dxa"/>
              <w:bottom w:w="50" w:type="dxa"/>
              <w:right w:w="80" w:type="dxa"/>
            </w:tcMar>
          </w:tcPr>
          <w:p w14:paraId="70DA7FC2">
            <w:pPr>
              <w:spacing w:line="252" w:lineRule="auto"/>
              <w:jc w:val="left"/>
            </w:pPr>
            <w:r>
              <w:rPr>
                <w:rFonts w:ascii="Arial" w:hAnsi="Arial" w:eastAsia="Arial" w:cs="Arial"/>
                <w:b w:val="0"/>
                <w:bCs w:val="0"/>
                <w:sz w:val="17"/>
                <w:szCs w:val="17"/>
              </w:rPr>
              <w:t>月费+佣金/提点</w:t>
            </w:r>
          </w:p>
        </w:tc>
        <w:tc>
          <w:tcPr>
            <w:tcW w:w="1123" w:type="dxa"/>
            <w:shd w:val="clear" w:color="auto" w:fill="F2F2F2"/>
            <w:tcMar>
              <w:top w:w="50" w:type="dxa"/>
              <w:left w:w="80" w:type="dxa"/>
              <w:bottom w:w="50" w:type="dxa"/>
              <w:right w:w="80" w:type="dxa"/>
            </w:tcMar>
          </w:tcPr>
          <w:p w14:paraId="16873180">
            <w:pPr>
              <w:spacing w:line="252" w:lineRule="auto"/>
              <w:jc w:val="left"/>
            </w:pPr>
            <w:r>
              <w:rPr>
                <w:rFonts w:ascii="Arial" w:hAnsi="Arial" w:eastAsia="Arial" w:cs="Arial"/>
                <w:b w:val="0"/>
                <w:bCs w:val="0"/>
                <w:sz w:val="17"/>
                <w:szCs w:val="17"/>
              </w:rPr>
              <w:t>中高</w:t>
            </w:r>
          </w:p>
        </w:tc>
        <w:tc>
          <w:tcPr>
            <w:tcW w:w="2621" w:type="dxa"/>
            <w:shd w:val="clear" w:color="auto" w:fill="F2F2F2"/>
            <w:tcMar>
              <w:top w:w="50" w:type="dxa"/>
              <w:left w:w="80" w:type="dxa"/>
              <w:bottom w:w="50" w:type="dxa"/>
              <w:right w:w="80" w:type="dxa"/>
            </w:tcMar>
          </w:tcPr>
          <w:p w14:paraId="42EDA956">
            <w:pPr>
              <w:spacing w:line="252" w:lineRule="auto"/>
              <w:jc w:val="left"/>
            </w:pPr>
            <w:r>
              <w:rPr>
                <w:rFonts w:ascii="Arial" w:hAnsi="Arial" w:eastAsia="Arial" w:cs="Arial"/>
                <w:b w:val="0"/>
                <w:bCs w:val="0"/>
                <w:sz w:val="17"/>
                <w:szCs w:val="17"/>
              </w:rPr>
              <w:t>客单价放大</w:t>
            </w:r>
          </w:p>
        </w:tc>
      </w:tr>
      <w:tr w14:paraId="60BE110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24798A34">
            <w:pPr>
              <w:spacing w:line="252" w:lineRule="auto"/>
              <w:jc w:val="left"/>
            </w:pPr>
            <w:r>
              <w:rPr>
                <w:rFonts w:ascii="Arial" w:hAnsi="Arial" w:eastAsia="Arial" w:cs="Arial"/>
                <w:b/>
                <w:bCs/>
                <w:color w:val="000000"/>
                <w:sz w:val="17"/>
                <w:szCs w:val="17"/>
              </w:rPr>
              <w:t>增值</w:t>
            </w:r>
          </w:p>
        </w:tc>
        <w:tc>
          <w:tcPr>
            <w:tcW w:w="2808" w:type="dxa"/>
            <w:shd w:val="clear" w:color="auto" w:fill="FFFFFF"/>
            <w:tcMar>
              <w:top w:w="50" w:type="dxa"/>
              <w:left w:w="80" w:type="dxa"/>
              <w:bottom w:w="50" w:type="dxa"/>
              <w:right w:w="80" w:type="dxa"/>
            </w:tcMar>
          </w:tcPr>
          <w:p w14:paraId="3E58470A">
            <w:pPr>
              <w:spacing w:line="252" w:lineRule="auto"/>
              <w:jc w:val="left"/>
            </w:pPr>
            <w:r>
              <w:rPr>
                <w:rFonts w:ascii="Arial" w:hAnsi="Arial" w:eastAsia="Arial" w:cs="Arial"/>
                <w:b w:val="0"/>
                <w:bCs w:val="0"/>
                <w:sz w:val="17"/>
                <w:szCs w:val="17"/>
              </w:rPr>
              <w:t>税务架构规划、疑难/稽查应对</w:t>
            </w:r>
          </w:p>
        </w:tc>
        <w:tc>
          <w:tcPr>
            <w:tcW w:w="1498" w:type="dxa"/>
            <w:shd w:val="clear" w:color="auto" w:fill="FFFFFF"/>
            <w:tcMar>
              <w:top w:w="50" w:type="dxa"/>
              <w:left w:w="80" w:type="dxa"/>
              <w:bottom w:w="50" w:type="dxa"/>
              <w:right w:w="80" w:type="dxa"/>
            </w:tcMar>
          </w:tcPr>
          <w:p w14:paraId="4004FFD6">
            <w:pPr>
              <w:spacing w:line="252" w:lineRule="auto"/>
              <w:jc w:val="left"/>
            </w:pPr>
            <w:r>
              <w:rPr>
                <w:rFonts w:ascii="Arial" w:hAnsi="Arial" w:eastAsia="Arial" w:cs="Arial"/>
                <w:b w:val="0"/>
                <w:bCs w:val="0"/>
                <w:sz w:val="17"/>
                <w:szCs w:val="17"/>
              </w:rPr>
              <w:t>咨询费</w:t>
            </w:r>
          </w:p>
        </w:tc>
        <w:tc>
          <w:tcPr>
            <w:tcW w:w="1123" w:type="dxa"/>
            <w:shd w:val="clear" w:color="auto" w:fill="FFFFFF"/>
            <w:tcMar>
              <w:top w:w="50" w:type="dxa"/>
              <w:left w:w="80" w:type="dxa"/>
              <w:bottom w:w="50" w:type="dxa"/>
              <w:right w:w="80" w:type="dxa"/>
            </w:tcMar>
          </w:tcPr>
          <w:p w14:paraId="6046CADE">
            <w:pPr>
              <w:spacing w:line="252" w:lineRule="auto"/>
              <w:jc w:val="left"/>
            </w:pPr>
            <w:r>
              <w:rPr>
                <w:rFonts w:ascii="Arial" w:hAnsi="Arial" w:eastAsia="Arial" w:cs="Arial"/>
                <w:b w:val="0"/>
                <w:bCs w:val="0"/>
                <w:sz w:val="17"/>
                <w:szCs w:val="17"/>
              </w:rPr>
              <w:t>高</w:t>
            </w:r>
          </w:p>
        </w:tc>
        <w:tc>
          <w:tcPr>
            <w:tcW w:w="2621" w:type="dxa"/>
            <w:shd w:val="clear" w:color="auto" w:fill="FFFFFF"/>
            <w:tcMar>
              <w:top w:w="50" w:type="dxa"/>
              <w:left w:w="80" w:type="dxa"/>
              <w:bottom w:w="50" w:type="dxa"/>
              <w:right w:w="80" w:type="dxa"/>
            </w:tcMar>
          </w:tcPr>
          <w:p w14:paraId="413CA2D6">
            <w:pPr>
              <w:spacing w:line="252" w:lineRule="auto"/>
              <w:jc w:val="left"/>
            </w:pPr>
            <w:r>
              <w:rPr>
                <w:rFonts w:ascii="Arial" w:hAnsi="Arial" w:eastAsia="Arial" w:cs="Arial"/>
                <w:b w:val="0"/>
                <w:bCs w:val="0"/>
                <w:sz w:val="17"/>
                <w:szCs w:val="17"/>
              </w:rPr>
              <w:t>专业溢价</w:t>
            </w:r>
          </w:p>
        </w:tc>
      </w:tr>
      <w:tr w14:paraId="0B971B1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7DA81FCF">
            <w:pPr>
              <w:spacing w:line="252" w:lineRule="auto"/>
              <w:jc w:val="left"/>
            </w:pPr>
            <w:r>
              <w:rPr>
                <w:rFonts w:ascii="Arial" w:hAnsi="Arial" w:eastAsia="Arial" w:cs="Arial"/>
                <w:b/>
                <w:bCs/>
                <w:color w:val="000000"/>
                <w:sz w:val="17"/>
                <w:szCs w:val="17"/>
              </w:rPr>
              <w:t>产品 (未来)</w:t>
            </w:r>
          </w:p>
        </w:tc>
        <w:tc>
          <w:tcPr>
            <w:tcW w:w="2808" w:type="dxa"/>
            <w:shd w:val="clear" w:color="auto" w:fill="F2F2F2"/>
            <w:tcMar>
              <w:top w:w="50" w:type="dxa"/>
              <w:left w:w="80" w:type="dxa"/>
              <w:bottom w:w="50" w:type="dxa"/>
              <w:right w:w="80" w:type="dxa"/>
            </w:tcMar>
          </w:tcPr>
          <w:p w14:paraId="295A2D6E">
            <w:pPr>
              <w:spacing w:line="252" w:lineRule="auto"/>
              <w:jc w:val="left"/>
            </w:pPr>
            <w:r>
              <w:rPr>
                <w:rFonts w:ascii="Arial" w:hAnsi="Arial" w:eastAsia="Arial" w:cs="Arial"/>
                <w:b w:val="0"/>
                <w:bCs w:val="0"/>
                <w:sz w:val="17"/>
                <w:szCs w:val="17"/>
              </w:rPr>
              <w:t>天机OS：税测/预扣模拟/申报提醒</w:t>
            </w:r>
          </w:p>
        </w:tc>
        <w:tc>
          <w:tcPr>
            <w:tcW w:w="1498" w:type="dxa"/>
            <w:shd w:val="clear" w:color="auto" w:fill="F2F2F2"/>
            <w:tcMar>
              <w:top w:w="50" w:type="dxa"/>
              <w:left w:w="80" w:type="dxa"/>
              <w:bottom w:w="50" w:type="dxa"/>
              <w:right w:w="80" w:type="dxa"/>
            </w:tcMar>
          </w:tcPr>
          <w:p w14:paraId="14EE3AFA">
            <w:pPr>
              <w:spacing w:line="252" w:lineRule="auto"/>
              <w:jc w:val="left"/>
            </w:pPr>
            <w:r>
              <w:rPr>
                <w:rFonts w:ascii="Arial" w:hAnsi="Arial" w:eastAsia="Arial" w:cs="Arial"/>
                <w:b w:val="0"/>
                <w:bCs w:val="0"/>
                <w:sz w:val="17"/>
                <w:szCs w:val="17"/>
              </w:rPr>
              <w:t>SaaS订阅</w:t>
            </w:r>
          </w:p>
        </w:tc>
        <w:tc>
          <w:tcPr>
            <w:tcW w:w="1123" w:type="dxa"/>
            <w:shd w:val="clear" w:color="auto" w:fill="F2F2F2"/>
            <w:tcMar>
              <w:top w:w="50" w:type="dxa"/>
              <w:left w:w="80" w:type="dxa"/>
              <w:bottom w:w="50" w:type="dxa"/>
              <w:right w:w="80" w:type="dxa"/>
            </w:tcMar>
          </w:tcPr>
          <w:p w14:paraId="32DF49E4">
            <w:pPr>
              <w:spacing w:line="252" w:lineRule="auto"/>
              <w:jc w:val="left"/>
            </w:pPr>
            <w:r>
              <w:rPr>
                <w:rFonts w:ascii="Arial" w:hAnsi="Arial" w:eastAsia="Arial" w:cs="Arial"/>
                <w:b w:val="0"/>
                <w:bCs w:val="0"/>
                <w:sz w:val="17"/>
                <w:szCs w:val="17"/>
              </w:rPr>
              <w:t>极高</w:t>
            </w:r>
          </w:p>
        </w:tc>
        <w:tc>
          <w:tcPr>
            <w:tcW w:w="2621" w:type="dxa"/>
            <w:shd w:val="clear" w:color="auto" w:fill="F2F2F2"/>
            <w:tcMar>
              <w:top w:w="50" w:type="dxa"/>
              <w:left w:w="80" w:type="dxa"/>
              <w:bottom w:w="50" w:type="dxa"/>
              <w:right w:w="80" w:type="dxa"/>
            </w:tcMar>
          </w:tcPr>
          <w:p w14:paraId="4888663E">
            <w:pPr>
              <w:spacing w:line="252" w:lineRule="auto"/>
              <w:jc w:val="left"/>
            </w:pPr>
            <w:r>
              <w:rPr>
                <w:rFonts w:ascii="Arial" w:hAnsi="Arial" w:eastAsia="Arial" w:cs="Arial"/>
                <w:b w:val="0"/>
                <w:bCs w:val="0"/>
                <w:sz w:val="17"/>
                <w:szCs w:val="17"/>
              </w:rPr>
              <w:t>规模化壁垒</w:t>
            </w:r>
          </w:p>
        </w:tc>
      </w:tr>
    </w:tbl>
    <w:p w14:paraId="7C0000F2">
      <w:pPr>
        <w:spacing w:before="40" w:after="160"/>
      </w:pPr>
      <w:r>
        <w:rPr>
          <w:rFonts w:ascii="Arial" w:hAnsi="Arial" w:eastAsia="Arial" w:cs="Arial"/>
          <w:i/>
          <w:iCs/>
          <w:color w:val="808080"/>
          <w:sz w:val="16"/>
          <w:szCs w:val="16"/>
        </w:rPr>
        <w:t>表 6-1：收入结构与战略角色。经常性收入是估值与稳定性的核心，产品化是长期壁垒。</w:t>
      </w:r>
    </w:p>
    <w:p w14:paraId="538E45B2">
      <w:pPr>
        <w:pStyle w:val="3"/>
        <w:spacing w:before="220" w:after="120"/>
      </w:pPr>
      <w:r>
        <w:rPr>
          <w:rFonts w:ascii="Arial" w:hAnsi="Arial" w:eastAsia="Arial" w:cs="Arial"/>
          <w:b/>
          <w:bCs/>
          <w:color w:val="2E5496"/>
          <w:sz w:val="25"/>
          <w:szCs w:val="25"/>
        </w:rPr>
        <w:t>6.2　单客经济模型（示意）</w:t>
      </w:r>
    </w:p>
    <w:p w14:paraId="7D82C2F3">
      <w:pPr>
        <w:spacing w:after="140" w:line="288" w:lineRule="auto"/>
        <w:jc w:val="both"/>
      </w:pPr>
      <w:r>
        <w:rPr>
          <w:rFonts w:ascii="Arial" w:hAnsi="Arial" w:eastAsia="Arial" w:cs="Arial"/>
          <w:sz w:val="21"/>
          <w:szCs w:val="21"/>
        </w:rPr>
        <w:t>以一个“成长型”本土店客户为例，示意其生命周期价值（数字为假设，用于结构演示）：</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939"/>
        <w:gridCol w:w="1960"/>
        <w:gridCol w:w="2155"/>
        <w:gridCol w:w="2744"/>
      </w:tblGrid>
      <w:tr w14:paraId="2146FE44">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808" w:type="dxa"/>
            <w:shd w:val="clear" w:color="auto" w:fill="1F3864"/>
            <w:tcMar>
              <w:top w:w="60" w:type="dxa"/>
              <w:left w:w="80" w:type="dxa"/>
              <w:bottom w:w="60" w:type="dxa"/>
              <w:right w:w="80" w:type="dxa"/>
            </w:tcMar>
          </w:tcPr>
          <w:p w14:paraId="2804A2CB">
            <w:pPr>
              <w:jc w:val="center"/>
            </w:pPr>
            <w:r>
              <w:rPr>
                <w:rFonts w:ascii="Arial" w:hAnsi="Arial" w:eastAsia="Arial" w:cs="Arial"/>
                <w:b/>
                <w:bCs/>
                <w:color w:val="FFFFFF"/>
                <w:sz w:val="18"/>
                <w:szCs w:val="18"/>
              </w:rPr>
              <w:t>项目</w:t>
            </w:r>
          </w:p>
        </w:tc>
        <w:tc>
          <w:tcPr>
            <w:tcW w:w="1872" w:type="dxa"/>
            <w:shd w:val="clear" w:color="auto" w:fill="1F3864"/>
            <w:tcMar>
              <w:top w:w="60" w:type="dxa"/>
              <w:left w:w="80" w:type="dxa"/>
              <w:bottom w:w="60" w:type="dxa"/>
              <w:right w:w="80" w:type="dxa"/>
            </w:tcMar>
          </w:tcPr>
          <w:p w14:paraId="39435C0A">
            <w:pPr>
              <w:jc w:val="center"/>
            </w:pPr>
            <w:r>
              <w:rPr>
                <w:rFonts w:ascii="Arial" w:hAnsi="Arial" w:eastAsia="Arial" w:cs="Arial"/>
                <w:b/>
                <w:bCs/>
                <w:color w:val="FFFFFF"/>
                <w:sz w:val="18"/>
                <w:szCs w:val="18"/>
              </w:rPr>
              <w:t>计费 (示意)</w:t>
            </w:r>
          </w:p>
        </w:tc>
        <w:tc>
          <w:tcPr>
            <w:tcW w:w="2059" w:type="dxa"/>
            <w:shd w:val="clear" w:color="auto" w:fill="1F3864"/>
            <w:tcMar>
              <w:top w:w="60" w:type="dxa"/>
              <w:left w:w="80" w:type="dxa"/>
              <w:bottom w:w="60" w:type="dxa"/>
              <w:right w:w="80" w:type="dxa"/>
            </w:tcMar>
          </w:tcPr>
          <w:p w14:paraId="05F41942">
            <w:pPr>
              <w:jc w:val="center"/>
            </w:pPr>
            <w:r>
              <w:rPr>
                <w:rFonts w:ascii="Arial" w:hAnsi="Arial" w:eastAsia="Arial" w:cs="Arial"/>
                <w:b/>
                <w:bCs/>
                <w:color w:val="FFFFFF"/>
                <w:sz w:val="18"/>
                <w:szCs w:val="18"/>
              </w:rPr>
              <w:t>首年收入 (示意)</w:t>
            </w:r>
          </w:p>
        </w:tc>
        <w:tc>
          <w:tcPr>
            <w:tcW w:w="2621" w:type="dxa"/>
            <w:shd w:val="clear" w:color="auto" w:fill="1F3864"/>
            <w:tcMar>
              <w:top w:w="60" w:type="dxa"/>
              <w:left w:w="80" w:type="dxa"/>
              <w:bottom w:w="60" w:type="dxa"/>
              <w:right w:w="80" w:type="dxa"/>
            </w:tcMar>
          </w:tcPr>
          <w:p w14:paraId="4288D66A">
            <w:pPr>
              <w:jc w:val="center"/>
            </w:pPr>
            <w:r>
              <w:rPr>
                <w:rFonts w:ascii="Arial" w:hAnsi="Arial" w:eastAsia="Arial" w:cs="Arial"/>
                <w:b/>
                <w:bCs/>
                <w:color w:val="FFFFFF"/>
                <w:sz w:val="18"/>
                <w:szCs w:val="18"/>
              </w:rPr>
              <w:t>说明</w:t>
            </w:r>
          </w:p>
        </w:tc>
      </w:tr>
      <w:tr w14:paraId="5797CAB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FFFFF"/>
            <w:tcMar>
              <w:top w:w="50" w:type="dxa"/>
              <w:left w:w="80" w:type="dxa"/>
              <w:bottom w:w="50" w:type="dxa"/>
              <w:right w:w="80" w:type="dxa"/>
            </w:tcMar>
          </w:tcPr>
          <w:p w14:paraId="4C85DA31">
            <w:pPr>
              <w:spacing w:line="252" w:lineRule="auto"/>
              <w:jc w:val="left"/>
            </w:pPr>
            <w:r>
              <w:rPr>
                <w:rFonts w:ascii="Arial" w:hAnsi="Arial" w:eastAsia="Arial" w:cs="Arial"/>
                <w:sz w:val="17"/>
                <w:szCs w:val="17"/>
              </w:rPr>
              <w:t>公司注册+RFC（一次性）</w:t>
            </w:r>
          </w:p>
        </w:tc>
        <w:tc>
          <w:tcPr>
            <w:tcW w:w="1872" w:type="dxa"/>
            <w:shd w:val="clear" w:color="auto" w:fill="FFFFFF"/>
            <w:tcMar>
              <w:top w:w="50" w:type="dxa"/>
              <w:left w:w="80" w:type="dxa"/>
              <w:bottom w:w="50" w:type="dxa"/>
              <w:right w:w="80" w:type="dxa"/>
            </w:tcMar>
          </w:tcPr>
          <w:p w14:paraId="3DC2E3C1">
            <w:pPr>
              <w:spacing w:line="252" w:lineRule="auto"/>
              <w:jc w:val="left"/>
            </w:pPr>
            <w:r>
              <w:rPr>
                <w:rFonts w:ascii="Arial" w:hAnsi="Arial" w:eastAsia="Arial" w:cs="Arial"/>
                <w:b w:val="0"/>
                <w:bCs w:val="0"/>
                <w:sz w:val="17"/>
                <w:szCs w:val="17"/>
              </w:rPr>
              <w:t>US$1,500–2,500</w:t>
            </w:r>
          </w:p>
        </w:tc>
        <w:tc>
          <w:tcPr>
            <w:tcW w:w="2059" w:type="dxa"/>
            <w:shd w:val="clear" w:color="auto" w:fill="FFFFFF"/>
            <w:tcMar>
              <w:top w:w="50" w:type="dxa"/>
              <w:left w:w="80" w:type="dxa"/>
              <w:bottom w:w="50" w:type="dxa"/>
              <w:right w:w="80" w:type="dxa"/>
            </w:tcMar>
          </w:tcPr>
          <w:p w14:paraId="67A2A564">
            <w:pPr>
              <w:spacing w:line="252" w:lineRule="auto"/>
              <w:jc w:val="left"/>
            </w:pPr>
            <w:r>
              <w:rPr>
                <w:rFonts w:ascii="Arial" w:hAnsi="Arial" w:eastAsia="Arial" w:cs="Arial"/>
                <w:b w:val="0"/>
                <w:bCs w:val="0"/>
                <w:sz w:val="17"/>
                <w:szCs w:val="17"/>
              </w:rPr>
              <w:t>US$2,000</w:t>
            </w:r>
          </w:p>
        </w:tc>
        <w:tc>
          <w:tcPr>
            <w:tcW w:w="2621" w:type="dxa"/>
            <w:shd w:val="clear" w:color="auto" w:fill="FFFFFF"/>
            <w:tcMar>
              <w:top w:w="50" w:type="dxa"/>
              <w:left w:w="80" w:type="dxa"/>
              <w:bottom w:w="50" w:type="dxa"/>
              <w:right w:w="80" w:type="dxa"/>
            </w:tcMar>
          </w:tcPr>
          <w:p w14:paraId="68964307">
            <w:pPr>
              <w:spacing w:line="252" w:lineRule="auto"/>
              <w:jc w:val="left"/>
            </w:pPr>
            <w:r>
              <w:rPr>
                <w:rFonts w:ascii="Arial" w:hAnsi="Arial" w:eastAsia="Arial" w:cs="Arial"/>
                <w:b w:val="0"/>
                <w:bCs w:val="0"/>
                <w:sz w:val="17"/>
                <w:szCs w:val="17"/>
              </w:rPr>
              <w:t>获客与建立信任</w:t>
            </w:r>
          </w:p>
        </w:tc>
      </w:tr>
      <w:tr w14:paraId="5F67285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2F2F2"/>
            <w:tcMar>
              <w:top w:w="50" w:type="dxa"/>
              <w:left w:w="80" w:type="dxa"/>
              <w:bottom w:w="50" w:type="dxa"/>
              <w:right w:w="80" w:type="dxa"/>
            </w:tcMar>
          </w:tcPr>
          <w:p w14:paraId="4AE6FE0B">
            <w:pPr>
              <w:spacing w:line="252" w:lineRule="auto"/>
              <w:jc w:val="left"/>
            </w:pPr>
            <w:r>
              <w:rPr>
                <w:rFonts w:ascii="Arial" w:hAnsi="Arial" w:eastAsia="Arial" w:cs="Arial"/>
                <w:sz w:val="17"/>
                <w:szCs w:val="17"/>
              </w:rPr>
              <w:t>月度合规托管</w:t>
            </w:r>
          </w:p>
        </w:tc>
        <w:tc>
          <w:tcPr>
            <w:tcW w:w="1872" w:type="dxa"/>
            <w:shd w:val="clear" w:color="auto" w:fill="F2F2F2"/>
            <w:tcMar>
              <w:top w:w="50" w:type="dxa"/>
              <w:left w:w="80" w:type="dxa"/>
              <w:bottom w:w="50" w:type="dxa"/>
              <w:right w:w="80" w:type="dxa"/>
            </w:tcMar>
          </w:tcPr>
          <w:p w14:paraId="623972B8">
            <w:pPr>
              <w:spacing w:line="252" w:lineRule="auto"/>
              <w:jc w:val="left"/>
            </w:pPr>
            <w:r>
              <w:rPr>
                <w:rFonts w:ascii="Arial" w:hAnsi="Arial" w:eastAsia="Arial" w:cs="Arial"/>
                <w:b w:val="0"/>
                <w:bCs w:val="0"/>
                <w:sz w:val="17"/>
                <w:szCs w:val="17"/>
              </w:rPr>
              <w:t>US$250/月</w:t>
            </w:r>
          </w:p>
        </w:tc>
        <w:tc>
          <w:tcPr>
            <w:tcW w:w="2059" w:type="dxa"/>
            <w:shd w:val="clear" w:color="auto" w:fill="F2F2F2"/>
            <w:tcMar>
              <w:top w:w="50" w:type="dxa"/>
              <w:left w:w="80" w:type="dxa"/>
              <w:bottom w:w="50" w:type="dxa"/>
              <w:right w:w="80" w:type="dxa"/>
            </w:tcMar>
          </w:tcPr>
          <w:p w14:paraId="6461A9B6">
            <w:pPr>
              <w:spacing w:line="252" w:lineRule="auto"/>
              <w:jc w:val="left"/>
            </w:pPr>
            <w:r>
              <w:rPr>
                <w:rFonts w:ascii="Arial" w:hAnsi="Arial" w:eastAsia="Arial" w:cs="Arial"/>
                <w:b w:val="0"/>
                <w:bCs w:val="0"/>
                <w:sz w:val="17"/>
                <w:szCs w:val="17"/>
              </w:rPr>
              <w:t>US$3,000</w:t>
            </w:r>
          </w:p>
        </w:tc>
        <w:tc>
          <w:tcPr>
            <w:tcW w:w="2621" w:type="dxa"/>
            <w:shd w:val="clear" w:color="auto" w:fill="F2F2F2"/>
            <w:tcMar>
              <w:top w:w="50" w:type="dxa"/>
              <w:left w:w="80" w:type="dxa"/>
              <w:bottom w:w="50" w:type="dxa"/>
              <w:right w:w="80" w:type="dxa"/>
            </w:tcMar>
          </w:tcPr>
          <w:p w14:paraId="1B724D1A">
            <w:pPr>
              <w:spacing w:line="252" w:lineRule="auto"/>
              <w:jc w:val="left"/>
            </w:pPr>
            <w:r>
              <w:rPr>
                <w:rFonts w:ascii="Arial" w:hAnsi="Arial" w:eastAsia="Arial" w:cs="Arial"/>
                <w:b w:val="0"/>
                <w:bCs w:val="0"/>
                <w:sz w:val="17"/>
                <w:szCs w:val="17"/>
              </w:rPr>
              <w:t>12个月经常性</w:t>
            </w:r>
          </w:p>
        </w:tc>
      </w:tr>
      <w:tr w14:paraId="330E260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FFFFF"/>
            <w:tcMar>
              <w:top w:w="50" w:type="dxa"/>
              <w:left w:w="80" w:type="dxa"/>
              <w:bottom w:w="50" w:type="dxa"/>
              <w:right w:w="80" w:type="dxa"/>
            </w:tcMar>
          </w:tcPr>
          <w:p w14:paraId="5F542002">
            <w:pPr>
              <w:spacing w:line="252" w:lineRule="auto"/>
              <w:jc w:val="left"/>
            </w:pPr>
            <w:r>
              <w:rPr>
                <w:rFonts w:ascii="Arial" w:hAnsi="Arial" w:eastAsia="Arial" w:cs="Arial"/>
                <w:sz w:val="17"/>
                <w:szCs w:val="17"/>
              </w:rPr>
              <w:t>本地收款手续费分成</w:t>
            </w:r>
          </w:p>
        </w:tc>
        <w:tc>
          <w:tcPr>
            <w:tcW w:w="1872" w:type="dxa"/>
            <w:shd w:val="clear" w:color="auto" w:fill="FFFFFF"/>
            <w:tcMar>
              <w:top w:w="50" w:type="dxa"/>
              <w:left w:w="80" w:type="dxa"/>
              <w:bottom w:w="50" w:type="dxa"/>
              <w:right w:w="80" w:type="dxa"/>
            </w:tcMar>
          </w:tcPr>
          <w:p w14:paraId="259EBBD9">
            <w:pPr>
              <w:spacing w:line="252" w:lineRule="auto"/>
              <w:jc w:val="left"/>
            </w:pPr>
            <w:r>
              <w:rPr>
                <w:rFonts w:ascii="Arial" w:hAnsi="Arial" w:eastAsia="Arial" w:cs="Arial"/>
                <w:b w:val="0"/>
                <w:bCs w:val="0"/>
                <w:sz w:val="17"/>
                <w:szCs w:val="17"/>
              </w:rPr>
              <w:t>GMV的~0.5–1%</w:t>
            </w:r>
          </w:p>
        </w:tc>
        <w:tc>
          <w:tcPr>
            <w:tcW w:w="2059" w:type="dxa"/>
            <w:shd w:val="clear" w:color="auto" w:fill="FFFFFF"/>
            <w:tcMar>
              <w:top w:w="50" w:type="dxa"/>
              <w:left w:w="80" w:type="dxa"/>
              <w:bottom w:w="50" w:type="dxa"/>
              <w:right w:w="80" w:type="dxa"/>
            </w:tcMar>
          </w:tcPr>
          <w:p w14:paraId="7218D03B">
            <w:pPr>
              <w:spacing w:line="252" w:lineRule="auto"/>
              <w:jc w:val="left"/>
            </w:pPr>
            <w:r>
              <w:rPr>
                <w:rFonts w:ascii="Arial" w:hAnsi="Arial" w:eastAsia="Arial" w:cs="Arial"/>
                <w:b w:val="0"/>
                <w:bCs w:val="0"/>
                <w:sz w:val="17"/>
                <w:szCs w:val="17"/>
              </w:rPr>
              <w:t>US$1,500</w:t>
            </w:r>
          </w:p>
        </w:tc>
        <w:tc>
          <w:tcPr>
            <w:tcW w:w="2621" w:type="dxa"/>
            <w:shd w:val="clear" w:color="auto" w:fill="FFFFFF"/>
            <w:tcMar>
              <w:top w:w="50" w:type="dxa"/>
              <w:left w:w="80" w:type="dxa"/>
              <w:bottom w:w="50" w:type="dxa"/>
              <w:right w:w="80" w:type="dxa"/>
            </w:tcMar>
          </w:tcPr>
          <w:p w14:paraId="09F47E60">
            <w:pPr>
              <w:spacing w:line="252" w:lineRule="auto"/>
              <w:jc w:val="left"/>
            </w:pPr>
            <w:r>
              <w:rPr>
                <w:rFonts w:ascii="Arial" w:hAnsi="Arial" w:eastAsia="Arial" w:cs="Arial"/>
                <w:b w:val="0"/>
                <w:bCs w:val="0"/>
                <w:sz w:val="17"/>
                <w:szCs w:val="17"/>
              </w:rPr>
              <w:t>随客户成长而增长</w:t>
            </w:r>
          </w:p>
        </w:tc>
      </w:tr>
      <w:tr w14:paraId="61010B5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2F2F2"/>
            <w:tcMar>
              <w:top w:w="50" w:type="dxa"/>
              <w:left w:w="80" w:type="dxa"/>
              <w:bottom w:w="50" w:type="dxa"/>
              <w:right w:w="80" w:type="dxa"/>
            </w:tcMar>
          </w:tcPr>
          <w:p w14:paraId="094A13C1">
            <w:pPr>
              <w:spacing w:line="252" w:lineRule="auto"/>
              <w:jc w:val="left"/>
            </w:pPr>
            <w:r>
              <w:rPr>
                <w:rFonts w:ascii="Arial" w:hAnsi="Arial" w:eastAsia="Arial" w:cs="Arial"/>
                <w:sz w:val="17"/>
                <w:szCs w:val="17"/>
              </w:rPr>
              <w:t>代运营+广告（可选）</w:t>
            </w:r>
          </w:p>
        </w:tc>
        <w:tc>
          <w:tcPr>
            <w:tcW w:w="1872" w:type="dxa"/>
            <w:shd w:val="clear" w:color="auto" w:fill="F2F2F2"/>
            <w:tcMar>
              <w:top w:w="50" w:type="dxa"/>
              <w:left w:w="80" w:type="dxa"/>
              <w:bottom w:w="50" w:type="dxa"/>
              <w:right w:w="80" w:type="dxa"/>
            </w:tcMar>
          </w:tcPr>
          <w:p w14:paraId="151266BA">
            <w:pPr>
              <w:spacing w:line="252" w:lineRule="auto"/>
              <w:jc w:val="left"/>
            </w:pPr>
            <w:r>
              <w:rPr>
                <w:rFonts w:ascii="Arial" w:hAnsi="Arial" w:eastAsia="Arial" w:cs="Arial"/>
                <w:b w:val="0"/>
                <w:bCs w:val="0"/>
                <w:sz w:val="17"/>
                <w:szCs w:val="17"/>
              </w:rPr>
              <w:t>US$800/月+提点</w:t>
            </w:r>
          </w:p>
        </w:tc>
        <w:tc>
          <w:tcPr>
            <w:tcW w:w="2059" w:type="dxa"/>
            <w:shd w:val="clear" w:color="auto" w:fill="F2F2F2"/>
            <w:tcMar>
              <w:top w:w="50" w:type="dxa"/>
              <w:left w:w="80" w:type="dxa"/>
              <w:bottom w:w="50" w:type="dxa"/>
              <w:right w:w="80" w:type="dxa"/>
            </w:tcMar>
          </w:tcPr>
          <w:p w14:paraId="0A675DBB">
            <w:pPr>
              <w:spacing w:line="252" w:lineRule="auto"/>
              <w:jc w:val="left"/>
            </w:pPr>
            <w:r>
              <w:rPr>
                <w:rFonts w:ascii="Arial" w:hAnsi="Arial" w:eastAsia="Arial" w:cs="Arial"/>
                <w:b w:val="0"/>
                <w:bCs w:val="0"/>
                <w:sz w:val="17"/>
                <w:szCs w:val="17"/>
              </w:rPr>
              <w:t>US$9,600</w:t>
            </w:r>
          </w:p>
        </w:tc>
        <w:tc>
          <w:tcPr>
            <w:tcW w:w="2621" w:type="dxa"/>
            <w:shd w:val="clear" w:color="auto" w:fill="F2F2F2"/>
            <w:tcMar>
              <w:top w:w="50" w:type="dxa"/>
              <w:left w:w="80" w:type="dxa"/>
              <w:bottom w:w="50" w:type="dxa"/>
              <w:right w:w="80" w:type="dxa"/>
            </w:tcMar>
          </w:tcPr>
          <w:p w14:paraId="521817E0">
            <w:pPr>
              <w:spacing w:line="252" w:lineRule="auto"/>
              <w:jc w:val="left"/>
            </w:pPr>
            <w:r>
              <w:rPr>
                <w:rFonts w:ascii="Arial" w:hAnsi="Arial" w:eastAsia="Arial" w:cs="Arial"/>
                <w:b w:val="0"/>
                <w:bCs w:val="0"/>
                <w:sz w:val="17"/>
                <w:szCs w:val="17"/>
              </w:rPr>
              <w:t>高客单增值</w:t>
            </w:r>
          </w:p>
        </w:tc>
      </w:tr>
      <w:tr w14:paraId="3EEFC88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FFFFF"/>
            <w:tcMar>
              <w:top w:w="50" w:type="dxa"/>
              <w:left w:w="80" w:type="dxa"/>
              <w:bottom w:w="50" w:type="dxa"/>
              <w:right w:w="80" w:type="dxa"/>
            </w:tcMar>
          </w:tcPr>
          <w:p w14:paraId="31C35D3A">
            <w:pPr>
              <w:spacing w:line="252" w:lineRule="auto"/>
              <w:jc w:val="left"/>
            </w:pPr>
            <w:r>
              <w:rPr>
                <w:rFonts w:ascii="Arial" w:hAnsi="Arial" w:eastAsia="Arial" w:cs="Arial"/>
                <w:b/>
                <w:bCs/>
                <w:color w:val="000000"/>
                <w:sz w:val="17"/>
                <w:szCs w:val="17"/>
              </w:rPr>
              <w:t>首年合计（含代运营）</w:t>
            </w:r>
          </w:p>
        </w:tc>
        <w:tc>
          <w:tcPr>
            <w:tcW w:w="1872" w:type="dxa"/>
            <w:shd w:val="clear" w:color="auto" w:fill="FFFFFF"/>
            <w:tcMar>
              <w:top w:w="50" w:type="dxa"/>
              <w:left w:w="80" w:type="dxa"/>
              <w:bottom w:w="50" w:type="dxa"/>
              <w:right w:w="80" w:type="dxa"/>
            </w:tcMar>
          </w:tcPr>
          <w:p w14:paraId="2A62806E">
            <w:pPr>
              <w:spacing w:line="252" w:lineRule="auto"/>
              <w:jc w:val="left"/>
            </w:pPr>
            <w:r>
              <w:rPr>
                <w:rFonts w:ascii="Arial" w:hAnsi="Arial" w:eastAsia="Arial" w:cs="Arial"/>
                <w:b w:val="0"/>
                <w:bCs w:val="0"/>
                <w:sz w:val="17"/>
                <w:szCs w:val="17"/>
              </w:rPr>
              <w:t>—</w:t>
            </w:r>
          </w:p>
        </w:tc>
        <w:tc>
          <w:tcPr>
            <w:tcW w:w="2059" w:type="dxa"/>
            <w:shd w:val="clear" w:color="auto" w:fill="C6EFCE"/>
            <w:tcMar>
              <w:top w:w="50" w:type="dxa"/>
              <w:left w:w="80" w:type="dxa"/>
              <w:bottom w:w="50" w:type="dxa"/>
              <w:right w:w="80" w:type="dxa"/>
            </w:tcMar>
          </w:tcPr>
          <w:p w14:paraId="4C45F1B4">
            <w:pPr>
              <w:spacing w:line="252" w:lineRule="auto"/>
              <w:jc w:val="left"/>
            </w:pPr>
            <w:r>
              <w:rPr>
                <w:rFonts w:ascii="Arial" w:hAnsi="Arial" w:eastAsia="Arial" w:cs="Arial"/>
                <w:b/>
                <w:bCs/>
                <w:color w:val="000000"/>
                <w:sz w:val="17"/>
                <w:szCs w:val="17"/>
              </w:rPr>
              <w:t>≈US$16,100</w:t>
            </w:r>
          </w:p>
        </w:tc>
        <w:tc>
          <w:tcPr>
            <w:tcW w:w="2621" w:type="dxa"/>
            <w:shd w:val="clear" w:color="auto" w:fill="FFFFFF"/>
            <w:tcMar>
              <w:top w:w="50" w:type="dxa"/>
              <w:left w:w="80" w:type="dxa"/>
              <w:bottom w:w="50" w:type="dxa"/>
              <w:right w:w="80" w:type="dxa"/>
            </w:tcMar>
          </w:tcPr>
          <w:p w14:paraId="0DE42DB8">
            <w:pPr>
              <w:spacing w:line="252" w:lineRule="auto"/>
              <w:jc w:val="left"/>
            </w:pPr>
            <w:r>
              <w:rPr>
                <w:rFonts w:ascii="Arial" w:hAnsi="Arial" w:eastAsia="Arial" w:cs="Arial"/>
                <w:b w:val="0"/>
                <w:bCs w:val="0"/>
                <w:sz w:val="17"/>
                <w:szCs w:val="17"/>
              </w:rPr>
              <w:t>不含代运营≈US$6,500</w:t>
            </w:r>
          </w:p>
        </w:tc>
      </w:tr>
    </w:tbl>
    <w:p w14:paraId="04AD0D2E">
      <w:pPr>
        <w:spacing w:before="40" w:after="160"/>
      </w:pPr>
      <w:r>
        <w:rPr>
          <w:rFonts w:ascii="Arial" w:hAnsi="Arial" w:eastAsia="Arial" w:cs="Arial"/>
          <w:i/>
          <w:iCs/>
          <w:color w:val="808080"/>
          <w:sz w:val="16"/>
          <w:szCs w:val="16"/>
        </w:rPr>
        <w:t>表 6-2：单客首年收入示意模型（假设值，仅演示结构）。真实数字需按定价策略与获客成本重新测算。</w:t>
      </w: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6020E49A">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4FBD3466">
            <w:pPr>
              <w:spacing w:after="60"/>
            </w:pPr>
            <w:r>
              <w:rPr>
                <w:rFonts w:ascii="Arial" w:hAnsi="Arial" w:eastAsia="Arial" w:cs="Arial"/>
                <w:b/>
                <w:bCs/>
                <w:color w:val="1F3864"/>
                <w:sz w:val="21"/>
                <w:szCs w:val="21"/>
              </w:rPr>
              <w:t>盈利逻辑</w:t>
            </w:r>
          </w:p>
          <w:p w14:paraId="1075428A">
            <w:pPr>
              <w:spacing w:after="40" w:line="276" w:lineRule="auto"/>
            </w:pPr>
            <w:r>
              <w:rPr>
                <w:rFonts w:ascii="Arial" w:hAnsi="Arial" w:eastAsia="Arial" w:cs="Arial"/>
                <w:sz w:val="20"/>
                <w:szCs w:val="20"/>
              </w:rPr>
              <w:t>关键不是一次性注册费（那是获客成本项），而是把客户‘锁’进经常性合规托管 + 收款 + 代运营的复利结构。一个不做代运营的合规客户年贡献约数千美元、毛利高、流失低；叠加代运营后客单价可放大数倍。产品化（SaaS）则在不显著增加人力的前提下摊薄边际成本。</w:t>
            </w:r>
          </w:p>
        </w:tc>
      </w:tr>
    </w:tbl>
    <w:p w14:paraId="6FCFD7B7">
      <w:pPr>
        <w:pStyle w:val="3"/>
        <w:spacing w:before="220" w:after="120"/>
      </w:pPr>
      <w:r>
        <w:rPr>
          <w:rFonts w:ascii="Arial" w:hAnsi="Arial" w:eastAsia="Arial" w:cs="Arial"/>
          <w:b/>
          <w:bCs/>
          <w:color w:val="2E5496"/>
          <w:sz w:val="25"/>
          <w:szCs w:val="25"/>
        </w:rPr>
        <w:t>6.3　成本结构与规模化</w:t>
      </w:r>
    </w:p>
    <w:p w14:paraId="2ADA2DA5">
      <w:pPr>
        <w:pStyle w:val="16"/>
        <w:numPr>
          <w:ilvl w:val="0"/>
          <w:numId w:val="2"/>
        </w:numPr>
        <w:spacing w:after="70" w:line="276" w:lineRule="auto"/>
      </w:pPr>
      <w:r>
        <w:rPr>
          <w:rFonts w:ascii="Arial" w:hAnsi="Arial" w:eastAsia="Arial" w:cs="Arial"/>
          <w:b/>
          <w:bCs/>
          <w:sz w:val="21"/>
          <w:szCs w:val="21"/>
        </w:rPr>
        <w:t>固定成本：</w:t>
      </w:r>
      <w:r>
        <w:rPr>
          <w:rFonts w:ascii="Arial" w:hAnsi="Arial" w:eastAsia="Arial" w:cs="Arial"/>
          <w:sz w:val="21"/>
          <w:szCs w:val="21"/>
        </w:rPr>
        <w:t>墨西哥本地实体维护（SA年维护US$3k–6k/家）、本地会计/法务合作、e.firma与PAC、办公与合规。</w:t>
      </w:r>
    </w:p>
    <w:p w14:paraId="0115D719">
      <w:pPr>
        <w:pStyle w:val="16"/>
        <w:numPr>
          <w:ilvl w:val="0"/>
          <w:numId w:val="2"/>
        </w:numPr>
        <w:spacing w:after="70" w:line="276" w:lineRule="auto"/>
      </w:pPr>
      <w:r>
        <w:rPr>
          <w:rFonts w:ascii="Arial" w:hAnsi="Arial" w:eastAsia="Arial" w:cs="Arial"/>
          <w:b/>
          <w:bCs/>
          <w:sz w:val="21"/>
          <w:szCs w:val="21"/>
        </w:rPr>
        <w:t>可变成本：</w:t>
      </w:r>
      <w:r>
        <w:rPr>
          <w:rFonts w:ascii="Arial" w:hAnsi="Arial" w:eastAsia="Arial" w:cs="Arial"/>
          <w:sz w:val="21"/>
          <w:szCs w:val="21"/>
        </w:rPr>
        <w:t>单客申报工时、代运营人力、获客（内容/投放/渠道分成）。</w:t>
      </w:r>
    </w:p>
    <w:p w14:paraId="1B59A66A">
      <w:pPr>
        <w:pStyle w:val="16"/>
        <w:numPr>
          <w:ilvl w:val="0"/>
          <w:numId w:val="2"/>
        </w:numPr>
        <w:spacing w:after="70" w:line="276" w:lineRule="auto"/>
      </w:pPr>
      <w:r>
        <w:rPr>
          <w:rFonts w:ascii="Arial" w:hAnsi="Arial" w:eastAsia="Arial" w:cs="Arial"/>
          <w:b/>
          <w:bCs/>
          <w:sz w:val="21"/>
          <w:szCs w:val="21"/>
        </w:rPr>
        <w:t>规模化杠杆：</w:t>
      </w:r>
      <w:r>
        <w:rPr>
          <w:rFonts w:ascii="Arial" w:hAnsi="Arial" w:eastAsia="Arial" w:cs="Arial"/>
          <w:sz w:val="21"/>
          <w:szCs w:val="21"/>
        </w:rPr>
        <w:t>① 标准化SOP降低单客交付工时；② 天机OS自动化把“工时”变“算力”；③ 一套合规中台复用到四平台，摊薄获客。</w:t>
      </w:r>
    </w:p>
    <w:p w14:paraId="2E0699A6">
      <w:pPr>
        <w:pStyle w:val="3"/>
        <w:spacing w:before="220" w:after="120"/>
      </w:pPr>
      <w:r>
        <w:rPr>
          <w:rFonts w:ascii="Arial" w:hAnsi="Arial" w:eastAsia="Arial" w:cs="Arial"/>
          <w:b/>
          <w:bCs/>
          <w:color w:val="2E5496"/>
          <w:sz w:val="25"/>
          <w:szCs w:val="25"/>
        </w:rPr>
        <w:t>6.4　定价策略</w:t>
      </w:r>
    </w:p>
    <w:p w14:paraId="3CD40D67">
      <w:pPr>
        <w:spacing w:after="140" w:line="288" w:lineRule="auto"/>
        <w:jc w:val="both"/>
      </w:pPr>
      <w:r>
        <w:rPr>
          <w:rFonts w:ascii="Arial" w:hAnsi="Arial" w:eastAsia="Arial" w:cs="Arial"/>
          <w:sz w:val="21"/>
          <w:szCs w:val="21"/>
        </w:rPr>
        <w:t>建议采用“钩子 + 订阅 + 增值”的三段定价：用有竞争力（但不最低）的注册/RFC费做钩子，把利润放在经常性托管与增值服务上；对价格敏感客户提供“合规维护挂靠”过渡档，对成长型主推“自持SA + 托管 + 收款”标准档，对成熟大卖提供“架构规划 + 多主体”定制档。核心原则：永远不打最低价战——你卖的是安全和确定性，而不是便宜。</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B7E3D05">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41EB96DD">
            <w:pPr>
              <w:spacing w:after="60"/>
            </w:pPr>
            <w:r>
              <w:rPr>
                <w:rFonts w:ascii="Arial" w:hAnsi="Arial" w:eastAsia="Arial" w:cs="Arial"/>
                <w:b/>
                <w:bCs/>
                <w:color w:val="1F3864"/>
                <w:sz w:val="21"/>
                <w:szCs w:val="21"/>
              </w:rPr>
              <w:t>本章小结</w:t>
            </w:r>
          </w:p>
          <w:p w14:paraId="39274AF0">
            <w:pPr>
              <w:spacing w:after="40" w:line="276" w:lineRule="auto"/>
            </w:pPr>
            <w:r>
              <w:rPr>
                <w:rFonts w:ascii="Arial" w:hAnsi="Arial" w:eastAsia="Arial" w:cs="Arial"/>
                <w:b/>
                <w:bCs/>
                <w:sz w:val="20"/>
                <w:szCs w:val="20"/>
              </w:rPr>
              <w:t>商业模式的本质是把‘一次性的合规动作’转化为‘经常性的合规能力订阅’，再用运营闭环放大客单价、用产品化摊薄边际成本。经常性收入占比与净流失率，是这门生意最该盯的两个指标。</w:t>
            </w:r>
          </w:p>
        </w:tc>
      </w:tr>
    </w:tbl>
    <w:p w14:paraId="03037BE6">
      <w:pPr>
        <w:pStyle w:val="2"/>
        <w:pageBreakBefore/>
        <w:spacing w:before="240" w:after="160"/>
      </w:pPr>
      <w:r>
        <w:rPr>
          <w:rFonts w:ascii="Arial" w:hAnsi="Arial" w:eastAsia="Arial" w:cs="Arial"/>
          <w:b/>
          <w:bCs/>
          <w:color w:val="1F3864"/>
          <w:sz w:val="30"/>
          <w:szCs w:val="30"/>
        </w:rPr>
        <w:t>第七章　行业进入壁垒与风险地图</w:t>
      </w:r>
    </w:p>
    <w:p w14:paraId="4FF736AE">
      <w:pPr>
        <w:spacing w:after="140" w:line="288" w:lineRule="auto"/>
        <w:jc w:val="both"/>
      </w:pPr>
      <w:r>
        <w:rPr>
          <w:rFonts w:ascii="Arial" w:hAnsi="Arial" w:eastAsia="Arial" w:cs="Arial"/>
          <w:sz w:val="21"/>
          <w:szCs w:val="21"/>
        </w:rPr>
        <w:t>既要看到机会，也要如实评估自己要跨过的门槛和要承受的风险。本章分“进入壁垒”和“运营风险”两部分，并给出缓释策略。</w:t>
      </w:r>
    </w:p>
    <w:p w14:paraId="596BF0F0">
      <w:pPr>
        <w:pStyle w:val="3"/>
        <w:spacing w:before="220" w:after="120"/>
      </w:pPr>
      <w:r>
        <w:rPr>
          <w:rFonts w:ascii="Arial" w:hAnsi="Arial" w:eastAsia="Arial" w:cs="Arial"/>
          <w:b/>
          <w:bCs/>
          <w:color w:val="2E5496"/>
          <w:sz w:val="25"/>
          <w:szCs w:val="25"/>
        </w:rPr>
        <w:t>7.1　进入壁垒（对你既是门槛，也是护城河）</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764"/>
        <w:gridCol w:w="784"/>
        <w:gridCol w:w="3723"/>
        <w:gridCol w:w="3527"/>
      </w:tblGrid>
      <w:tr w14:paraId="7A92DD74">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685" w:type="dxa"/>
            <w:shd w:val="clear" w:color="auto" w:fill="1F3864"/>
            <w:tcMar>
              <w:top w:w="60" w:type="dxa"/>
              <w:left w:w="80" w:type="dxa"/>
              <w:bottom w:w="60" w:type="dxa"/>
              <w:right w:w="80" w:type="dxa"/>
            </w:tcMar>
          </w:tcPr>
          <w:p w14:paraId="31C95E38">
            <w:pPr>
              <w:jc w:val="center"/>
            </w:pPr>
            <w:r>
              <w:rPr>
                <w:rFonts w:ascii="Arial" w:hAnsi="Arial" w:eastAsia="Arial" w:cs="Arial"/>
                <w:b/>
                <w:bCs/>
                <w:color w:val="FFFFFF"/>
                <w:sz w:val="18"/>
                <w:szCs w:val="18"/>
              </w:rPr>
              <w:t>壁垒</w:t>
            </w:r>
          </w:p>
        </w:tc>
        <w:tc>
          <w:tcPr>
            <w:tcW w:w="749" w:type="dxa"/>
            <w:shd w:val="clear" w:color="auto" w:fill="1F3864"/>
            <w:tcMar>
              <w:top w:w="60" w:type="dxa"/>
              <w:left w:w="80" w:type="dxa"/>
              <w:bottom w:w="60" w:type="dxa"/>
              <w:right w:w="80" w:type="dxa"/>
            </w:tcMar>
          </w:tcPr>
          <w:p w14:paraId="4EEAAABC">
            <w:pPr>
              <w:jc w:val="center"/>
            </w:pPr>
            <w:r>
              <w:rPr>
                <w:rFonts w:ascii="Arial" w:hAnsi="Arial" w:eastAsia="Arial" w:cs="Arial"/>
                <w:b/>
                <w:bCs/>
                <w:color w:val="FFFFFF"/>
                <w:sz w:val="18"/>
                <w:szCs w:val="18"/>
              </w:rPr>
              <w:t>强度</w:t>
            </w:r>
          </w:p>
        </w:tc>
        <w:tc>
          <w:tcPr>
            <w:tcW w:w="3557" w:type="dxa"/>
            <w:shd w:val="clear" w:color="auto" w:fill="1F3864"/>
            <w:tcMar>
              <w:top w:w="60" w:type="dxa"/>
              <w:left w:w="80" w:type="dxa"/>
              <w:bottom w:w="60" w:type="dxa"/>
              <w:right w:w="80" w:type="dxa"/>
            </w:tcMar>
          </w:tcPr>
          <w:p w14:paraId="01072EF4">
            <w:pPr>
              <w:jc w:val="center"/>
            </w:pPr>
            <w:r>
              <w:rPr>
                <w:rFonts w:ascii="Arial" w:hAnsi="Arial" w:eastAsia="Arial" w:cs="Arial"/>
                <w:b/>
                <w:bCs/>
                <w:color w:val="FFFFFF"/>
                <w:sz w:val="18"/>
                <w:szCs w:val="18"/>
              </w:rPr>
              <w:t>对新进入者的含义</w:t>
            </w:r>
          </w:p>
        </w:tc>
        <w:tc>
          <w:tcPr>
            <w:tcW w:w="3370" w:type="dxa"/>
            <w:shd w:val="clear" w:color="auto" w:fill="1F3864"/>
            <w:tcMar>
              <w:top w:w="60" w:type="dxa"/>
              <w:left w:w="80" w:type="dxa"/>
              <w:bottom w:w="60" w:type="dxa"/>
              <w:right w:w="80" w:type="dxa"/>
            </w:tcMar>
          </w:tcPr>
          <w:p w14:paraId="0C9596AB">
            <w:pPr>
              <w:jc w:val="center"/>
            </w:pPr>
            <w:r>
              <w:rPr>
                <w:rFonts w:ascii="Arial" w:hAnsi="Arial" w:eastAsia="Arial" w:cs="Arial"/>
                <w:b/>
                <w:bCs/>
                <w:color w:val="FFFFFF"/>
                <w:sz w:val="18"/>
                <w:szCs w:val="18"/>
              </w:rPr>
              <w:t>你的应对</w:t>
            </w:r>
          </w:p>
        </w:tc>
      </w:tr>
      <w:tr w14:paraId="60A1C0B6">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11511A3A">
            <w:pPr>
              <w:spacing w:line="252" w:lineRule="auto"/>
              <w:jc w:val="left"/>
            </w:pPr>
            <w:r>
              <w:rPr>
                <w:rFonts w:ascii="Arial" w:hAnsi="Arial" w:eastAsia="Arial" w:cs="Arial"/>
                <w:b/>
                <w:bCs/>
                <w:color w:val="000000"/>
                <w:sz w:val="17"/>
                <w:szCs w:val="17"/>
              </w:rPr>
              <w:t>本地实体与牌照</w:t>
            </w:r>
          </w:p>
        </w:tc>
        <w:tc>
          <w:tcPr>
            <w:tcW w:w="749" w:type="dxa"/>
            <w:shd w:val="clear" w:color="auto" w:fill="FFEB9C"/>
            <w:tcMar>
              <w:top w:w="50" w:type="dxa"/>
              <w:left w:w="80" w:type="dxa"/>
              <w:bottom w:w="50" w:type="dxa"/>
              <w:right w:w="80" w:type="dxa"/>
            </w:tcMar>
          </w:tcPr>
          <w:p w14:paraId="5946E7A1">
            <w:pPr>
              <w:spacing w:line="252" w:lineRule="auto"/>
              <w:jc w:val="left"/>
            </w:pPr>
            <w:r>
              <w:rPr>
                <w:rFonts w:ascii="Arial" w:hAnsi="Arial" w:eastAsia="Arial" w:cs="Arial"/>
                <w:b w:val="0"/>
                <w:bCs w:val="0"/>
                <w:color w:val="000000"/>
                <w:sz w:val="17"/>
                <w:szCs w:val="17"/>
              </w:rPr>
              <w:t>高</w:t>
            </w:r>
          </w:p>
        </w:tc>
        <w:tc>
          <w:tcPr>
            <w:tcW w:w="3557" w:type="dxa"/>
            <w:shd w:val="clear" w:color="auto" w:fill="FFFFFF"/>
            <w:tcMar>
              <w:top w:w="50" w:type="dxa"/>
              <w:left w:w="80" w:type="dxa"/>
              <w:bottom w:w="50" w:type="dxa"/>
              <w:right w:w="80" w:type="dxa"/>
            </w:tcMar>
          </w:tcPr>
          <w:p w14:paraId="66BA9A38">
            <w:pPr>
              <w:spacing w:line="252" w:lineRule="auto"/>
              <w:jc w:val="left"/>
            </w:pPr>
            <w:r>
              <w:rPr>
                <w:rFonts w:ascii="Arial" w:hAnsi="Arial" w:eastAsia="Arial" w:cs="Arial"/>
                <w:b w:val="0"/>
                <w:bCs w:val="0"/>
                <w:sz w:val="17"/>
                <w:szCs w:val="17"/>
              </w:rPr>
              <w:t>需真实SA主体、e.firma、本地地址/法人</w:t>
            </w:r>
          </w:p>
        </w:tc>
        <w:tc>
          <w:tcPr>
            <w:tcW w:w="3370" w:type="dxa"/>
            <w:shd w:val="clear" w:color="auto" w:fill="FFFFFF"/>
            <w:tcMar>
              <w:top w:w="50" w:type="dxa"/>
              <w:left w:w="80" w:type="dxa"/>
              <w:bottom w:w="50" w:type="dxa"/>
              <w:right w:w="80" w:type="dxa"/>
            </w:tcMar>
          </w:tcPr>
          <w:p w14:paraId="702E419B">
            <w:pPr>
              <w:spacing w:line="252" w:lineRule="auto"/>
              <w:jc w:val="left"/>
            </w:pPr>
            <w:r>
              <w:rPr>
                <w:rFonts w:ascii="Arial" w:hAnsi="Arial" w:eastAsia="Arial" w:cs="Arial"/>
                <w:b w:val="0"/>
                <w:bCs w:val="0"/>
                <w:sz w:val="17"/>
                <w:szCs w:val="17"/>
              </w:rPr>
              <w:t>尽早自建SA，形成信任资产</w:t>
            </w:r>
          </w:p>
        </w:tc>
      </w:tr>
      <w:tr w14:paraId="2D5F9C0F">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41397C60">
            <w:pPr>
              <w:spacing w:line="252" w:lineRule="auto"/>
              <w:jc w:val="left"/>
            </w:pPr>
            <w:r>
              <w:rPr>
                <w:rFonts w:ascii="Arial" w:hAnsi="Arial" w:eastAsia="Arial" w:cs="Arial"/>
                <w:b/>
                <w:bCs/>
                <w:color w:val="000000"/>
                <w:sz w:val="17"/>
                <w:szCs w:val="17"/>
              </w:rPr>
              <w:t>本地专业网络</w:t>
            </w:r>
          </w:p>
        </w:tc>
        <w:tc>
          <w:tcPr>
            <w:tcW w:w="749" w:type="dxa"/>
            <w:shd w:val="clear" w:color="auto" w:fill="FFEB9C"/>
            <w:tcMar>
              <w:top w:w="50" w:type="dxa"/>
              <w:left w:w="80" w:type="dxa"/>
              <w:bottom w:w="50" w:type="dxa"/>
              <w:right w:w="80" w:type="dxa"/>
            </w:tcMar>
          </w:tcPr>
          <w:p w14:paraId="407BD82E">
            <w:pPr>
              <w:spacing w:line="252" w:lineRule="auto"/>
              <w:jc w:val="left"/>
            </w:pPr>
            <w:r>
              <w:rPr>
                <w:rFonts w:ascii="Arial" w:hAnsi="Arial" w:eastAsia="Arial" w:cs="Arial"/>
                <w:b w:val="0"/>
                <w:bCs w:val="0"/>
                <w:color w:val="000000"/>
                <w:sz w:val="17"/>
                <w:szCs w:val="17"/>
              </w:rPr>
              <w:t>高</w:t>
            </w:r>
          </w:p>
        </w:tc>
        <w:tc>
          <w:tcPr>
            <w:tcW w:w="3557" w:type="dxa"/>
            <w:shd w:val="clear" w:color="auto" w:fill="F2F2F2"/>
            <w:tcMar>
              <w:top w:w="50" w:type="dxa"/>
              <w:left w:w="80" w:type="dxa"/>
              <w:bottom w:w="50" w:type="dxa"/>
              <w:right w:w="80" w:type="dxa"/>
            </w:tcMar>
          </w:tcPr>
          <w:p w14:paraId="73C2BA40">
            <w:pPr>
              <w:spacing w:line="252" w:lineRule="auto"/>
              <w:jc w:val="left"/>
            </w:pPr>
            <w:r>
              <w:rPr>
                <w:rFonts w:ascii="Arial" w:hAnsi="Arial" w:eastAsia="Arial" w:cs="Arial"/>
                <w:b w:val="0"/>
                <w:bCs w:val="0"/>
                <w:sz w:val="17"/>
                <w:szCs w:val="17"/>
              </w:rPr>
              <w:t>需可靠会计师/公证/律所</w:t>
            </w:r>
          </w:p>
        </w:tc>
        <w:tc>
          <w:tcPr>
            <w:tcW w:w="3370" w:type="dxa"/>
            <w:shd w:val="clear" w:color="auto" w:fill="F2F2F2"/>
            <w:tcMar>
              <w:top w:w="50" w:type="dxa"/>
              <w:left w:w="80" w:type="dxa"/>
              <w:bottom w:w="50" w:type="dxa"/>
              <w:right w:w="80" w:type="dxa"/>
            </w:tcMar>
          </w:tcPr>
          <w:p w14:paraId="3850FC54">
            <w:pPr>
              <w:spacing w:line="252" w:lineRule="auto"/>
              <w:jc w:val="left"/>
            </w:pPr>
            <w:r>
              <w:rPr>
                <w:rFonts w:ascii="Arial" w:hAnsi="Arial" w:eastAsia="Arial" w:cs="Arial"/>
                <w:b w:val="0"/>
                <w:bCs w:val="0"/>
                <w:sz w:val="17"/>
                <w:szCs w:val="17"/>
              </w:rPr>
              <w:t>1–2家深度合作或股权绑定</w:t>
            </w:r>
          </w:p>
        </w:tc>
      </w:tr>
      <w:tr w14:paraId="4A685E6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0DFCFFF3">
            <w:pPr>
              <w:spacing w:line="252" w:lineRule="auto"/>
              <w:jc w:val="left"/>
            </w:pPr>
            <w:r>
              <w:rPr>
                <w:rFonts w:ascii="Arial" w:hAnsi="Arial" w:eastAsia="Arial" w:cs="Arial"/>
                <w:b/>
                <w:bCs/>
                <w:color w:val="000000"/>
                <w:sz w:val="17"/>
                <w:szCs w:val="17"/>
              </w:rPr>
              <w:t>政策跟踪能力</w:t>
            </w:r>
          </w:p>
        </w:tc>
        <w:tc>
          <w:tcPr>
            <w:tcW w:w="749" w:type="dxa"/>
            <w:shd w:val="clear" w:color="auto" w:fill="FFEB9C"/>
            <w:tcMar>
              <w:top w:w="50" w:type="dxa"/>
              <w:left w:w="80" w:type="dxa"/>
              <w:bottom w:w="50" w:type="dxa"/>
              <w:right w:w="80" w:type="dxa"/>
            </w:tcMar>
          </w:tcPr>
          <w:p w14:paraId="0A23A29B">
            <w:pPr>
              <w:spacing w:line="252" w:lineRule="auto"/>
              <w:jc w:val="left"/>
            </w:pPr>
            <w:r>
              <w:rPr>
                <w:rFonts w:ascii="Arial" w:hAnsi="Arial" w:eastAsia="Arial" w:cs="Arial"/>
                <w:b w:val="0"/>
                <w:bCs w:val="0"/>
                <w:color w:val="000000"/>
                <w:sz w:val="17"/>
                <w:szCs w:val="17"/>
              </w:rPr>
              <w:t>中高</w:t>
            </w:r>
          </w:p>
        </w:tc>
        <w:tc>
          <w:tcPr>
            <w:tcW w:w="3557" w:type="dxa"/>
            <w:shd w:val="clear" w:color="auto" w:fill="FFFFFF"/>
            <w:tcMar>
              <w:top w:w="50" w:type="dxa"/>
              <w:left w:w="80" w:type="dxa"/>
              <w:bottom w:w="50" w:type="dxa"/>
              <w:right w:w="80" w:type="dxa"/>
            </w:tcMar>
          </w:tcPr>
          <w:p w14:paraId="1B51C185">
            <w:pPr>
              <w:spacing w:line="252" w:lineRule="auto"/>
              <w:jc w:val="left"/>
            </w:pPr>
            <w:r>
              <w:rPr>
                <w:rFonts w:ascii="Arial" w:hAnsi="Arial" w:eastAsia="Arial" w:cs="Arial"/>
                <w:b w:val="0"/>
                <w:bCs w:val="0"/>
                <w:sz w:val="17"/>
                <w:szCs w:val="17"/>
              </w:rPr>
              <w:t>规则高频变动，跟不上即淘汰</w:t>
            </w:r>
          </w:p>
        </w:tc>
        <w:tc>
          <w:tcPr>
            <w:tcW w:w="3370" w:type="dxa"/>
            <w:shd w:val="clear" w:color="auto" w:fill="FFFFFF"/>
            <w:tcMar>
              <w:top w:w="50" w:type="dxa"/>
              <w:left w:w="80" w:type="dxa"/>
              <w:bottom w:w="50" w:type="dxa"/>
              <w:right w:w="80" w:type="dxa"/>
            </w:tcMar>
          </w:tcPr>
          <w:p w14:paraId="08245F0A">
            <w:pPr>
              <w:spacing w:line="252" w:lineRule="auto"/>
              <w:jc w:val="left"/>
            </w:pPr>
            <w:r>
              <w:rPr>
                <w:rFonts w:ascii="Arial" w:hAnsi="Arial" w:eastAsia="Arial" w:cs="Arial"/>
                <w:b w:val="0"/>
                <w:bCs w:val="0"/>
                <w:sz w:val="17"/>
                <w:szCs w:val="17"/>
              </w:rPr>
              <w:t>建立政策监控+快速内容响应机制</w:t>
            </w:r>
          </w:p>
        </w:tc>
      </w:tr>
      <w:tr w14:paraId="6A3E748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5DC9B3C0">
            <w:pPr>
              <w:spacing w:line="252" w:lineRule="auto"/>
              <w:jc w:val="left"/>
            </w:pPr>
            <w:r>
              <w:rPr>
                <w:rFonts w:ascii="Arial" w:hAnsi="Arial" w:eastAsia="Arial" w:cs="Arial"/>
                <w:b/>
                <w:bCs/>
                <w:color w:val="000000"/>
                <w:sz w:val="17"/>
                <w:szCs w:val="17"/>
              </w:rPr>
              <w:t>信任与品牌</w:t>
            </w:r>
          </w:p>
        </w:tc>
        <w:tc>
          <w:tcPr>
            <w:tcW w:w="749" w:type="dxa"/>
            <w:shd w:val="clear" w:color="auto" w:fill="FFC7CE"/>
            <w:tcMar>
              <w:top w:w="50" w:type="dxa"/>
              <w:left w:w="80" w:type="dxa"/>
              <w:bottom w:w="50" w:type="dxa"/>
              <w:right w:w="80" w:type="dxa"/>
            </w:tcMar>
          </w:tcPr>
          <w:p w14:paraId="56426D21">
            <w:pPr>
              <w:spacing w:line="252" w:lineRule="auto"/>
              <w:jc w:val="left"/>
            </w:pPr>
            <w:r>
              <w:rPr>
                <w:rFonts w:ascii="Arial" w:hAnsi="Arial" w:eastAsia="Arial" w:cs="Arial"/>
                <w:b w:val="0"/>
                <w:bCs w:val="0"/>
                <w:color w:val="000000"/>
                <w:sz w:val="17"/>
                <w:szCs w:val="17"/>
              </w:rPr>
              <w:t>高</w:t>
            </w:r>
          </w:p>
        </w:tc>
        <w:tc>
          <w:tcPr>
            <w:tcW w:w="3557" w:type="dxa"/>
            <w:shd w:val="clear" w:color="auto" w:fill="F2F2F2"/>
            <w:tcMar>
              <w:top w:w="50" w:type="dxa"/>
              <w:left w:w="80" w:type="dxa"/>
              <w:bottom w:w="50" w:type="dxa"/>
              <w:right w:w="80" w:type="dxa"/>
            </w:tcMar>
          </w:tcPr>
          <w:p w14:paraId="50184622">
            <w:pPr>
              <w:spacing w:line="252" w:lineRule="auto"/>
              <w:jc w:val="left"/>
            </w:pPr>
            <w:r>
              <w:rPr>
                <w:rFonts w:ascii="Arial" w:hAnsi="Arial" w:eastAsia="Arial" w:cs="Arial"/>
                <w:b w:val="0"/>
                <w:bCs w:val="0"/>
                <w:sz w:val="17"/>
                <w:szCs w:val="17"/>
              </w:rPr>
              <w:t>客户把税务身份托付给你，信任门槛极高</w:t>
            </w:r>
          </w:p>
        </w:tc>
        <w:tc>
          <w:tcPr>
            <w:tcW w:w="3370" w:type="dxa"/>
            <w:shd w:val="clear" w:color="auto" w:fill="F2F2F2"/>
            <w:tcMar>
              <w:top w:w="50" w:type="dxa"/>
              <w:left w:w="80" w:type="dxa"/>
              <w:bottom w:w="50" w:type="dxa"/>
              <w:right w:w="80" w:type="dxa"/>
            </w:tcMar>
          </w:tcPr>
          <w:p w14:paraId="26ACCB8C">
            <w:pPr>
              <w:spacing w:line="252" w:lineRule="auto"/>
              <w:jc w:val="left"/>
            </w:pPr>
            <w:r>
              <w:rPr>
                <w:rFonts w:ascii="Arial" w:hAnsi="Arial" w:eastAsia="Arial" w:cs="Arial"/>
                <w:b w:val="0"/>
                <w:bCs w:val="0"/>
                <w:sz w:val="17"/>
                <w:szCs w:val="17"/>
              </w:rPr>
              <w:t>案例+合同+透明申报建立口碑</w:t>
            </w:r>
          </w:p>
        </w:tc>
      </w:tr>
      <w:tr w14:paraId="15A1892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4AE00A2C">
            <w:pPr>
              <w:spacing w:line="252" w:lineRule="auto"/>
              <w:jc w:val="left"/>
            </w:pPr>
            <w:r>
              <w:rPr>
                <w:rFonts w:ascii="Arial" w:hAnsi="Arial" w:eastAsia="Arial" w:cs="Arial"/>
                <w:b/>
                <w:bCs/>
                <w:color w:val="000000"/>
                <w:sz w:val="17"/>
                <w:szCs w:val="17"/>
              </w:rPr>
              <w:t>跨语言跨文化</w:t>
            </w:r>
          </w:p>
        </w:tc>
        <w:tc>
          <w:tcPr>
            <w:tcW w:w="749" w:type="dxa"/>
            <w:shd w:val="clear" w:color="auto" w:fill="FFEB9C"/>
            <w:tcMar>
              <w:top w:w="50" w:type="dxa"/>
              <w:left w:w="80" w:type="dxa"/>
              <w:bottom w:w="50" w:type="dxa"/>
              <w:right w:w="80" w:type="dxa"/>
            </w:tcMar>
          </w:tcPr>
          <w:p w14:paraId="362D577C">
            <w:pPr>
              <w:spacing w:line="252" w:lineRule="auto"/>
              <w:jc w:val="left"/>
            </w:pPr>
            <w:r>
              <w:rPr>
                <w:rFonts w:ascii="Arial" w:hAnsi="Arial" w:eastAsia="Arial" w:cs="Arial"/>
                <w:b w:val="0"/>
                <w:bCs w:val="0"/>
                <w:color w:val="000000"/>
                <w:sz w:val="17"/>
                <w:szCs w:val="17"/>
              </w:rPr>
              <w:t>中</w:t>
            </w:r>
          </w:p>
        </w:tc>
        <w:tc>
          <w:tcPr>
            <w:tcW w:w="3557" w:type="dxa"/>
            <w:shd w:val="clear" w:color="auto" w:fill="FFFFFF"/>
            <w:tcMar>
              <w:top w:w="50" w:type="dxa"/>
              <w:left w:w="80" w:type="dxa"/>
              <w:bottom w:w="50" w:type="dxa"/>
              <w:right w:w="80" w:type="dxa"/>
            </w:tcMar>
          </w:tcPr>
          <w:p w14:paraId="25272669">
            <w:pPr>
              <w:spacing w:line="252" w:lineRule="auto"/>
              <w:jc w:val="left"/>
            </w:pPr>
            <w:r>
              <w:rPr>
                <w:rFonts w:ascii="Arial" w:hAnsi="Arial" w:eastAsia="Arial" w:cs="Arial"/>
                <w:b w:val="0"/>
                <w:bCs w:val="0"/>
                <w:sz w:val="17"/>
                <w:szCs w:val="17"/>
              </w:rPr>
              <w:t>中文客户 × 西语监管环境</w:t>
            </w:r>
          </w:p>
        </w:tc>
        <w:tc>
          <w:tcPr>
            <w:tcW w:w="3370" w:type="dxa"/>
            <w:shd w:val="clear" w:color="auto" w:fill="FFFFFF"/>
            <w:tcMar>
              <w:top w:w="50" w:type="dxa"/>
              <w:left w:w="80" w:type="dxa"/>
              <w:bottom w:w="50" w:type="dxa"/>
              <w:right w:w="80" w:type="dxa"/>
            </w:tcMar>
          </w:tcPr>
          <w:p w14:paraId="378539EB">
            <w:pPr>
              <w:spacing w:line="252" w:lineRule="auto"/>
              <w:jc w:val="left"/>
            </w:pPr>
            <w:r>
              <w:rPr>
                <w:rFonts w:ascii="Arial" w:hAnsi="Arial" w:eastAsia="Arial" w:cs="Arial"/>
                <w:b w:val="0"/>
                <w:bCs w:val="0"/>
                <w:sz w:val="17"/>
                <w:szCs w:val="17"/>
              </w:rPr>
              <w:t>你的双语+运营背景正好卡位</w:t>
            </w:r>
          </w:p>
        </w:tc>
      </w:tr>
      <w:tr w14:paraId="0F68CBD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6A623884">
            <w:pPr>
              <w:spacing w:line="252" w:lineRule="auto"/>
              <w:jc w:val="left"/>
            </w:pPr>
            <w:r>
              <w:rPr>
                <w:rFonts w:ascii="Arial" w:hAnsi="Arial" w:eastAsia="Arial" w:cs="Arial"/>
                <w:b/>
                <w:bCs/>
                <w:color w:val="000000"/>
                <w:sz w:val="17"/>
                <w:szCs w:val="17"/>
              </w:rPr>
              <w:t>资金与合规垫付</w:t>
            </w:r>
          </w:p>
        </w:tc>
        <w:tc>
          <w:tcPr>
            <w:tcW w:w="749" w:type="dxa"/>
            <w:shd w:val="clear" w:color="auto" w:fill="FFEB9C"/>
            <w:tcMar>
              <w:top w:w="50" w:type="dxa"/>
              <w:left w:w="80" w:type="dxa"/>
              <w:bottom w:w="50" w:type="dxa"/>
              <w:right w:w="80" w:type="dxa"/>
            </w:tcMar>
          </w:tcPr>
          <w:p w14:paraId="03E31C7E">
            <w:pPr>
              <w:spacing w:line="252" w:lineRule="auto"/>
              <w:jc w:val="left"/>
            </w:pPr>
            <w:r>
              <w:rPr>
                <w:rFonts w:ascii="Arial" w:hAnsi="Arial" w:eastAsia="Arial" w:cs="Arial"/>
                <w:b w:val="0"/>
                <w:bCs w:val="0"/>
                <w:color w:val="000000"/>
                <w:sz w:val="17"/>
                <w:szCs w:val="17"/>
              </w:rPr>
              <w:t>中</w:t>
            </w:r>
          </w:p>
        </w:tc>
        <w:tc>
          <w:tcPr>
            <w:tcW w:w="3557" w:type="dxa"/>
            <w:shd w:val="clear" w:color="auto" w:fill="F2F2F2"/>
            <w:tcMar>
              <w:top w:w="50" w:type="dxa"/>
              <w:left w:w="80" w:type="dxa"/>
              <w:bottom w:w="50" w:type="dxa"/>
              <w:right w:w="80" w:type="dxa"/>
            </w:tcMar>
          </w:tcPr>
          <w:p w14:paraId="01E3277E">
            <w:pPr>
              <w:spacing w:line="252" w:lineRule="auto"/>
              <w:jc w:val="left"/>
            </w:pPr>
            <w:r>
              <w:rPr>
                <w:rFonts w:ascii="Arial" w:hAnsi="Arial" w:eastAsia="Arial" w:cs="Arial"/>
                <w:b w:val="0"/>
                <w:bCs w:val="0"/>
                <w:sz w:val="17"/>
                <w:szCs w:val="17"/>
              </w:rPr>
              <w:t>收款、税费垫付、账期</w:t>
            </w:r>
          </w:p>
        </w:tc>
        <w:tc>
          <w:tcPr>
            <w:tcW w:w="3370" w:type="dxa"/>
            <w:shd w:val="clear" w:color="auto" w:fill="F2F2F2"/>
            <w:tcMar>
              <w:top w:w="50" w:type="dxa"/>
              <w:left w:w="80" w:type="dxa"/>
              <w:bottom w:w="50" w:type="dxa"/>
              <w:right w:w="80" w:type="dxa"/>
            </w:tcMar>
          </w:tcPr>
          <w:p w14:paraId="26044B2F">
            <w:pPr>
              <w:spacing w:line="252" w:lineRule="auto"/>
              <w:jc w:val="left"/>
            </w:pPr>
            <w:r>
              <w:rPr>
                <w:rFonts w:ascii="Arial" w:hAnsi="Arial" w:eastAsia="Arial" w:cs="Arial"/>
                <w:b w:val="0"/>
                <w:bCs w:val="0"/>
                <w:sz w:val="17"/>
                <w:szCs w:val="17"/>
              </w:rPr>
              <w:t>与持牌收款商合作，控制资金风险</w:t>
            </w:r>
          </w:p>
        </w:tc>
      </w:tr>
    </w:tbl>
    <w:p w14:paraId="07B6FB96">
      <w:pPr>
        <w:spacing w:before="40" w:after="160"/>
      </w:pPr>
      <w:r>
        <w:rPr>
          <w:rFonts w:ascii="Arial" w:hAnsi="Arial" w:eastAsia="Arial" w:cs="Arial"/>
          <w:i/>
          <w:iCs/>
          <w:color w:val="808080"/>
          <w:sz w:val="16"/>
          <w:szCs w:val="16"/>
        </w:rPr>
        <w:t>表 7-1：进入壁垒分析。这些壁垒一旦跨过，反过来就是保护你的护城河。</w:t>
      </w:r>
    </w:p>
    <w:p w14:paraId="32DAEDA5">
      <w:pPr>
        <w:pStyle w:val="3"/>
        <w:spacing w:before="220" w:after="120"/>
      </w:pPr>
      <w:r>
        <w:rPr>
          <w:rFonts w:ascii="Arial" w:hAnsi="Arial" w:eastAsia="Arial" w:cs="Arial"/>
          <w:b/>
          <w:bCs/>
          <w:color w:val="2E5496"/>
          <w:sz w:val="25"/>
          <w:szCs w:val="25"/>
        </w:rPr>
        <w:t>7.2　运营与合规风险</w:t>
      </w:r>
    </w:p>
    <w:p w14:paraId="03244F48">
      <w:pPr>
        <w:pStyle w:val="16"/>
        <w:numPr>
          <w:ilvl w:val="0"/>
          <w:numId w:val="1"/>
        </w:numPr>
        <w:spacing w:after="70" w:line="276" w:lineRule="auto"/>
      </w:pPr>
      <w:r>
        <w:rPr>
          <w:rFonts w:ascii="Arial" w:hAnsi="Arial" w:eastAsia="Arial" w:cs="Arial"/>
          <w:b/>
          <w:bCs/>
          <w:sz w:val="21"/>
          <w:szCs w:val="21"/>
        </w:rPr>
        <w:t>政策风险（最高）。</w:t>
      </w:r>
      <w:r>
        <w:rPr>
          <w:rFonts w:ascii="Arial" w:hAnsi="Arial" w:eastAsia="Arial" w:cs="Arial"/>
          <w:sz w:val="21"/>
          <w:szCs w:val="21"/>
        </w:rPr>
        <w:t>费率、验证规则、平台代扣随时变。缓释：不做任何依赖‘监管不作为’的灰色业务；把政策变动转化为获客契机而非威胁。</w:t>
      </w:r>
    </w:p>
    <w:p w14:paraId="78E8D6E8">
      <w:pPr>
        <w:pStyle w:val="16"/>
        <w:numPr>
          <w:ilvl w:val="0"/>
          <w:numId w:val="1"/>
        </w:numPr>
        <w:spacing w:after="70" w:line="276" w:lineRule="auto"/>
      </w:pPr>
      <w:r>
        <w:rPr>
          <w:rFonts w:ascii="Arial" w:hAnsi="Arial" w:eastAsia="Arial" w:cs="Arial"/>
          <w:b/>
          <w:bCs/>
          <w:sz w:val="21"/>
          <w:szCs w:val="21"/>
        </w:rPr>
        <w:t>挂靠连带风险。</w:t>
      </w:r>
      <w:r>
        <w:rPr>
          <w:rFonts w:ascii="Arial" w:hAnsi="Arial" w:eastAsia="Arial" w:cs="Arial"/>
          <w:sz w:val="21"/>
          <w:szCs w:val="21"/>
        </w:rPr>
        <w:t>若开展挂靠业务，服务商侧或某客户出问题会连带其他绑定店铺。缓释：优先做自持主体，挂靠仅作过渡且严格隔离、签约明确责任。</w:t>
      </w:r>
    </w:p>
    <w:p w14:paraId="232F2909">
      <w:pPr>
        <w:pStyle w:val="16"/>
        <w:numPr>
          <w:ilvl w:val="0"/>
          <w:numId w:val="1"/>
        </w:numPr>
        <w:spacing w:after="70" w:line="276" w:lineRule="auto"/>
      </w:pPr>
      <w:r>
        <w:rPr>
          <w:rFonts w:ascii="Arial" w:hAnsi="Arial" w:eastAsia="Arial" w:cs="Arial"/>
          <w:b/>
          <w:bCs/>
          <w:sz w:val="21"/>
          <w:szCs w:val="21"/>
        </w:rPr>
        <w:t>信任与声誉风险。</w:t>
      </w:r>
      <w:r>
        <w:rPr>
          <w:rFonts w:ascii="Arial" w:hAnsi="Arial" w:eastAsia="Arial" w:cs="Arial"/>
          <w:sz w:val="21"/>
          <w:szCs w:val="21"/>
        </w:rPr>
        <w:t>一次暴雷或错误申报可摧毁口碑。缓释：合同化、流程留痕、月度对账透明化、关键操作双人复核。</w:t>
      </w:r>
    </w:p>
    <w:p w14:paraId="34B8BAD0">
      <w:pPr>
        <w:pStyle w:val="16"/>
        <w:numPr>
          <w:ilvl w:val="0"/>
          <w:numId w:val="1"/>
        </w:numPr>
        <w:spacing w:after="70" w:line="276" w:lineRule="auto"/>
      </w:pPr>
      <w:r>
        <w:rPr>
          <w:rFonts w:ascii="Arial" w:hAnsi="Arial" w:eastAsia="Arial" w:cs="Arial"/>
          <w:b/>
          <w:bCs/>
          <w:sz w:val="21"/>
          <w:szCs w:val="21"/>
        </w:rPr>
        <w:t>SAT稽查与罚则。</w:t>
      </w:r>
      <w:r>
        <w:rPr>
          <w:rFonts w:ascii="Arial" w:hAnsi="Arial" w:eastAsia="Arial" w:cs="Arial"/>
          <w:sz w:val="21"/>
          <w:szCs w:val="21"/>
        </w:rPr>
        <w:t>虚开/数据不符可致CSD吊销、5%–10%罚款、5年追溯。缓释：只做真实交易的合规，保留CFDI防御性文档（合同、交付凭证）。</w:t>
      </w:r>
    </w:p>
    <w:p w14:paraId="52BF2C0C">
      <w:pPr>
        <w:pStyle w:val="16"/>
        <w:numPr>
          <w:ilvl w:val="0"/>
          <w:numId w:val="1"/>
        </w:numPr>
        <w:spacing w:after="70" w:line="276" w:lineRule="auto"/>
      </w:pPr>
      <w:r>
        <w:rPr>
          <w:rFonts w:ascii="Arial" w:hAnsi="Arial" w:eastAsia="Arial" w:cs="Arial"/>
          <w:b/>
          <w:bCs/>
          <w:sz w:val="21"/>
          <w:szCs w:val="21"/>
        </w:rPr>
        <w:t>资金与外汇风险。</w:t>
      </w:r>
      <w:r>
        <w:rPr>
          <w:rFonts w:ascii="Arial" w:hAnsi="Arial" w:eastAsia="Arial" w:cs="Arial"/>
          <w:sz w:val="21"/>
          <w:szCs w:val="21"/>
        </w:rPr>
        <w:t>收款、垫付、比索/美元/人民币汇率波动。缓释：与持牌收款方合作，不自行沉淀客户资金，明确账期。</w:t>
      </w:r>
    </w:p>
    <w:p w14:paraId="40382A39">
      <w:pPr>
        <w:pStyle w:val="16"/>
        <w:numPr>
          <w:ilvl w:val="0"/>
          <w:numId w:val="1"/>
        </w:numPr>
        <w:spacing w:after="70" w:line="276" w:lineRule="auto"/>
      </w:pPr>
      <w:r>
        <w:rPr>
          <w:rFonts w:ascii="Arial" w:hAnsi="Arial" w:eastAsia="Arial" w:cs="Arial"/>
          <w:b/>
          <w:bCs/>
          <w:sz w:val="21"/>
          <w:szCs w:val="21"/>
        </w:rPr>
        <w:t>人才与交付风险。</w:t>
      </w:r>
      <w:r>
        <w:rPr>
          <w:rFonts w:ascii="Arial" w:hAnsi="Arial" w:eastAsia="Arial" w:cs="Arial"/>
          <w:sz w:val="21"/>
          <w:szCs w:val="21"/>
        </w:rPr>
        <w:t>既懂墨西哥财税又懂跨境运营的人稀缺。缓释：SOP化 + 自动化降低对个人英雄的依赖。</w:t>
      </w:r>
    </w:p>
    <w:p w14:paraId="6FBEF828">
      <w:pPr>
        <w:pStyle w:val="3"/>
        <w:spacing w:before="220" w:after="120"/>
      </w:pPr>
      <w:r>
        <w:rPr>
          <w:rFonts w:ascii="Arial" w:hAnsi="Arial" w:eastAsia="Arial" w:cs="Arial"/>
          <w:b/>
          <w:bCs/>
          <w:color w:val="2E5496"/>
          <w:sz w:val="25"/>
          <w:szCs w:val="25"/>
        </w:rPr>
        <w:t>7.3　风险矩阵</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155"/>
        <w:gridCol w:w="1568"/>
        <w:gridCol w:w="1568"/>
        <w:gridCol w:w="1959"/>
        <w:gridCol w:w="2548"/>
      </w:tblGrid>
      <w:tr w14:paraId="05D31E1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059" w:type="dxa"/>
            <w:shd w:val="clear" w:color="auto" w:fill="1F3864"/>
            <w:tcMar>
              <w:top w:w="60" w:type="dxa"/>
              <w:left w:w="80" w:type="dxa"/>
              <w:bottom w:w="60" w:type="dxa"/>
              <w:right w:w="80" w:type="dxa"/>
            </w:tcMar>
          </w:tcPr>
          <w:p w14:paraId="2EF562F8">
            <w:pPr>
              <w:jc w:val="center"/>
            </w:pPr>
            <w:r>
              <w:rPr>
                <w:rFonts w:ascii="Arial" w:hAnsi="Arial" w:eastAsia="Arial" w:cs="Arial"/>
                <w:b/>
                <w:bCs/>
                <w:color w:val="FFFFFF"/>
                <w:sz w:val="18"/>
                <w:szCs w:val="18"/>
              </w:rPr>
              <w:t>风险</w:t>
            </w:r>
          </w:p>
        </w:tc>
        <w:tc>
          <w:tcPr>
            <w:tcW w:w="1498" w:type="dxa"/>
            <w:shd w:val="clear" w:color="auto" w:fill="1F3864"/>
            <w:tcMar>
              <w:top w:w="60" w:type="dxa"/>
              <w:left w:w="80" w:type="dxa"/>
              <w:bottom w:w="60" w:type="dxa"/>
              <w:right w:w="80" w:type="dxa"/>
            </w:tcMar>
          </w:tcPr>
          <w:p w14:paraId="6C6B39AD">
            <w:pPr>
              <w:jc w:val="center"/>
            </w:pPr>
            <w:r>
              <w:rPr>
                <w:rFonts w:ascii="Arial" w:hAnsi="Arial" w:eastAsia="Arial" w:cs="Arial"/>
                <w:b/>
                <w:bCs/>
                <w:color w:val="FFFFFF"/>
                <w:sz w:val="18"/>
                <w:szCs w:val="18"/>
              </w:rPr>
              <w:t>可能性</w:t>
            </w:r>
          </w:p>
        </w:tc>
        <w:tc>
          <w:tcPr>
            <w:tcW w:w="1498" w:type="dxa"/>
            <w:shd w:val="clear" w:color="auto" w:fill="1F3864"/>
            <w:tcMar>
              <w:top w:w="60" w:type="dxa"/>
              <w:left w:w="80" w:type="dxa"/>
              <w:bottom w:w="60" w:type="dxa"/>
              <w:right w:w="80" w:type="dxa"/>
            </w:tcMar>
          </w:tcPr>
          <w:p w14:paraId="1290BB82">
            <w:pPr>
              <w:jc w:val="center"/>
            </w:pPr>
            <w:r>
              <w:rPr>
                <w:rFonts w:ascii="Arial" w:hAnsi="Arial" w:eastAsia="Arial" w:cs="Arial"/>
                <w:b/>
                <w:bCs/>
                <w:color w:val="FFFFFF"/>
                <w:sz w:val="18"/>
                <w:szCs w:val="18"/>
              </w:rPr>
              <w:t>影响</w:t>
            </w:r>
          </w:p>
        </w:tc>
        <w:tc>
          <w:tcPr>
            <w:tcW w:w="1872" w:type="dxa"/>
            <w:shd w:val="clear" w:color="auto" w:fill="1F3864"/>
            <w:tcMar>
              <w:top w:w="60" w:type="dxa"/>
              <w:left w:w="80" w:type="dxa"/>
              <w:bottom w:w="60" w:type="dxa"/>
              <w:right w:w="80" w:type="dxa"/>
            </w:tcMar>
          </w:tcPr>
          <w:p w14:paraId="14E0B0CF">
            <w:pPr>
              <w:jc w:val="center"/>
            </w:pPr>
            <w:r>
              <w:rPr>
                <w:rFonts w:ascii="Arial" w:hAnsi="Arial" w:eastAsia="Arial" w:cs="Arial"/>
                <w:b/>
                <w:bCs/>
                <w:color w:val="FFFFFF"/>
                <w:sz w:val="18"/>
                <w:szCs w:val="18"/>
              </w:rPr>
              <w:t>综合等级</w:t>
            </w:r>
          </w:p>
        </w:tc>
        <w:tc>
          <w:tcPr>
            <w:tcW w:w="2434" w:type="dxa"/>
            <w:shd w:val="clear" w:color="auto" w:fill="1F3864"/>
            <w:tcMar>
              <w:top w:w="60" w:type="dxa"/>
              <w:left w:w="80" w:type="dxa"/>
              <w:bottom w:w="60" w:type="dxa"/>
              <w:right w:w="80" w:type="dxa"/>
            </w:tcMar>
          </w:tcPr>
          <w:p w14:paraId="49496E6C">
            <w:pPr>
              <w:jc w:val="center"/>
            </w:pPr>
            <w:r>
              <w:rPr>
                <w:rFonts w:ascii="Arial" w:hAnsi="Arial" w:eastAsia="Arial" w:cs="Arial"/>
                <w:b/>
                <w:bCs/>
                <w:color w:val="FFFFFF"/>
                <w:sz w:val="18"/>
                <w:szCs w:val="18"/>
              </w:rPr>
              <w:t>优先级</w:t>
            </w:r>
          </w:p>
        </w:tc>
      </w:tr>
      <w:tr w14:paraId="6503BC1E">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FFFFF"/>
            <w:tcMar>
              <w:top w:w="50" w:type="dxa"/>
              <w:left w:w="80" w:type="dxa"/>
              <w:bottom w:w="50" w:type="dxa"/>
              <w:right w:w="80" w:type="dxa"/>
            </w:tcMar>
          </w:tcPr>
          <w:p w14:paraId="28098EDD">
            <w:pPr>
              <w:spacing w:line="252" w:lineRule="auto"/>
              <w:jc w:val="left"/>
            </w:pPr>
            <w:r>
              <w:rPr>
                <w:rFonts w:ascii="Arial" w:hAnsi="Arial" w:eastAsia="Arial" w:cs="Arial"/>
                <w:sz w:val="17"/>
                <w:szCs w:val="17"/>
              </w:rPr>
              <w:t>政策变动</w:t>
            </w:r>
          </w:p>
        </w:tc>
        <w:tc>
          <w:tcPr>
            <w:tcW w:w="1498" w:type="dxa"/>
            <w:shd w:val="clear" w:color="auto" w:fill="FFC7CE"/>
            <w:tcMar>
              <w:top w:w="50" w:type="dxa"/>
              <w:left w:w="80" w:type="dxa"/>
              <w:bottom w:w="50" w:type="dxa"/>
              <w:right w:w="80" w:type="dxa"/>
            </w:tcMar>
          </w:tcPr>
          <w:p w14:paraId="75BAD46F">
            <w:pPr>
              <w:spacing w:line="252" w:lineRule="auto"/>
              <w:jc w:val="left"/>
            </w:pPr>
            <w:r>
              <w:rPr>
                <w:rFonts w:ascii="Arial" w:hAnsi="Arial" w:eastAsia="Arial" w:cs="Arial"/>
                <w:b w:val="0"/>
                <w:bCs w:val="0"/>
                <w:color w:val="000000"/>
                <w:sz w:val="17"/>
                <w:szCs w:val="17"/>
              </w:rPr>
              <w:t>高</w:t>
            </w:r>
          </w:p>
        </w:tc>
        <w:tc>
          <w:tcPr>
            <w:tcW w:w="1498" w:type="dxa"/>
            <w:shd w:val="clear" w:color="auto" w:fill="FFC7CE"/>
            <w:tcMar>
              <w:top w:w="50" w:type="dxa"/>
              <w:left w:w="80" w:type="dxa"/>
              <w:bottom w:w="50" w:type="dxa"/>
              <w:right w:w="80" w:type="dxa"/>
            </w:tcMar>
          </w:tcPr>
          <w:p w14:paraId="67149C6F">
            <w:pPr>
              <w:spacing w:line="252" w:lineRule="auto"/>
              <w:jc w:val="left"/>
            </w:pPr>
            <w:r>
              <w:rPr>
                <w:rFonts w:ascii="Arial" w:hAnsi="Arial" w:eastAsia="Arial" w:cs="Arial"/>
                <w:b w:val="0"/>
                <w:bCs w:val="0"/>
                <w:color w:val="000000"/>
                <w:sz w:val="17"/>
                <w:szCs w:val="17"/>
              </w:rPr>
              <w:t>高</w:t>
            </w:r>
          </w:p>
        </w:tc>
        <w:tc>
          <w:tcPr>
            <w:tcW w:w="1872" w:type="dxa"/>
            <w:shd w:val="clear" w:color="auto" w:fill="FFC7CE"/>
            <w:tcMar>
              <w:top w:w="50" w:type="dxa"/>
              <w:left w:w="80" w:type="dxa"/>
              <w:bottom w:w="50" w:type="dxa"/>
              <w:right w:w="80" w:type="dxa"/>
            </w:tcMar>
          </w:tcPr>
          <w:p w14:paraId="57C44721">
            <w:pPr>
              <w:spacing w:line="252" w:lineRule="auto"/>
              <w:jc w:val="left"/>
            </w:pPr>
            <w:r>
              <w:rPr>
                <w:rFonts w:ascii="Arial" w:hAnsi="Arial" w:eastAsia="Arial" w:cs="Arial"/>
                <w:b w:val="0"/>
                <w:bCs w:val="0"/>
                <w:color w:val="9C0006"/>
                <w:sz w:val="17"/>
                <w:szCs w:val="17"/>
              </w:rPr>
              <w:t>严重</w:t>
            </w:r>
          </w:p>
        </w:tc>
        <w:tc>
          <w:tcPr>
            <w:tcW w:w="2434" w:type="dxa"/>
            <w:shd w:val="clear" w:color="auto" w:fill="FFFFFF"/>
            <w:tcMar>
              <w:top w:w="50" w:type="dxa"/>
              <w:left w:w="80" w:type="dxa"/>
              <w:bottom w:w="50" w:type="dxa"/>
              <w:right w:w="80" w:type="dxa"/>
            </w:tcMar>
          </w:tcPr>
          <w:p w14:paraId="04805217">
            <w:pPr>
              <w:spacing w:line="252" w:lineRule="auto"/>
              <w:jc w:val="left"/>
            </w:pPr>
            <w:r>
              <w:rPr>
                <w:rFonts w:ascii="Arial" w:hAnsi="Arial" w:eastAsia="Arial" w:cs="Arial"/>
                <w:b w:val="0"/>
                <w:bCs w:val="0"/>
                <w:sz w:val="17"/>
                <w:szCs w:val="17"/>
              </w:rPr>
              <w:t>P0 持续监控</w:t>
            </w:r>
          </w:p>
        </w:tc>
      </w:tr>
      <w:tr w14:paraId="1FB5080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2F2F2"/>
            <w:tcMar>
              <w:top w:w="50" w:type="dxa"/>
              <w:left w:w="80" w:type="dxa"/>
              <w:bottom w:w="50" w:type="dxa"/>
              <w:right w:w="80" w:type="dxa"/>
            </w:tcMar>
          </w:tcPr>
          <w:p w14:paraId="7F4E128D">
            <w:pPr>
              <w:spacing w:line="252" w:lineRule="auto"/>
              <w:jc w:val="left"/>
            </w:pPr>
            <w:r>
              <w:rPr>
                <w:rFonts w:ascii="Arial" w:hAnsi="Arial" w:eastAsia="Arial" w:cs="Arial"/>
                <w:sz w:val="17"/>
                <w:szCs w:val="17"/>
              </w:rPr>
              <w:t>信任/声誉</w:t>
            </w:r>
          </w:p>
        </w:tc>
        <w:tc>
          <w:tcPr>
            <w:tcW w:w="1498" w:type="dxa"/>
            <w:shd w:val="clear" w:color="auto" w:fill="FFEB9C"/>
            <w:tcMar>
              <w:top w:w="50" w:type="dxa"/>
              <w:left w:w="80" w:type="dxa"/>
              <w:bottom w:w="50" w:type="dxa"/>
              <w:right w:w="80" w:type="dxa"/>
            </w:tcMar>
          </w:tcPr>
          <w:p w14:paraId="1C9C66BF">
            <w:pPr>
              <w:spacing w:line="252" w:lineRule="auto"/>
              <w:jc w:val="left"/>
            </w:pPr>
            <w:r>
              <w:rPr>
                <w:rFonts w:ascii="Arial" w:hAnsi="Arial" w:eastAsia="Arial" w:cs="Arial"/>
                <w:b w:val="0"/>
                <w:bCs w:val="0"/>
                <w:color w:val="000000"/>
                <w:sz w:val="17"/>
                <w:szCs w:val="17"/>
              </w:rPr>
              <w:t>中</w:t>
            </w:r>
          </w:p>
        </w:tc>
        <w:tc>
          <w:tcPr>
            <w:tcW w:w="1498" w:type="dxa"/>
            <w:shd w:val="clear" w:color="auto" w:fill="FFC7CE"/>
            <w:tcMar>
              <w:top w:w="50" w:type="dxa"/>
              <w:left w:w="80" w:type="dxa"/>
              <w:bottom w:w="50" w:type="dxa"/>
              <w:right w:w="80" w:type="dxa"/>
            </w:tcMar>
          </w:tcPr>
          <w:p w14:paraId="28752C2D">
            <w:pPr>
              <w:spacing w:line="252" w:lineRule="auto"/>
              <w:jc w:val="left"/>
            </w:pPr>
            <w:r>
              <w:rPr>
                <w:rFonts w:ascii="Arial" w:hAnsi="Arial" w:eastAsia="Arial" w:cs="Arial"/>
                <w:b w:val="0"/>
                <w:bCs w:val="0"/>
                <w:color w:val="000000"/>
                <w:sz w:val="17"/>
                <w:szCs w:val="17"/>
              </w:rPr>
              <w:t>极高</w:t>
            </w:r>
          </w:p>
        </w:tc>
        <w:tc>
          <w:tcPr>
            <w:tcW w:w="1872" w:type="dxa"/>
            <w:shd w:val="clear" w:color="auto" w:fill="FFC7CE"/>
            <w:tcMar>
              <w:top w:w="50" w:type="dxa"/>
              <w:left w:w="80" w:type="dxa"/>
              <w:bottom w:w="50" w:type="dxa"/>
              <w:right w:w="80" w:type="dxa"/>
            </w:tcMar>
          </w:tcPr>
          <w:p w14:paraId="55AC0959">
            <w:pPr>
              <w:spacing w:line="252" w:lineRule="auto"/>
              <w:jc w:val="left"/>
            </w:pPr>
            <w:r>
              <w:rPr>
                <w:rFonts w:ascii="Arial" w:hAnsi="Arial" w:eastAsia="Arial" w:cs="Arial"/>
                <w:b w:val="0"/>
                <w:bCs w:val="0"/>
                <w:color w:val="9C0006"/>
                <w:sz w:val="17"/>
                <w:szCs w:val="17"/>
              </w:rPr>
              <w:t>严重</w:t>
            </w:r>
          </w:p>
        </w:tc>
        <w:tc>
          <w:tcPr>
            <w:tcW w:w="2434" w:type="dxa"/>
            <w:shd w:val="clear" w:color="auto" w:fill="F2F2F2"/>
            <w:tcMar>
              <w:top w:w="50" w:type="dxa"/>
              <w:left w:w="80" w:type="dxa"/>
              <w:bottom w:w="50" w:type="dxa"/>
              <w:right w:w="80" w:type="dxa"/>
            </w:tcMar>
          </w:tcPr>
          <w:p w14:paraId="254785EB">
            <w:pPr>
              <w:spacing w:line="252" w:lineRule="auto"/>
              <w:jc w:val="left"/>
            </w:pPr>
            <w:r>
              <w:rPr>
                <w:rFonts w:ascii="Arial" w:hAnsi="Arial" w:eastAsia="Arial" w:cs="Arial"/>
                <w:b w:val="0"/>
                <w:bCs w:val="0"/>
                <w:sz w:val="17"/>
                <w:szCs w:val="17"/>
              </w:rPr>
              <w:t>P0 流程管控</w:t>
            </w:r>
          </w:p>
        </w:tc>
      </w:tr>
      <w:tr w14:paraId="6E4B1466">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FFFFF"/>
            <w:tcMar>
              <w:top w:w="50" w:type="dxa"/>
              <w:left w:w="80" w:type="dxa"/>
              <w:bottom w:w="50" w:type="dxa"/>
              <w:right w:w="80" w:type="dxa"/>
            </w:tcMar>
          </w:tcPr>
          <w:p w14:paraId="03BA0F9B">
            <w:pPr>
              <w:spacing w:line="252" w:lineRule="auto"/>
              <w:jc w:val="left"/>
            </w:pPr>
            <w:r>
              <w:rPr>
                <w:rFonts w:ascii="Arial" w:hAnsi="Arial" w:eastAsia="Arial" w:cs="Arial"/>
                <w:sz w:val="17"/>
                <w:szCs w:val="17"/>
              </w:rPr>
              <w:t>挂靠连带</w:t>
            </w:r>
          </w:p>
        </w:tc>
        <w:tc>
          <w:tcPr>
            <w:tcW w:w="1498" w:type="dxa"/>
            <w:shd w:val="clear" w:color="auto" w:fill="FFEB9C"/>
            <w:tcMar>
              <w:top w:w="50" w:type="dxa"/>
              <w:left w:w="80" w:type="dxa"/>
              <w:bottom w:w="50" w:type="dxa"/>
              <w:right w:w="80" w:type="dxa"/>
            </w:tcMar>
          </w:tcPr>
          <w:p w14:paraId="24E5F6F2">
            <w:pPr>
              <w:spacing w:line="252" w:lineRule="auto"/>
              <w:jc w:val="left"/>
            </w:pPr>
            <w:r>
              <w:rPr>
                <w:rFonts w:ascii="Arial" w:hAnsi="Arial" w:eastAsia="Arial" w:cs="Arial"/>
                <w:b w:val="0"/>
                <w:bCs w:val="0"/>
                <w:color w:val="000000"/>
                <w:sz w:val="17"/>
                <w:szCs w:val="17"/>
              </w:rPr>
              <w:t>中</w:t>
            </w:r>
          </w:p>
        </w:tc>
        <w:tc>
          <w:tcPr>
            <w:tcW w:w="1498" w:type="dxa"/>
            <w:shd w:val="clear" w:color="auto" w:fill="FFC7CE"/>
            <w:tcMar>
              <w:top w:w="50" w:type="dxa"/>
              <w:left w:w="80" w:type="dxa"/>
              <w:bottom w:w="50" w:type="dxa"/>
              <w:right w:w="80" w:type="dxa"/>
            </w:tcMar>
          </w:tcPr>
          <w:p w14:paraId="1EBB029F">
            <w:pPr>
              <w:spacing w:line="252" w:lineRule="auto"/>
              <w:jc w:val="left"/>
            </w:pPr>
            <w:r>
              <w:rPr>
                <w:rFonts w:ascii="Arial" w:hAnsi="Arial" w:eastAsia="Arial" w:cs="Arial"/>
                <w:b w:val="0"/>
                <w:bCs w:val="0"/>
                <w:color w:val="000000"/>
                <w:sz w:val="17"/>
                <w:szCs w:val="17"/>
              </w:rPr>
              <w:t>高</w:t>
            </w:r>
          </w:p>
        </w:tc>
        <w:tc>
          <w:tcPr>
            <w:tcW w:w="1872" w:type="dxa"/>
            <w:shd w:val="clear" w:color="auto" w:fill="FFEB9C"/>
            <w:tcMar>
              <w:top w:w="50" w:type="dxa"/>
              <w:left w:w="80" w:type="dxa"/>
              <w:bottom w:w="50" w:type="dxa"/>
              <w:right w:w="80" w:type="dxa"/>
            </w:tcMar>
          </w:tcPr>
          <w:p w14:paraId="5D016034">
            <w:pPr>
              <w:spacing w:line="252" w:lineRule="auto"/>
              <w:jc w:val="left"/>
            </w:pPr>
            <w:r>
              <w:rPr>
                <w:rFonts w:ascii="Arial" w:hAnsi="Arial" w:eastAsia="Arial" w:cs="Arial"/>
                <w:b w:val="0"/>
                <w:bCs w:val="0"/>
                <w:color w:val="9C6500"/>
                <w:sz w:val="17"/>
                <w:szCs w:val="17"/>
              </w:rPr>
              <w:t>高</w:t>
            </w:r>
          </w:p>
        </w:tc>
        <w:tc>
          <w:tcPr>
            <w:tcW w:w="2434" w:type="dxa"/>
            <w:shd w:val="clear" w:color="auto" w:fill="FFFFFF"/>
            <w:tcMar>
              <w:top w:w="50" w:type="dxa"/>
              <w:left w:w="80" w:type="dxa"/>
              <w:bottom w:w="50" w:type="dxa"/>
              <w:right w:w="80" w:type="dxa"/>
            </w:tcMar>
          </w:tcPr>
          <w:p w14:paraId="20A5B34B">
            <w:pPr>
              <w:spacing w:line="252" w:lineRule="auto"/>
              <w:jc w:val="left"/>
            </w:pPr>
            <w:r>
              <w:rPr>
                <w:rFonts w:ascii="Arial" w:hAnsi="Arial" w:eastAsia="Arial" w:cs="Arial"/>
                <w:b w:val="0"/>
                <w:bCs w:val="0"/>
                <w:sz w:val="17"/>
                <w:szCs w:val="17"/>
              </w:rPr>
              <w:t>P1 隔离/去化</w:t>
            </w:r>
          </w:p>
        </w:tc>
      </w:tr>
      <w:tr w14:paraId="086B933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2F2F2"/>
            <w:tcMar>
              <w:top w:w="50" w:type="dxa"/>
              <w:left w:w="80" w:type="dxa"/>
              <w:bottom w:w="50" w:type="dxa"/>
              <w:right w:w="80" w:type="dxa"/>
            </w:tcMar>
          </w:tcPr>
          <w:p w14:paraId="13BBDAF4">
            <w:pPr>
              <w:spacing w:line="252" w:lineRule="auto"/>
              <w:jc w:val="left"/>
            </w:pPr>
            <w:r>
              <w:rPr>
                <w:rFonts w:ascii="Arial" w:hAnsi="Arial" w:eastAsia="Arial" w:cs="Arial"/>
                <w:sz w:val="17"/>
                <w:szCs w:val="17"/>
              </w:rPr>
              <w:t>SAT稽查</w:t>
            </w:r>
          </w:p>
        </w:tc>
        <w:tc>
          <w:tcPr>
            <w:tcW w:w="1498" w:type="dxa"/>
            <w:shd w:val="clear" w:color="auto" w:fill="C6EFCE"/>
            <w:tcMar>
              <w:top w:w="50" w:type="dxa"/>
              <w:left w:w="80" w:type="dxa"/>
              <w:bottom w:w="50" w:type="dxa"/>
              <w:right w:w="80" w:type="dxa"/>
            </w:tcMar>
          </w:tcPr>
          <w:p w14:paraId="7B537892">
            <w:pPr>
              <w:spacing w:line="252" w:lineRule="auto"/>
              <w:jc w:val="left"/>
            </w:pPr>
            <w:r>
              <w:rPr>
                <w:rFonts w:ascii="Arial" w:hAnsi="Arial" w:eastAsia="Arial" w:cs="Arial"/>
                <w:b w:val="0"/>
                <w:bCs w:val="0"/>
                <w:color w:val="000000"/>
                <w:sz w:val="17"/>
                <w:szCs w:val="17"/>
              </w:rPr>
              <w:t>低</w:t>
            </w:r>
          </w:p>
        </w:tc>
        <w:tc>
          <w:tcPr>
            <w:tcW w:w="1498" w:type="dxa"/>
            <w:shd w:val="clear" w:color="auto" w:fill="FFC7CE"/>
            <w:tcMar>
              <w:top w:w="50" w:type="dxa"/>
              <w:left w:w="80" w:type="dxa"/>
              <w:bottom w:w="50" w:type="dxa"/>
              <w:right w:w="80" w:type="dxa"/>
            </w:tcMar>
          </w:tcPr>
          <w:p w14:paraId="79CBECD1">
            <w:pPr>
              <w:spacing w:line="252" w:lineRule="auto"/>
              <w:jc w:val="left"/>
            </w:pPr>
            <w:r>
              <w:rPr>
                <w:rFonts w:ascii="Arial" w:hAnsi="Arial" w:eastAsia="Arial" w:cs="Arial"/>
                <w:b w:val="0"/>
                <w:bCs w:val="0"/>
                <w:color w:val="000000"/>
                <w:sz w:val="17"/>
                <w:szCs w:val="17"/>
              </w:rPr>
              <w:t>高</w:t>
            </w:r>
          </w:p>
        </w:tc>
        <w:tc>
          <w:tcPr>
            <w:tcW w:w="1872" w:type="dxa"/>
            <w:shd w:val="clear" w:color="auto" w:fill="FFEB9C"/>
            <w:tcMar>
              <w:top w:w="50" w:type="dxa"/>
              <w:left w:w="80" w:type="dxa"/>
              <w:bottom w:w="50" w:type="dxa"/>
              <w:right w:w="80" w:type="dxa"/>
            </w:tcMar>
          </w:tcPr>
          <w:p w14:paraId="5E28F9BF">
            <w:pPr>
              <w:spacing w:line="252" w:lineRule="auto"/>
              <w:jc w:val="left"/>
            </w:pPr>
            <w:r>
              <w:rPr>
                <w:rFonts w:ascii="Arial" w:hAnsi="Arial" w:eastAsia="Arial" w:cs="Arial"/>
                <w:b w:val="0"/>
                <w:bCs w:val="0"/>
                <w:color w:val="9C6500"/>
                <w:sz w:val="17"/>
                <w:szCs w:val="17"/>
              </w:rPr>
              <w:t>中</w:t>
            </w:r>
          </w:p>
        </w:tc>
        <w:tc>
          <w:tcPr>
            <w:tcW w:w="2434" w:type="dxa"/>
            <w:shd w:val="clear" w:color="auto" w:fill="F2F2F2"/>
            <w:tcMar>
              <w:top w:w="50" w:type="dxa"/>
              <w:left w:w="80" w:type="dxa"/>
              <w:bottom w:w="50" w:type="dxa"/>
              <w:right w:w="80" w:type="dxa"/>
            </w:tcMar>
          </w:tcPr>
          <w:p w14:paraId="6A3FF664">
            <w:pPr>
              <w:spacing w:line="252" w:lineRule="auto"/>
              <w:jc w:val="left"/>
            </w:pPr>
            <w:r>
              <w:rPr>
                <w:rFonts w:ascii="Arial" w:hAnsi="Arial" w:eastAsia="Arial" w:cs="Arial"/>
                <w:b w:val="0"/>
                <w:bCs w:val="0"/>
                <w:sz w:val="17"/>
                <w:szCs w:val="17"/>
              </w:rPr>
              <w:t>P1 合规文档</w:t>
            </w:r>
          </w:p>
        </w:tc>
      </w:tr>
      <w:tr w14:paraId="44E0755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FFFFF"/>
            <w:tcMar>
              <w:top w:w="50" w:type="dxa"/>
              <w:left w:w="80" w:type="dxa"/>
              <w:bottom w:w="50" w:type="dxa"/>
              <w:right w:w="80" w:type="dxa"/>
            </w:tcMar>
          </w:tcPr>
          <w:p w14:paraId="6C523D19">
            <w:pPr>
              <w:spacing w:line="252" w:lineRule="auto"/>
              <w:jc w:val="left"/>
            </w:pPr>
            <w:r>
              <w:rPr>
                <w:rFonts w:ascii="Arial" w:hAnsi="Arial" w:eastAsia="Arial" w:cs="Arial"/>
                <w:sz w:val="17"/>
                <w:szCs w:val="17"/>
              </w:rPr>
              <w:t>资金/外汇</w:t>
            </w:r>
          </w:p>
        </w:tc>
        <w:tc>
          <w:tcPr>
            <w:tcW w:w="1498" w:type="dxa"/>
            <w:shd w:val="clear" w:color="auto" w:fill="FFEB9C"/>
            <w:tcMar>
              <w:top w:w="50" w:type="dxa"/>
              <w:left w:w="80" w:type="dxa"/>
              <w:bottom w:w="50" w:type="dxa"/>
              <w:right w:w="80" w:type="dxa"/>
            </w:tcMar>
          </w:tcPr>
          <w:p w14:paraId="7DF96BA2">
            <w:pPr>
              <w:spacing w:line="252" w:lineRule="auto"/>
              <w:jc w:val="left"/>
            </w:pPr>
            <w:r>
              <w:rPr>
                <w:rFonts w:ascii="Arial" w:hAnsi="Arial" w:eastAsia="Arial" w:cs="Arial"/>
                <w:b w:val="0"/>
                <w:bCs w:val="0"/>
                <w:color w:val="000000"/>
                <w:sz w:val="17"/>
                <w:szCs w:val="17"/>
              </w:rPr>
              <w:t>中</w:t>
            </w:r>
          </w:p>
        </w:tc>
        <w:tc>
          <w:tcPr>
            <w:tcW w:w="1498" w:type="dxa"/>
            <w:shd w:val="clear" w:color="auto" w:fill="FFEB9C"/>
            <w:tcMar>
              <w:top w:w="50" w:type="dxa"/>
              <w:left w:w="80" w:type="dxa"/>
              <w:bottom w:w="50" w:type="dxa"/>
              <w:right w:w="80" w:type="dxa"/>
            </w:tcMar>
          </w:tcPr>
          <w:p w14:paraId="3DD8ED00">
            <w:pPr>
              <w:spacing w:line="252" w:lineRule="auto"/>
              <w:jc w:val="left"/>
            </w:pPr>
            <w:r>
              <w:rPr>
                <w:rFonts w:ascii="Arial" w:hAnsi="Arial" w:eastAsia="Arial" w:cs="Arial"/>
                <w:b w:val="0"/>
                <w:bCs w:val="0"/>
                <w:color w:val="000000"/>
                <w:sz w:val="17"/>
                <w:szCs w:val="17"/>
              </w:rPr>
              <w:t>中</w:t>
            </w:r>
          </w:p>
        </w:tc>
        <w:tc>
          <w:tcPr>
            <w:tcW w:w="1872" w:type="dxa"/>
            <w:shd w:val="clear" w:color="auto" w:fill="FFEB9C"/>
            <w:tcMar>
              <w:top w:w="50" w:type="dxa"/>
              <w:left w:w="80" w:type="dxa"/>
              <w:bottom w:w="50" w:type="dxa"/>
              <w:right w:w="80" w:type="dxa"/>
            </w:tcMar>
          </w:tcPr>
          <w:p w14:paraId="1FC6B62D">
            <w:pPr>
              <w:spacing w:line="252" w:lineRule="auto"/>
              <w:jc w:val="left"/>
            </w:pPr>
            <w:r>
              <w:rPr>
                <w:rFonts w:ascii="Arial" w:hAnsi="Arial" w:eastAsia="Arial" w:cs="Arial"/>
                <w:b w:val="0"/>
                <w:bCs w:val="0"/>
                <w:color w:val="9C6500"/>
                <w:sz w:val="17"/>
                <w:szCs w:val="17"/>
              </w:rPr>
              <w:t>中</w:t>
            </w:r>
          </w:p>
        </w:tc>
        <w:tc>
          <w:tcPr>
            <w:tcW w:w="2434" w:type="dxa"/>
            <w:shd w:val="clear" w:color="auto" w:fill="FFFFFF"/>
            <w:tcMar>
              <w:top w:w="50" w:type="dxa"/>
              <w:left w:w="80" w:type="dxa"/>
              <w:bottom w:w="50" w:type="dxa"/>
              <w:right w:w="80" w:type="dxa"/>
            </w:tcMar>
          </w:tcPr>
          <w:p w14:paraId="2DE2349D">
            <w:pPr>
              <w:spacing w:line="252" w:lineRule="auto"/>
              <w:jc w:val="left"/>
            </w:pPr>
            <w:r>
              <w:rPr>
                <w:rFonts w:ascii="Arial" w:hAnsi="Arial" w:eastAsia="Arial" w:cs="Arial"/>
                <w:b w:val="0"/>
                <w:bCs w:val="0"/>
                <w:sz w:val="17"/>
                <w:szCs w:val="17"/>
              </w:rPr>
              <w:t>P2 合作收款</w:t>
            </w:r>
          </w:p>
        </w:tc>
      </w:tr>
      <w:tr w14:paraId="60C64E3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2F2F2"/>
            <w:tcMar>
              <w:top w:w="50" w:type="dxa"/>
              <w:left w:w="80" w:type="dxa"/>
              <w:bottom w:w="50" w:type="dxa"/>
              <w:right w:w="80" w:type="dxa"/>
            </w:tcMar>
          </w:tcPr>
          <w:p w14:paraId="78339931">
            <w:pPr>
              <w:spacing w:line="252" w:lineRule="auto"/>
              <w:jc w:val="left"/>
            </w:pPr>
            <w:r>
              <w:rPr>
                <w:rFonts w:ascii="Arial" w:hAnsi="Arial" w:eastAsia="Arial" w:cs="Arial"/>
                <w:sz w:val="17"/>
                <w:szCs w:val="17"/>
              </w:rPr>
              <w:t>人才/交付</w:t>
            </w:r>
          </w:p>
        </w:tc>
        <w:tc>
          <w:tcPr>
            <w:tcW w:w="1498" w:type="dxa"/>
            <w:shd w:val="clear" w:color="auto" w:fill="FFEB9C"/>
            <w:tcMar>
              <w:top w:w="50" w:type="dxa"/>
              <w:left w:w="80" w:type="dxa"/>
              <w:bottom w:w="50" w:type="dxa"/>
              <w:right w:w="80" w:type="dxa"/>
            </w:tcMar>
          </w:tcPr>
          <w:p w14:paraId="161BA435">
            <w:pPr>
              <w:spacing w:line="252" w:lineRule="auto"/>
              <w:jc w:val="left"/>
            </w:pPr>
            <w:r>
              <w:rPr>
                <w:rFonts w:ascii="Arial" w:hAnsi="Arial" w:eastAsia="Arial" w:cs="Arial"/>
                <w:b w:val="0"/>
                <w:bCs w:val="0"/>
                <w:color w:val="000000"/>
                <w:sz w:val="17"/>
                <w:szCs w:val="17"/>
              </w:rPr>
              <w:t>中</w:t>
            </w:r>
          </w:p>
        </w:tc>
        <w:tc>
          <w:tcPr>
            <w:tcW w:w="1498" w:type="dxa"/>
            <w:shd w:val="clear" w:color="auto" w:fill="FFEB9C"/>
            <w:tcMar>
              <w:top w:w="50" w:type="dxa"/>
              <w:left w:w="80" w:type="dxa"/>
              <w:bottom w:w="50" w:type="dxa"/>
              <w:right w:w="80" w:type="dxa"/>
            </w:tcMar>
          </w:tcPr>
          <w:p w14:paraId="2CE20ADF">
            <w:pPr>
              <w:spacing w:line="252" w:lineRule="auto"/>
              <w:jc w:val="left"/>
            </w:pPr>
            <w:r>
              <w:rPr>
                <w:rFonts w:ascii="Arial" w:hAnsi="Arial" w:eastAsia="Arial" w:cs="Arial"/>
                <w:b w:val="0"/>
                <w:bCs w:val="0"/>
                <w:color w:val="000000"/>
                <w:sz w:val="17"/>
                <w:szCs w:val="17"/>
              </w:rPr>
              <w:t>中</w:t>
            </w:r>
          </w:p>
        </w:tc>
        <w:tc>
          <w:tcPr>
            <w:tcW w:w="1872" w:type="dxa"/>
            <w:shd w:val="clear" w:color="auto" w:fill="FFEB9C"/>
            <w:tcMar>
              <w:top w:w="50" w:type="dxa"/>
              <w:left w:w="80" w:type="dxa"/>
              <w:bottom w:w="50" w:type="dxa"/>
              <w:right w:w="80" w:type="dxa"/>
            </w:tcMar>
          </w:tcPr>
          <w:p w14:paraId="6DA1094D">
            <w:pPr>
              <w:spacing w:line="252" w:lineRule="auto"/>
              <w:jc w:val="left"/>
            </w:pPr>
            <w:r>
              <w:rPr>
                <w:rFonts w:ascii="Arial" w:hAnsi="Arial" w:eastAsia="Arial" w:cs="Arial"/>
                <w:b w:val="0"/>
                <w:bCs w:val="0"/>
                <w:color w:val="9C6500"/>
                <w:sz w:val="17"/>
                <w:szCs w:val="17"/>
              </w:rPr>
              <w:t>中</w:t>
            </w:r>
          </w:p>
        </w:tc>
        <w:tc>
          <w:tcPr>
            <w:tcW w:w="2434" w:type="dxa"/>
            <w:shd w:val="clear" w:color="auto" w:fill="F2F2F2"/>
            <w:tcMar>
              <w:top w:w="50" w:type="dxa"/>
              <w:left w:w="80" w:type="dxa"/>
              <w:bottom w:w="50" w:type="dxa"/>
              <w:right w:w="80" w:type="dxa"/>
            </w:tcMar>
          </w:tcPr>
          <w:p w14:paraId="0068A1F0">
            <w:pPr>
              <w:spacing w:line="252" w:lineRule="auto"/>
              <w:jc w:val="left"/>
            </w:pPr>
            <w:r>
              <w:rPr>
                <w:rFonts w:ascii="Arial" w:hAnsi="Arial" w:eastAsia="Arial" w:cs="Arial"/>
                <w:b w:val="0"/>
                <w:bCs w:val="0"/>
                <w:sz w:val="17"/>
                <w:szCs w:val="17"/>
              </w:rPr>
              <w:t>P2 SOP+自动化</w:t>
            </w:r>
          </w:p>
        </w:tc>
      </w:tr>
    </w:tbl>
    <w:p w14:paraId="2785CABB">
      <w:pPr>
        <w:spacing w:before="40" w:after="160"/>
      </w:pPr>
      <w:r>
        <w:rPr>
          <w:rFonts w:ascii="Arial" w:hAnsi="Arial" w:eastAsia="Arial" w:cs="Arial"/>
          <w:i/>
          <w:iCs/>
          <w:color w:val="808080"/>
          <w:sz w:val="16"/>
          <w:szCs w:val="16"/>
        </w:rPr>
        <w:t>表 7-2：风险矩阵。P0=立即且持续处理，P1=重点防控，P2=常规管理。</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68831947">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31F14A91">
            <w:pPr>
              <w:spacing w:after="60"/>
            </w:pPr>
            <w:r>
              <w:rPr>
                <w:rFonts w:ascii="Arial" w:hAnsi="Arial" w:eastAsia="Arial" w:cs="Arial"/>
                <w:b/>
                <w:bCs/>
                <w:color w:val="1F3864"/>
                <w:sz w:val="21"/>
                <w:szCs w:val="21"/>
              </w:rPr>
              <w:t>本章小结</w:t>
            </w:r>
          </w:p>
          <w:p w14:paraId="043D0490">
            <w:pPr>
              <w:spacing w:after="40" w:line="276" w:lineRule="auto"/>
            </w:pPr>
            <w:r>
              <w:rPr>
                <w:rFonts w:ascii="Arial" w:hAnsi="Arial" w:eastAsia="Arial" w:cs="Arial"/>
                <w:b/>
                <w:bCs/>
                <w:sz w:val="20"/>
                <w:szCs w:val="20"/>
              </w:rPr>
              <w:t>这门生意最大的风险不是竞争，而是‘政策’和‘信任’。前者靠持续跟踪 + 只做真实合规来化解，后者靠自持实体 + 透明流程来建立。把这两件事做对，壁垒就从阻力变成了你的护城河。</w:t>
            </w:r>
          </w:p>
        </w:tc>
      </w:tr>
    </w:tbl>
    <w:p w14:paraId="125B464C">
      <w:pPr>
        <w:pStyle w:val="2"/>
        <w:pageBreakBefore/>
        <w:spacing w:before="240" w:after="160"/>
      </w:pPr>
      <w:r>
        <w:rPr>
          <w:rFonts w:ascii="Arial" w:hAnsi="Arial" w:eastAsia="Arial" w:cs="Arial"/>
          <w:b/>
          <w:bCs/>
          <w:color w:val="1F3864"/>
          <w:sz w:val="30"/>
          <w:szCs w:val="30"/>
        </w:rPr>
        <w:t>第八章　AI 在财税与跨境服务中的机会</w:t>
      </w:r>
    </w:p>
    <w:p w14:paraId="57A1E550">
      <w:pPr>
        <w:spacing w:after="140" w:line="288" w:lineRule="auto"/>
        <w:jc w:val="both"/>
      </w:pPr>
      <w:r>
        <w:rPr>
          <w:rFonts w:ascii="Arial" w:hAnsi="Arial" w:eastAsia="Arial" w:cs="Arial"/>
          <w:sz w:val="21"/>
          <w:szCs w:val="21"/>
        </w:rPr>
        <w:t>这是你相对所有竞品的独特杠杆：12年运营 + 全栈技术 + 正在建设的天机OS/智能体平台。本章给出AI在本业务的落地路线，把技术能力转化为竞争壁垒。</w:t>
      </w:r>
    </w:p>
    <w:p w14:paraId="12213B20">
      <w:pPr>
        <w:pStyle w:val="3"/>
        <w:spacing w:before="220" w:after="120"/>
      </w:pPr>
      <w:r>
        <w:rPr>
          <w:rFonts w:ascii="Arial" w:hAnsi="Arial" w:eastAsia="Arial" w:cs="Arial"/>
          <w:b/>
          <w:bCs/>
          <w:color w:val="2E5496"/>
          <w:sz w:val="25"/>
          <w:szCs w:val="25"/>
        </w:rPr>
        <w:t>8.1　为什么AI在这门生意里特别有价值</w:t>
      </w:r>
    </w:p>
    <w:p w14:paraId="57BC2AA7">
      <w:pPr>
        <w:spacing w:after="140" w:line="288" w:lineRule="auto"/>
        <w:jc w:val="both"/>
      </w:pPr>
      <w:r>
        <w:rPr>
          <w:rFonts w:ascii="Arial" w:hAnsi="Arial" w:eastAsia="Arial" w:cs="Arial"/>
          <w:sz w:val="21"/>
          <w:szCs w:val="21"/>
        </w:rPr>
        <w:t>跨境财税服务的成本主要在“重复性专业工时”：预扣计算、发票核验、申报数据整理、政策解读、客户答疑。这些任务恰好是‘规则明确 + 高频重复 + 文本密集’——AI最擅长的类型。谁能把这些工时变成算力，谁就能在不成比例增加人力的情况下扩张，并把边际成本压到竞品无法跟随的水平。</w:t>
      </w:r>
    </w:p>
    <w:p w14:paraId="6965E90B">
      <w:pPr>
        <w:pStyle w:val="3"/>
        <w:spacing w:before="220" w:after="120"/>
      </w:pPr>
      <w:r>
        <w:rPr>
          <w:rFonts w:ascii="Arial" w:hAnsi="Arial" w:eastAsia="Arial" w:cs="Arial"/>
          <w:b/>
          <w:bCs/>
          <w:color w:val="2E5496"/>
          <w:sz w:val="25"/>
          <w:szCs w:val="25"/>
        </w:rPr>
        <w:t>8.2　六个AI落地场景（从近到远）</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395"/>
        <w:gridCol w:w="2177"/>
        <w:gridCol w:w="3919"/>
        <w:gridCol w:w="1307"/>
      </w:tblGrid>
      <w:tr w14:paraId="69A46CF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288" w:type="dxa"/>
            <w:shd w:val="clear" w:color="auto" w:fill="1F3864"/>
            <w:tcMar>
              <w:top w:w="60" w:type="dxa"/>
              <w:left w:w="80" w:type="dxa"/>
              <w:bottom w:w="60" w:type="dxa"/>
              <w:right w:w="80" w:type="dxa"/>
            </w:tcMar>
          </w:tcPr>
          <w:p w14:paraId="75826D99">
            <w:pPr>
              <w:jc w:val="center"/>
            </w:pPr>
            <w:r>
              <w:rPr>
                <w:rFonts w:ascii="Arial" w:hAnsi="Arial" w:eastAsia="Arial" w:cs="Arial"/>
                <w:b/>
                <w:bCs/>
                <w:color w:val="FFFFFF"/>
                <w:sz w:val="18"/>
                <w:szCs w:val="18"/>
              </w:rPr>
              <w:t>场景</w:t>
            </w:r>
          </w:p>
        </w:tc>
        <w:tc>
          <w:tcPr>
            <w:tcW w:w="2080" w:type="dxa"/>
            <w:shd w:val="clear" w:color="auto" w:fill="1F3864"/>
            <w:tcMar>
              <w:top w:w="60" w:type="dxa"/>
              <w:left w:w="80" w:type="dxa"/>
              <w:bottom w:w="60" w:type="dxa"/>
              <w:right w:w="80" w:type="dxa"/>
            </w:tcMar>
          </w:tcPr>
          <w:p w14:paraId="281CAAD2">
            <w:pPr>
              <w:jc w:val="center"/>
            </w:pPr>
            <w:r>
              <w:rPr>
                <w:rFonts w:ascii="Arial" w:hAnsi="Arial" w:eastAsia="Arial" w:cs="Arial"/>
                <w:b/>
                <w:bCs/>
                <w:color w:val="FFFFFF"/>
                <w:sz w:val="18"/>
                <w:szCs w:val="18"/>
              </w:rPr>
              <w:t>AI能力</w:t>
            </w:r>
          </w:p>
        </w:tc>
        <w:tc>
          <w:tcPr>
            <w:tcW w:w="3744" w:type="dxa"/>
            <w:shd w:val="clear" w:color="auto" w:fill="1F3864"/>
            <w:tcMar>
              <w:top w:w="60" w:type="dxa"/>
              <w:left w:w="80" w:type="dxa"/>
              <w:bottom w:w="60" w:type="dxa"/>
              <w:right w:w="80" w:type="dxa"/>
            </w:tcMar>
          </w:tcPr>
          <w:p w14:paraId="308D892A">
            <w:pPr>
              <w:jc w:val="center"/>
            </w:pPr>
            <w:r>
              <w:rPr>
                <w:rFonts w:ascii="Arial" w:hAnsi="Arial" w:eastAsia="Arial" w:cs="Arial"/>
                <w:b/>
                <w:bCs/>
                <w:color w:val="FFFFFF"/>
                <w:sz w:val="18"/>
                <w:szCs w:val="18"/>
              </w:rPr>
              <w:t>价值</w:t>
            </w:r>
          </w:p>
        </w:tc>
        <w:tc>
          <w:tcPr>
            <w:tcW w:w="1248" w:type="dxa"/>
            <w:shd w:val="clear" w:color="auto" w:fill="1F3864"/>
            <w:tcMar>
              <w:top w:w="60" w:type="dxa"/>
              <w:left w:w="80" w:type="dxa"/>
              <w:bottom w:w="60" w:type="dxa"/>
              <w:right w:w="80" w:type="dxa"/>
            </w:tcMar>
          </w:tcPr>
          <w:p w14:paraId="281D5834">
            <w:pPr>
              <w:jc w:val="center"/>
            </w:pPr>
            <w:r>
              <w:rPr>
                <w:rFonts w:ascii="Arial" w:hAnsi="Arial" w:eastAsia="Arial" w:cs="Arial"/>
                <w:b/>
                <w:bCs/>
                <w:color w:val="FFFFFF"/>
                <w:sz w:val="18"/>
                <w:szCs w:val="18"/>
              </w:rPr>
              <w:t>落地难度</w:t>
            </w:r>
          </w:p>
        </w:tc>
      </w:tr>
      <w:tr w14:paraId="064CD26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FFFFF"/>
            <w:tcMar>
              <w:top w:w="50" w:type="dxa"/>
              <w:left w:w="80" w:type="dxa"/>
              <w:bottom w:w="50" w:type="dxa"/>
              <w:right w:w="80" w:type="dxa"/>
            </w:tcMar>
          </w:tcPr>
          <w:p w14:paraId="7393AF6D">
            <w:pPr>
              <w:spacing w:line="252" w:lineRule="auto"/>
              <w:jc w:val="left"/>
            </w:pPr>
            <w:r>
              <w:rPr>
                <w:rFonts w:ascii="Arial" w:hAnsi="Arial" w:eastAsia="Arial" w:cs="Arial"/>
                <w:b/>
                <w:bCs/>
                <w:color w:val="000000"/>
                <w:sz w:val="17"/>
                <w:szCs w:val="17"/>
              </w:rPr>
              <w:t>① 预扣税测算器</w:t>
            </w:r>
          </w:p>
        </w:tc>
        <w:tc>
          <w:tcPr>
            <w:tcW w:w="2080" w:type="dxa"/>
            <w:shd w:val="clear" w:color="auto" w:fill="FFFFFF"/>
            <w:tcMar>
              <w:top w:w="50" w:type="dxa"/>
              <w:left w:w="80" w:type="dxa"/>
              <w:bottom w:w="50" w:type="dxa"/>
              <w:right w:w="80" w:type="dxa"/>
            </w:tcMar>
          </w:tcPr>
          <w:p w14:paraId="740069FB">
            <w:pPr>
              <w:spacing w:line="252" w:lineRule="auto"/>
              <w:jc w:val="left"/>
            </w:pPr>
            <w:r>
              <w:rPr>
                <w:rFonts w:ascii="Arial" w:hAnsi="Arial" w:eastAsia="Arial" w:cs="Arial"/>
                <w:b w:val="0"/>
                <w:bCs w:val="0"/>
                <w:sz w:val="17"/>
                <w:szCs w:val="17"/>
              </w:rPr>
              <w:t>规则引擎+计算</w:t>
            </w:r>
          </w:p>
        </w:tc>
        <w:tc>
          <w:tcPr>
            <w:tcW w:w="3744" w:type="dxa"/>
            <w:shd w:val="clear" w:color="auto" w:fill="FFFFFF"/>
            <w:tcMar>
              <w:top w:w="50" w:type="dxa"/>
              <w:left w:w="80" w:type="dxa"/>
              <w:bottom w:w="50" w:type="dxa"/>
              <w:right w:w="80" w:type="dxa"/>
            </w:tcMar>
          </w:tcPr>
          <w:p w14:paraId="2159D15E">
            <w:pPr>
              <w:spacing w:line="252" w:lineRule="auto"/>
              <w:jc w:val="left"/>
            </w:pPr>
            <w:r>
              <w:rPr>
                <w:rFonts w:ascii="Arial" w:hAnsi="Arial" w:eastAsia="Arial" w:cs="Arial"/>
                <w:b w:val="0"/>
                <w:bCs w:val="0"/>
                <w:sz w:val="17"/>
                <w:szCs w:val="17"/>
              </w:rPr>
              <w:t>客户自助算清10.5%–36%与补缴差额</w:t>
            </w:r>
          </w:p>
        </w:tc>
        <w:tc>
          <w:tcPr>
            <w:tcW w:w="1248" w:type="dxa"/>
            <w:shd w:val="clear" w:color="auto" w:fill="C6EFCE"/>
            <w:tcMar>
              <w:top w:w="50" w:type="dxa"/>
              <w:left w:w="80" w:type="dxa"/>
              <w:bottom w:w="50" w:type="dxa"/>
              <w:right w:w="80" w:type="dxa"/>
            </w:tcMar>
          </w:tcPr>
          <w:p w14:paraId="5EA24FCF">
            <w:pPr>
              <w:spacing w:line="252" w:lineRule="auto"/>
              <w:jc w:val="left"/>
            </w:pPr>
            <w:r>
              <w:rPr>
                <w:rFonts w:ascii="Arial" w:hAnsi="Arial" w:eastAsia="Arial" w:cs="Arial"/>
                <w:b w:val="0"/>
                <w:bCs w:val="0"/>
                <w:color w:val="000000"/>
                <w:sz w:val="17"/>
                <w:szCs w:val="17"/>
              </w:rPr>
              <w:t>低</w:t>
            </w:r>
          </w:p>
        </w:tc>
      </w:tr>
      <w:tr w14:paraId="396BBA2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2F2F2"/>
            <w:tcMar>
              <w:top w:w="50" w:type="dxa"/>
              <w:left w:w="80" w:type="dxa"/>
              <w:bottom w:w="50" w:type="dxa"/>
              <w:right w:w="80" w:type="dxa"/>
            </w:tcMar>
          </w:tcPr>
          <w:p w14:paraId="685E19D0">
            <w:pPr>
              <w:spacing w:line="252" w:lineRule="auto"/>
              <w:jc w:val="left"/>
            </w:pPr>
            <w:r>
              <w:rPr>
                <w:rFonts w:ascii="Arial" w:hAnsi="Arial" w:eastAsia="Arial" w:cs="Arial"/>
                <w:b/>
                <w:bCs/>
                <w:color w:val="000000"/>
                <w:sz w:val="17"/>
                <w:szCs w:val="17"/>
              </w:rPr>
              <w:t>② 政策监控+摘要</w:t>
            </w:r>
          </w:p>
        </w:tc>
        <w:tc>
          <w:tcPr>
            <w:tcW w:w="2080" w:type="dxa"/>
            <w:shd w:val="clear" w:color="auto" w:fill="F2F2F2"/>
            <w:tcMar>
              <w:top w:w="50" w:type="dxa"/>
              <w:left w:w="80" w:type="dxa"/>
              <w:bottom w:w="50" w:type="dxa"/>
              <w:right w:w="80" w:type="dxa"/>
            </w:tcMar>
          </w:tcPr>
          <w:p w14:paraId="47FB194A">
            <w:pPr>
              <w:spacing w:line="252" w:lineRule="auto"/>
              <w:jc w:val="left"/>
            </w:pPr>
            <w:r>
              <w:rPr>
                <w:rFonts w:ascii="Arial" w:hAnsi="Arial" w:eastAsia="Arial" w:cs="Arial"/>
                <w:b w:val="0"/>
                <w:bCs w:val="0"/>
                <w:sz w:val="17"/>
                <w:szCs w:val="17"/>
              </w:rPr>
              <w:t>LLM检索+摘要</w:t>
            </w:r>
          </w:p>
        </w:tc>
        <w:tc>
          <w:tcPr>
            <w:tcW w:w="3744" w:type="dxa"/>
            <w:shd w:val="clear" w:color="auto" w:fill="F2F2F2"/>
            <w:tcMar>
              <w:top w:w="50" w:type="dxa"/>
              <w:left w:w="80" w:type="dxa"/>
              <w:bottom w:w="50" w:type="dxa"/>
              <w:right w:w="80" w:type="dxa"/>
            </w:tcMar>
          </w:tcPr>
          <w:p w14:paraId="7C39F146">
            <w:pPr>
              <w:spacing w:line="252" w:lineRule="auto"/>
              <w:jc w:val="left"/>
            </w:pPr>
            <w:r>
              <w:rPr>
                <w:rFonts w:ascii="Arial" w:hAnsi="Arial" w:eastAsia="Arial" w:cs="Arial"/>
                <w:b w:val="0"/>
                <w:bCs w:val="0"/>
                <w:sz w:val="17"/>
                <w:szCs w:val="17"/>
              </w:rPr>
              <w:t>SAT/平台新规实时预警与中文解读</w:t>
            </w:r>
          </w:p>
        </w:tc>
        <w:tc>
          <w:tcPr>
            <w:tcW w:w="1248" w:type="dxa"/>
            <w:shd w:val="clear" w:color="auto" w:fill="C6EFCE"/>
            <w:tcMar>
              <w:top w:w="50" w:type="dxa"/>
              <w:left w:w="80" w:type="dxa"/>
              <w:bottom w:w="50" w:type="dxa"/>
              <w:right w:w="80" w:type="dxa"/>
            </w:tcMar>
          </w:tcPr>
          <w:p w14:paraId="2D03B1DF">
            <w:pPr>
              <w:spacing w:line="252" w:lineRule="auto"/>
              <w:jc w:val="left"/>
            </w:pPr>
            <w:r>
              <w:rPr>
                <w:rFonts w:ascii="Arial" w:hAnsi="Arial" w:eastAsia="Arial" w:cs="Arial"/>
                <w:b w:val="0"/>
                <w:bCs w:val="0"/>
                <w:color w:val="000000"/>
                <w:sz w:val="17"/>
                <w:szCs w:val="17"/>
              </w:rPr>
              <w:t>低</w:t>
            </w:r>
          </w:p>
        </w:tc>
      </w:tr>
      <w:tr w14:paraId="71D859F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FFFFF"/>
            <w:tcMar>
              <w:top w:w="50" w:type="dxa"/>
              <w:left w:w="80" w:type="dxa"/>
              <w:bottom w:w="50" w:type="dxa"/>
              <w:right w:w="80" w:type="dxa"/>
            </w:tcMar>
          </w:tcPr>
          <w:p w14:paraId="6063B208">
            <w:pPr>
              <w:spacing w:line="252" w:lineRule="auto"/>
              <w:jc w:val="left"/>
            </w:pPr>
            <w:r>
              <w:rPr>
                <w:rFonts w:ascii="Arial" w:hAnsi="Arial" w:eastAsia="Arial" w:cs="Arial"/>
                <w:b/>
                <w:bCs/>
                <w:color w:val="000000"/>
                <w:sz w:val="17"/>
                <w:szCs w:val="17"/>
              </w:rPr>
              <w:t>③ 智能客服/答疑Agent</w:t>
            </w:r>
          </w:p>
        </w:tc>
        <w:tc>
          <w:tcPr>
            <w:tcW w:w="2080" w:type="dxa"/>
            <w:shd w:val="clear" w:color="auto" w:fill="FFFFFF"/>
            <w:tcMar>
              <w:top w:w="50" w:type="dxa"/>
              <w:left w:w="80" w:type="dxa"/>
              <w:bottom w:w="50" w:type="dxa"/>
              <w:right w:w="80" w:type="dxa"/>
            </w:tcMar>
          </w:tcPr>
          <w:p w14:paraId="70C2C32F">
            <w:pPr>
              <w:spacing w:line="252" w:lineRule="auto"/>
              <w:jc w:val="left"/>
            </w:pPr>
            <w:r>
              <w:rPr>
                <w:rFonts w:ascii="Arial" w:hAnsi="Arial" w:eastAsia="Arial" w:cs="Arial"/>
                <w:b w:val="0"/>
                <w:bCs w:val="0"/>
                <w:sz w:val="17"/>
                <w:szCs w:val="17"/>
              </w:rPr>
              <w:t>RAG问答</w:t>
            </w:r>
          </w:p>
        </w:tc>
        <w:tc>
          <w:tcPr>
            <w:tcW w:w="3744" w:type="dxa"/>
            <w:shd w:val="clear" w:color="auto" w:fill="FFFFFF"/>
            <w:tcMar>
              <w:top w:w="50" w:type="dxa"/>
              <w:left w:w="80" w:type="dxa"/>
              <w:bottom w:w="50" w:type="dxa"/>
              <w:right w:w="80" w:type="dxa"/>
            </w:tcMar>
          </w:tcPr>
          <w:p w14:paraId="74E752FF">
            <w:pPr>
              <w:spacing w:line="252" w:lineRule="auto"/>
              <w:jc w:val="left"/>
            </w:pPr>
            <w:r>
              <w:rPr>
                <w:rFonts w:ascii="Arial" w:hAnsi="Arial" w:eastAsia="Arial" w:cs="Arial"/>
                <w:b w:val="0"/>
                <w:bCs w:val="0"/>
                <w:sz w:val="17"/>
                <w:szCs w:val="17"/>
              </w:rPr>
              <w:t>7×24解答RFC/申报/开票问题</w:t>
            </w:r>
          </w:p>
        </w:tc>
        <w:tc>
          <w:tcPr>
            <w:tcW w:w="1248" w:type="dxa"/>
            <w:shd w:val="clear" w:color="auto" w:fill="FFEB9C"/>
            <w:tcMar>
              <w:top w:w="50" w:type="dxa"/>
              <w:left w:w="80" w:type="dxa"/>
              <w:bottom w:w="50" w:type="dxa"/>
              <w:right w:w="80" w:type="dxa"/>
            </w:tcMar>
          </w:tcPr>
          <w:p w14:paraId="1466559B">
            <w:pPr>
              <w:spacing w:line="252" w:lineRule="auto"/>
              <w:jc w:val="left"/>
            </w:pPr>
            <w:r>
              <w:rPr>
                <w:rFonts w:ascii="Arial" w:hAnsi="Arial" w:eastAsia="Arial" w:cs="Arial"/>
                <w:b w:val="0"/>
                <w:bCs w:val="0"/>
                <w:color w:val="000000"/>
                <w:sz w:val="17"/>
                <w:szCs w:val="17"/>
              </w:rPr>
              <w:t>中</w:t>
            </w:r>
          </w:p>
        </w:tc>
      </w:tr>
      <w:tr w14:paraId="3EB3DB4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2F2F2"/>
            <w:tcMar>
              <w:top w:w="50" w:type="dxa"/>
              <w:left w:w="80" w:type="dxa"/>
              <w:bottom w:w="50" w:type="dxa"/>
              <w:right w:w="80" w:type="dxa"/>
            </w:tcMar>
          </w:tcPr>
          <w:p w14:paraId="668CAC0C">
            <w:pPr>
              <w:spacing w:line="252" w:lineRule="auto"/>
              <w:jc w:val="left"/>
            </w:pPr>
            <w:r>
              <w:rPr>
                <w:rFonts w:ascii="Arial" w:hAnsi="Arial" w:eastAsia="Arial" w:cs="Arial"/>
                <w:b/>
                <w:bCs/>
                <w:color w:val="000000"/>
                <w:sz w:val="17"/>
                <w:szCs w:val="17"/>
              </w:rPr>
              <w:t>④ CFDI/发票核验</w:t>
            </w:r>
          </w:p>
        </w:tc>
        <w:tc>
          <w:tcPr>
            <w:tcW w:w="2080" w:type="dxa"/>
            <w:shd w:val="clear" w:color="auto" w:fill="F2F2F2"/>
            <w:tcMar>
              <w:top w:w="50" w:type="dxa"/>
              <w:left w:w="80" w:type="dxa"/>
              <w:bottom w:w="50" w:type="dxa"/>
              <w:right w:w="80" w:type="dxa"/>
            </w:tcMar>
          </w:tcPr>
          <w:p w14:paraId="70C44FB4">
            <w:pPr>
              <w:spacing w:line="252" w:lineRule="auto"/>
              <w:jc w:val="left"/>
            </w:pPr>
            <w:r>
              <w:rPr>
                <w:rFonts w:ascii="Arial" w:hAnsi="Arial" w:eastAsia="Arial" w:cs="Arial"/>
                <w:b w:val="0"/>
                <w:bCs w:val="0"/>
                <w:sz w:val="17"/>
                <w:szCs w:val="17"/>
              </w:rPr>
              <w:t>文档抽取+校验</w:t>
            </w:r>
          </w:p>
        </w:tc>
        <w:tc>
          <w:tcPr>
            <w:tcW w:w="3744" w:type="dxa"/>
            <w:shd w:val="clear" w:color="auto" w:fill="F2F2F2"/>
            <w:tcMar>
              <w:top w:w="50" w:type="dxa"/>
              <w:left w:w="80" w:type="dxa"/>
              <w:bottom w:w="50" w:type="dxa"/>
              <w:right w:w="80" w:type="dxa"/>
            </w:tcMar>
          </w:tcPr>
          <w:p w14:paraId="4FE3618E">
            <w:pPr>
              <w:spacing w:line="252" w:lineRule="auto"/>
              <w:jc w:val="left"/>
            </w:pPr>
            <w:r>
              <w:rPr>
                <w:rFonts w:ascii="Arial" w:hAnsi="Arial" w:eastAsia="Arial" w:cs="Arial"/>
                <w:b w:val="0"/>
                <w:bCs w:val="0"/>
                <w:sz w:val="17"/>
                <w:szCs w:val="17"/>
              </w:rPr>
              <w:t>开票前预校验，降低timbrar失败</w:t>
            </w:r>
          </w:p>
        </w:tc>
        <w:tc>
          <w:tcPr>
            <w:tcW w:w="1248" w:type="dxa"/>
            <w:shd w:val="clear" w:color="auto" w:fill="FFEB9C"/>
            <w:tcMar>
              <w:top w:w="50" w:type="dxa"/>
              <w:left w:w="80" w:type="dxa"/>
              <w:bottom w:w="50" w:type="dxa"/>
              <w:right w:w="80" w:type="dxa"/>
            </w:tcMar>
          </w:tcPr>
          <w:p w14:paraId="1790F413">
            <w:pPr>
              <w:spacing w:line="252" w:lineRule="auto"/>
              <w:jc w:val="left"/>
            </w:pPr>
            <w:r>
              <w:rPr>
                <w:rFonts w:ascii="Arial" w:hAnsi="Arial" w:eastAsia="Arial" w:cs="Arial"/>
                <w:b w:val="0"/>
                <w:bCs w:val="0"/>
                <w:color w:val="000000"/>
                <w:sz w:val="17"/>
                <w:szCs w:val="17"/>
              </w:rPr>
              <w:t>中</w:t>
            </w:r>
          </w:p>
        </w:tc>
      </w:tr>
      <w:tr w14:paraId="321BE1B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FFFFF"/>
            <w:tcMar>
              <w:top w:w="50" w:type="dxa"/>
              <w:left w:w="80" w:type="dxa"/>
              <w:bottom w:w="50" w:type="dxa"/>
              <w:right w:w="80" w:type="dxa"/>
            </w:tcMar>
          </w:tcPr>
          <w:p w14:paraId="0587193D">
            <w:pPr>
              <w:spacing w:line="252" w:lineRule="auto"/>
              <w:jc w:val="left"/>
            </w:pPr>
            <w:r>
              <w:rPr>
                <w:rFonts w:ascii="Arial" w:hAnsi="Arial" w:eastAsia="Arial" w:cs="Arial"/>
                <w:b/>
                <w:bCs/>
                <w:color w:val="000000"/>
                <w:sz w:val="17"/>
                <w:szCs w:val="17"/>
              </w:rPr>
              <w:t>⑤ 申报数据自动整理</w:t>
            </w:r>
          </w:p>
        </w:tc>
        <w:tc>
          <w:tcPr>
            <w:tcW w:w="2080" w:type="dxa"/>
            <w:shd w:val="clear" w:color="auto" w:fill="FFFFFF"/>
            <w:tcMar>
              <w:top w:w="50" w:type="dxa"/>
              <w:left w:w="80" w:type="dxa"/>
              <w:bottom w:w="50" w:type="dxa"/>
              <w:right w:w="80" w:type="dxa"/>
            </w:tcMar>
          </w:tcPr>
          <w:p w14:paraId="77C551D2">
            <w:pPr>
              <w:spacing w:line="252" w:lineRule="auto"/>
              <w:jc w:val="left"/>
            </w:pPr>
            <w:r>
              <w:rPr>
                <w:rFonts w:ascii="Arial" w:hAnsi="Arial" w:eastAsia="Arial" w:cs="Arial"/>
                <w:b w:val="0"/>
                <w:bCs w:val="0"/>
                <w:sz w:val="17"/>
                <w:szCs w:val="17"/>
              </w:rPr>
              <w:t>数据管道+校对</w:t>
            </w:r>
          </w:p>
        </w:tc>
        <w:tc>
          <w:tcPr>
            <w:tcW w:w="3744" w:type="dxa"/>
            <w:shd w:val="clear" w:color="auto" w:fill="FFFFFF"/>
            <w:tcMar>
              <w:top w:w="50" w:type="dxa"/>
              <w:left w:w="80" w:type="dxa"/>
              <w:bottom w:w="50" w:type="dxa"/>
              <w:right w:w="80" w:type="dxa"/>
            </w:tcMar>
          </w:tcPr>
          <w:p w14:paraId="5A36373F">
            <w:pPr>
              <w:spacing w:line="252" w:lineRule="auto"/>
              <w:jc w:val="left"/>
            </w:pPr>
            <w:r>
              <w:rPr>
                <w:rFonts w:ascii="Arial" w:hAnsi="Arial" w:eastAsia="Arial" w:cs="Arial"/>
                <w:b w:val="0"/>
                <w:bCs w:val="0"/>
                <w:sz w:val="17"/>
                <w:szCs w:val="17"/>
              </w:rPr>
              <w:t>月度申报提效，减少人工错误</w:t>
            </w:r>
          </w:p>
        </w:tc>
        <w:tc>
          <w:tcPr>
            <w:tcW w:w="1248" w:type="dxa"/>
            <w:shd w:val="clear" w:color="auto" w:fill="FFEB9C"/>
            <w:tcMar>
              <w:top w:w="50" w:type="dxa"/>
              <w:left w:w="80" w:type="dxa"/>
              <w:bottom w:w="50" w:type="dxa"/>
              <w:right w:w="80" w:type="dxa"/>
            </w:tcMar>
          </w:tcPr>
          <w:p w14:paraId="7B60DA42">
            <w:pPr>
              <w:spacing w:line="252" w:lineRule="auto"/>
              <w:jc w:val="left"/>
            </w:pPr>
            <w:r>
              <w:rPr>
                <w:rFonts w:ascii="Arial" w:hAnsi="Arial" w:eastAsia="Arial" w:cs="Arial"/>
                <w:b w:val="0"/>
                <w:bCs w:val="0"/>
                <w:color w:val="000000"/>
                <w:sz w:val="17"/>
                <w:szCs w:val="17"/>
              </w:rPr>
              <w:t>中高</w:t>
            </w:r>
          </w:p>
        </w:tc>
      </w:tr>
      <w:tr w14:paraId="6C245B5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2F2F2"/>
            <w:tcMar>
              <w:top w:w="50" w:type="dxa"/>
              <w:left w:w="80" w:type="dxa"/>
              <w:bottom w:w="50" w:type="dxa"/>
              <w:right w:w="80" w:type="dxa"/>
            </w:tcMar>
          </w:tcPr>
          <w:p w14:paraId="4BAC9394">
            <w:pPr>
              <w:spacing w:line="252" w:lineRule="auto"/>
              <w:jc w:val="left"/>
            </w:pPr>
            <w:r>
              <w:rPr>
                <w:rFonts w:ascii="Arial" w:hAnsi="Arial" w:eastAsia="Arial" w:cs="Arial"/>
                <w:b/>
                <w:bCs/>
                <w:color w:val="000000"/>
                <w:sz w:val="17"/>
                <w:szCs w:val="17"/>
              </w:rPr>
              <w:t>⑥ 合规健康分/预测</w:t>
            </w:r>
          </w:p>
        </w:tc>
        <w:tc>
          <w:tcPr>
            <w:tcW w:w="2080" w:type="dxa"/>
            <w:shd w:val="clear" w:color="auto" w:fill="F2F2F2"/>
            <w:tcMar>
              <w:top w:w="50" w:type="dxa"/>
              <w:left w:w="80" w:type="dxa"/>
              <w:bottom w:w="50" w:type="dxa"/>
              <w:right w:w="80" w:type="dxa"/>
            </w:tcMar>
          </w:tcPr>
          <w:p w14:paraId="041DA840">
            <w:pPr>
              <w:spacing w:line="252" w:lineRule="auto"/>
              <w:jc w:val="left"/>
            </w:pPr>
            <w:r>
              <w:rPr>
                <w:rFonts w:ascii="Arial" w:hAnsi="Arial" w:eastAsia="Arial" w:cs="Arial"/>
                <w:b w:val="0"/>
                <w:bCs w:val="0"/>
                <w:sz w:val="17"/>
                <w:szCs w:val="17"/>
              </w:rPr>
              <w:t>评分模型</w:t>
            </w:r>
          </w:p>
        </w:tc>
        <w:tc>
          <w:tcPr>
            <w:tcW w:w="3744" w:type="dxa"/>
            <w:shd w:val="clear" w:color="auto" w:fill="F2F2F2"/>
            <w:tcMar>
              <w:top w:w="50" w:type="dxa"/>
              <w:left w:w="80" w:type="dxa"/>
              <w:bottom w:w="50" w:type="dxa"/>
              <w:right w:w="80" w:type="dxa"/>
            </w:tcMar>
          </w:tcPr>
          <w:p w14:paraId="64549D94">
            <w:pPr>
              <w:spacing w:line="252" w:lineRule="auto"/>
              <w:jc w:val="left"/>
            </w:pPr>
            <w:r>
              <w:rPr>
                <w:rFonts w:ascii="Arial" w:hAnsi="Arial" w:eastAsia="Arial" w:cs="Arial"/>
                <w:b w:val="0"/>
                <w:bCs w:val="0"/>
                <w:sz w:val="17"/>
                <w:szCs w:val="17"/>
              </w:rPr>
              <w:t>预测验证/稽查风险，主动提醒</w:t>
            </w:r>
          </w:p>
        </w:tc>
        <w:tc>
          <w:tcPr>
            <w:tcW w:w="1248" w:type="dxa"/>
            <w:shd w:val="clear" w:color="auto" w:fill="FFC7CE"/>
            <w:tcMar>
              <w:top w:w="50" w:type="dxa"/>
              <w:left w:w="80" w:type="dxa"/>
              <w:bottom w:w="50" w:type="dxa"/>
              <w:right w:w="80" w:type="dxa"/>
            </w:tcMar>
          </w:tcPr>
          <w:p w14:paraId="26C7582A">
            <w:pPr>
              <w:spacing w:line="252" w:lineRule="auto"/>
              <w:jc w:val="left"/>
            </w:pPr>
            <w:r>
              <w:rPr>
                <w:rFonts w:ascii="Arial" w:hAnsi="Arial" w:eastAsia="Arial" w:cs="Arial"/>
                <w:b w:val="0"/>
                <w:bCs w:val="0"/>
                <w:color w:val="000000"/>
                <w:sz w:val="17"/>
                <w:szCs w:val="17"/>
              </w:rPr>
              <w:t>高</w:t>
            </w:r>
          </w:p>
        </w:tc>
      </w:tr>
    </w:tbl>
    <w:p w14:paraId="47C5A6D9">
      <w:pPr>
        <w:spacing w:before="40" w:after="160"/>
      </w:pPr>
      <w:r>
        <w:rPr>
          <w:rFonts w:ascii="Arial" w:hAnsi="Arial" w:eastAsia="Arial" w:cs="Arial"/>
          <w:i/>
          <w:iCs/>
          <w:color w:val="808080"/>
          <w:sz w:val="16"/>
          <w:szCs w:val="16"/>
        </w:rPr>
        <w:t>表 8-1：AI落地场景优先级。建议从①②快速见效的入手，逐步向⑤⑥壁垒型能力演进。</w:t>
      </w:r>
    </w:p>
    <w:p w14:paraId="19B91ABE">
      <w:pPr>
        <w:pStyle w:val="3"/>
        <w:spacing w:before="220" w:after="120"/>
      </w:pPr>
      <w:r>
        <w:rPr>
          <w:rFonts w:ascii="Arial" w:hAnsi="Arial" w:eastAsia="Arial" w:cs="Arial"/>
          <w:b/>
          <w:bCs/>
          <w:color w:val="2E5496"/>
          <w:sz w:val="25"/>
          <w:szCs w:val="25"/>
        </w:rPr>
        <w:t>8.3　与天机OS/智能体平台的结合</w:t>
      </w:r>
    </w:p>
    <w:p w14:paraId="78C34558">
      <w:pPr>
        <w:spacing w:after="140" w:line="288" w:lineRule="auto"/>
        <w:jc w:val="both"/>
      </w:pPr>
      <w:r>
        <w:rPr>
          <w:rFonts w:ascii="Arial" w:hAnsi="Arial" w:eastAsia="Arial" w:cs="Arial"/>
          <w:sz w:val="21"/>
          <w:szCs w:val="21"/>
        </w:rPr>
        <w:t>你的天机智能决策OS与智能体平台，可以把上述场景沉淀为可复用的产品模块：预扣模拟器、政策雷达、申报提醒、合规健康分。这带来三重效果：对内提升交付效率（毛利），对外做成客户自助工具（获客钩子 + 黏性），长期则可能独立成SaaS订阅收入（极高毛利 + 估值想象空间）。</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42069152">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1BC5A131">
            <w:pPr>
              <w:spacing w:after="60"/>
            </w:pPr>
            <w:r>
              <w:rPr>
                <w:rFonts w:ascii="Arial" w:hAnsi="Arial" w:eastAsia="Arial" w:cs="Arial"/>
                <w:b/>
                <w:bCs/>
                <w:color w:val="1F3864"/>
                <w:sz w:val="21"/>
                <w:szCs w:val="21"/>
              </w:rPr>
              <w:t>护城河逻辑</w:t>
            </w:r>
          </w:p>
          <w:p w14:paraId="36BCE414">
            <w:pPr>
              <w:spacing w:after="40" w:line="276" w:lineRule="auto"/>
            </w:pPr>
            <w:r>
              <w:rPr>
                <w:rFonts w:ascii="Arial" w:hAnsi="Arial" w:eastAsia="Arial" w:cs="Arial"/>
                <w:b/>
                <w:bCs/>
                <w:sz w:val="20"/>
                <w:szCs w:val="20"/>
              </w:rPr>
              <w:t>竞品要么懂税务不懂技术，要么懂物流/支付不懂财税产品化。‘税务专业 × 运营know-how × 全栈AI’三者交汇处，是竞品无法在短期内复制的位置——这正是你应该重仓投入的方向。</w:t>
            </w:r>
          </w:p>
        </w:tc>
      </w:tr>
    </w:tbl>
    <w:p w14:paraId="2AC06E5D">
      <w:pPr>
        <w:pStyle w:val="3"/>
        <w:spacing w:before="220" w:after="120"/>
      </w:pPr>
      <w:r>
        <w:rPr>
          <w:rFonts w:ascii="Arial" w:hAnsi="Arial" w:eastAsia="Arial" w:cs="Arial"/>
          <w:b/>
          <w:bCs/>
          <w:color w:val="2E5496"/>
          <w:sz w:val="25"/>
          <w:szCs w:val="25"/>
        </w:rPr>
        <w:t>8.4　落地注意事项</w:t>
      </w:r>
    </w:p>
    <w:p w14:paraId="5E9F7E07">
      <w:pPr>
        <w:pStyle w:val="16"/>
        <w:numPr>
          <w:ilvl w:val="0"/>
          <w:numId w:val="2"/>
        </w:numPr>
        <w:spacing w:after="70" w:line="276" w:lineRule="auto"/>
      </w:pPr>
      <w:r>
        <w:rPr>
          <w:rFonts w:ascii="Arial" w:hAnsi="Arial" w:eastAsia="Arial" w:cs="Arial"/>
          <w:sz w:val="21"/>
          <w:szCs w:val="21"/>
        </w:rPr>
        <w:t>AI做‘助手’不做‘最终裁决’：税务/法律结论须由持牌专业人士复核，AI输出标注置信度与来源。</w:t>
      </w:r>
    </w:p>
    <w:p w14:paraId="1B331C5D">
      <w:pPr>
        <w:pStyle w:val="16"/>
        <w:numPr>
          <w:ilvl w:val="0"/>
          <w:numId w:val="2"/>
        </w:numPr>
        <w:spacing w:after="70" w:line="276" w:lineRule="auto"/>
      </w:pPr>
      <w:r>
        <w:rPr>
          <w:rFonts w:ascii="Arial" w:hAnsi="Arial" w:eastAsia="Arial" w:cs="Arial"/>
          <w:sz w:val="21"/>
          <w:szCs w:val="21"/>
        </w:rPr>
        <w:t>数据合规：客户税务数据敏感，需符合墨西哥/中国数据与隐私要求，做好隔离与最小化。</w:t>
      </w:r>
    </w:p>
    <w:p w14:paraId="0FAE5846">
      <w:pPr>
        <w:pStyle w:val="16"/>
        <w:numPr>
          <w:ilvl w:val="0"/>
          <w:numId w:val="2"/>
        </w:numPr>
        <w:spacing w:after="70" w:line="276" w:lineRule="auto"/>
      </w:pPr>
      <w:r>
        <w:rPr>
          <w:rFonts w:ascii="Arial" w:hAnsi="Arial" w:eastAsia="Arial" w:cs="Arial"/>
          <w:sz w:val="21"/>
          <w:szCs w:val="21"/>
        </w:rPr>
        <w:t>幻觉控制：政策类问答必须RAG接真实来源、可溯源，避免编造条款误导客户。</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0600126">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205C1486">
            <w:pPr>
              <w:spacing w:after="60"/>
            </w:pPr>
            <w:r>
              <w:rPr>
                <w:rFonts w:ascii="Arial" w:hAnsi="Arial" w:eastAsia="Arial" w:cs="Arial"/>
                <w:b/>
                <w:bCs/>
                <w:color w:val="1F3864"/>
                <w:sz w:val="21"/>
                <w:szCs w:val="21"/>
              </w:rPr>
              <w:t>本章小结</w:t>
            </w:r>
          </w:p>
          <w:p w14:paraId="1F5D3C13">
            <w:pPr>
              <w:spacing w:after="40" w:line="276" w:lineRule="auto"/>
            </w:pPr>
            <w:r>
              <w:rPr>
                <w:rFonts w:ascii="Arial" w:hAnsi="Arial" w:eastAsia="Arial" w:cs="Arial"/>
                <w:b/>
                <w:bCs/>
                <w:sz w:val="20"/>
                <w:szCs w:val="20"/>
              </w:rPr>
              <w:t>AI不是噱头，而是这门生意规模化的关键路径。先用①②建立‘技术感知’的品牌印象与获客工具，再用④⑤⑥把专业工时转成算力、把服务转成产品——这是把你个人能力放大成公司壁垒的唯一可持续方式。</w:t>
            </w:r>
          </w:p>
        </w:tc>
      </w:tr>
    </w:tbl>
    <w:p w14:paraId="58F0B536">
      <w:pPr>
        <w:pStyle w:val="2"/>
        <w:pageBreakBefore/>
        <w:spacing w:before="240" w:after="160"/>
      </w:pPr>
      <w:r>
        <w:rPr>
          <w:rFonts w:ascii="Arial" w:hAnsi="Arial" w:eastAsia="Arial" w:cs="Arial"/>
          <w:b/>
          <w:bCs/>
          <w:color w:val="1F3864"/>
          <w:sz w:val="30"/>
          <w:szCs w:val="30"/>
        </w:rPr>
        <w:t>第九章　商业计划、产品矩阵与执行路线图</w:t>
      </w:r>
    </w:p>
    <w:p w14:paraId="6E068A74">
      <w:pPr>
        <w:spacing w:after="140" w:line="288" w:lineRule="auto"/>
        <w:jc w:val="both"/>
      </w:pPr>
      <w:r>
        <w:rPr>
          <w:rFonts w:ascii="Arial" w:hAnsi="Arial" w:eastAsia="Arial" w:cs="Arial"/>
          <w:sz w:val="21"/>
          <w:szCs w:val="21"/>
        </w:rPr>
        <w:t>最后落到行动。本章把前八章的判断收敛成一份可执行的战略：定位、产品矩阵、GTM、组织与分阶段路线图。</w:t>
      </w:r>
    </w:p>
    <w:p w14:paraId="2A89C0E3">
      <w:pPr>
        <w:pStyle w:val="3"/>
        <w:spacing w:before="220" w:after="120"/>
      </w:pPr>
      <w:r>
        <w:rPr>
          <w:rFonts w:ascii="Arial" w:hAnsi="Arial" w:eastAsia="Arial" w:cs="Arial"/>
          <w:b/>
          <w:bCs/>
          <w:color w:val="2E5496"/>
          <w:sz w:val="25"/>
          <w:szCs w:val="25"/>
        </w:rPr>
        <w:t>9.1　一句话战略定位</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F6D3F26">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5F1CA0A4">
            <w:pPr>
              <w:spacing w:after="40" w:line="276" w:lineRule="auto"/>
            </w:pPr>
            <w:r>
              <w:rPr>
                <w:rFonts w:ascii="Arial" w:hAnsi="Arial" w:eastAsia="Arial" w:cs="Arial"/>
                <w:b/>
                <w:bCs/>
                <w:color w:val="1F3864"/>
                <w:sz w:val="22"/>
                <w:szCs w:val="22"/>
              </w:rPr>
              <w:t>“为中国跨境卖家提供墨西哥市场的合规落地与增长闭环——以本地自持实体建立信任，以运营know-how打通闭环，以AI产品实现规模化。”</w:t>
            </w:r>
          </w:p>
        </w:tc>
      </w:tr>
    </w:tbl>
    <w:p w14:paraId="281D5257">
      <w:pPr>
        <w:pStyle w:val="3"/>
        <w:spacing w:before="220" w:after="120"/>
      </w:pPr>
      <w:r>
        <w:rPr>
          <w:rFonts w:ascii="Arial" w:hAnsi="Arial" w:eastAsia="Arial" w:cs="Arial"/>
          <w:b/>
          <w:bCs/>
          <w:color w:val="2E5496"/>
          <w:sz w:val="25"/>
          <w:szCs w:val="25"/>
        </w:rPr>
        <w:t>9.2　产品矩阵</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567"/>
        <w:gridCol w:w="2939"/>
        <w:gridCol w:w="1764"/>
        <w:gridCol w:w="1764"/>
        <w:gridCol w:w="1764"/>
      </w:tblGrid>
      <w:tr w14:paraId="763D663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498" w:type="dxa"/>
            <w:shd w:val="clear" w:color="auto" w:fill="1F3864"/>
            <w:tcMar>
              <w:top w:w="60" w:type="dxa"/>
              <w:left w:w="80" w:type="dxa"/>
              <w:bottom w:w="60" w:type="dxa"/>
              <w:right w:w="80" w:type="dxa"/>
            </w:tcMar>
          </w:tcPr>
          <w:p w14:paraId="2C5DFD04">
            <w:pPr>
              <w:jc w:val="center"/>
            </w:pPr>
            <w:r>
              <w:rPr>
                <w:rFonts w:ascii="Arial" w:hAnsi="Arial" w:eastAsia="Arial" w:cs="Arial"/>
                <w:b/>
                <w:bCs/>
                <w:color w:val="FFFFFF"/>
                <w:sz w:val="18"/>
                <w:szCs w:val="18"/>
              </w:rPr>
              <w:t>产品线</w:t>
            </w:r>
          </w:p>
        </w:tc>
        <w:tc>
          <w:tcPr>
            <w:tcW w:w="2808" w:type="dxa"/>
            <w:shd w:val="clear" w:color="auto" w:fill="1F3864"/>
            <w:tcMar>
              <w:top w:w="60" w:type="dxa"/>
              <w:left w:w="80" w:type="dxa"/>
              <w:bottom w:w="60" w:type="dxa"/>
              <w:right w:w="80" w:type="dxa"/>
            </w:tcMar>
          </w:tcPr>
          <w:p w14:paraId="34130D27">
            <w:pPr>
              <w:jc w:val="center"/>
            </w:pPr>
            <w:r>
              <w:rPr>
                <w:rFonts w:ascii="Arial" w:hAnsi="Arial" w:eastAsia="Arial" w:cs="Arial"/>
                <w:b/>
                <w:bCs/>
                <w:color w:val="FFFFFF"/>
                <w:sz w:val="18"/>
                <w:szCs w:val="18"/>
              </w:rPr>
              <w:t>包含</w:t>
            </w:r>
          </w:p>
        </w:tc>
        <w:tc>
          <w:tcPr>
            <w:tcW w:w="1685" w:type="dxa"/>
            <w:shd w:val="clear" w:color="auto" w:fill="1F3864"/>
            <w:tcMar>
              <w:top w:w="60" w:type="dxa"/>
              <w:left w:w="80" w:type="dxa"/>
              <w:bottom w:w="60" w:type="dxa"/>
              <w:right w:w="80" w:type="dxa"/>
            </w:tcMar>
          </w:tcPr>
          <w:p w14:paraId="65C4E0AC">
            <w:pPr>
              <w:jc w:val="center"/>
            </w:pPr>
            <w:r>
              <w:rPr>
                <w:rFonts w:ascii="Arial" w:hAnsi="Arial" w:eastAsia="Arial" w:cs="Arial"/>
                <w:b/>
                <w:bCs/>
                <w:color w:val="FFFFFF"/>
                <w:sz w:val="18"/>
                <w:szCs w:val="18"/>
              </w:rPr>
              <w:t>目标客户</w:t>
            </w:r>
          </w:p>
        </w:tc>
        <w:tc>
          <w:tcPr>
            <w:tcW w:w="1685" w:type="dxa"/>
            <w:shd w:val="clear" w:color="auto" w:fill="1F3864"/>
            <w:tcMar>
              <w:top w:w="60" w:type="dxa"/>
              <w:left w:w="80" w:type="dxa"/>
              <w:bottom w:w="60" w:type="dxa"/>
              <w:right w:w="80" w:type="dxa"/>
            </w:tcMar>
          </w:tcPr>
          <w:p w14:paraId="4E2A79D7">
            <w:pPr>
              <w:jc w:val="center"/>
            </w:pPr>
            <w:r>
              <w:rPr>
                <w:rFonts w:ascii="Arial" w:hAnsi="Arial" w:eastAsia="Arial" w:cs="Arial"/>
                <w:b/>
                <w:bCs/>
                <w:color w:val="FFFFFF"/>
                <w:sz w:val="18"/>
                <w:szCs w:val="18"/>
              </w:rPr>
              <w:t>定价逻辑</w:t>
            </w:r>
          </w:p>
        </w:tc>
        <w:tc>
          <w:tcPr>
            <w:tcW w:w="1685" w:type="dxa"/>
            <w:shd w:val="clear" w:color="auto" w:fill="1F3864"/>
            <w:tcMar>
              <w:top w:w="60" w:type="dxa"/>
              <w:left w:w="80" w:type="dxa"/>
              <w:bottom w:w="60" w:type="dxa"/>
              <w:right w:w="80" w:type="dxa"/>
            </w:tcMar>
          </w:tcPr>
          <w:p w14:paraId="48FF61A5">
            <w:pPr>
              <w:jc w:val="center"/>
            </w:pPr>
            <w:r>
              <w:rPr>
                <w:rFonts w:ascii="Arial" w:hAnsi="Arial" w:eastAsia="Arial" w:cs="Arial"/>
                <w:b/>
                <w:bCs/>
                <w:color w:val="FFFFFF"/>
                <w:sz w:val="18"/>
                <w:szCs w:val="18"/>
              </w:rPr>
              <w:t>角色</w:t>
            </w:r>
          </w:p>
        </w:tc>
      </w:tr>
      <w:tr w14:paraId="5B0A3B2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79662146">
            <w:pPr>
              <w:spacing w:line="252" w:lineRule="auto"/>
              <w:jc w:val="left"/>
            </w:pPr>
            <w:r>
              <w:rPr>
                <w:rFonts w:ascii="Arial" w:hAnsi="Arial" w:eastAsia="Arial" w:cs="Arial"/>
                <w:b/>
                <w:bCs/>
                <w:color w:val="000000"/>
                <w:sz w:val="16"/>
                <w:szCs w:val="16"/>
              </w:rPr>
              <w:t>① 合规落地</w:t>
            </w:r>
          </w:p>
        </w:tc>
        <w:tc>
          <w:tcPr>
            <w:tcW w:w="2808" w:type="dxa"/>
            <w:shd w:val="clear" w:color="auto" w:fill="FFFFFF"/>
            <w:tcMar>
              <w:top w:w="50" w:type="dxa"/>
              <w:left w:w="80" w:type="dxa"/>
              <w:bottom w:w="50" w:type="dxa"/>
              <w:right w:w="80" w:type="dxa"/>
            </w:tcMar>
          </w:tcPr>
          <w:p w14:paraId="1511E4EF">
            <w:pPr>
              <w:spacing w:line="252" w:lineRule="auto"/>
              <w:jc w:val="left"/>
            </w:pPr>
            <w:r>
              <w:rPr>
                <w:rFonts w:ascii="Arial" w:hAnsi="Arial" w:eastAsia="Arial" w:cs="Arial"/>
                <w:b w:val="0"/>
                <w:bCs w:val="0"/>
                <w:sz w:val="16"/>
                <w:szCs w:val="16"/>
              </w:rPr>
              <w:t>SA注册、RFC、开店入驻、e.firma</w:t>
            </w:r>
          </w:p>
        </w:tc>
        <w:tc>
          <w:tcPr>
            <w:tcW w:w="1685" w:type="dxa"/>
            <w:shd w:val="clear" w:color="auto" w:fill="FFFFFF"/>
            <w:tcMar>
              <w:top w:w="50" w:type="dxa"/>
              <w:left w:w="80" w:type="dxa"/>
              <w:bottom w:w="50" w:type="dxa"/>
              <w:right w:w="80" w:type="dxa"/>
            </w:tcMar>
          </w:tcPr>
          <w:p w14:paraId="6248876C">
            <w:pPr>
              <w:spacing w:line="252" w:lineRule="auto"/>
              <w:jc w:val="left"/>
            </w:pPr>
            <w:r>
              <w:rPr>
                <w:rFonts w:ascii="Arial" w:hAnsi="Arial" w:eastAsia="Arial" w:cs="Arial"/>
                <w:b w:val="0"/>
                <w:bCs w:val="0"/>
                <w:sz w:val="16"/>
                <w:szCs w:val="16"/>
              </w:rPr>
              <w:t>新入局/待合规</w:t>
            </w:r>
          </w:p>
        </w:tc>
        <w:tc>
          <w:tcPr>
            <w:tcW w:w="1685" w:type="dxa"/>
            <w:shd w:val="clear" w:color="auto" w:fill="FFFFFF"/>
            <w:tcMar>
              <w:top w:w="50" w:type="dxa"/>
              <w:left w:w="80" w:type="dxa"/>
              <w:bottom w:w="50" w:type="dxa"/>
              <w:right w:w="80" w:type="dxa"/>
            </w:tcMar>
          </w:tcPr>
          <w:p w14:paraId="1377C11E">
            <w:pPr>
              <w:spacing w:line="252" w:lineRule="auto"/>
              <w:jc w:val="left"/>
            </w:pPr>
            <w:r>
              <w:rPr>
                <w:rFonts w:ascii="Arial" w:hAnsi="Arial" w:eastAsia="Arial" w:cs="Arial"/>
                <w:b w:val="0"/>
                <w:bCs w:val="0"/>
                <w:sz w:val="16"/>
                <w:szCs w:val="16"/>
              </w:rPr>
              <w:t>项目费(钩子)</w:t>
            </w:r>
          </w:p>
        </w:tc>
        <w:tc>
          <w:tcPr>
            <w:tcW w:w="1685" w:type="dxa"/>
            <w:shd w:val="clear" w:color="auto" w:fill="FFFFFF"/>
            <w:tcMar>
              <w:top w:w="50" w:type="dxa"/>
              <w:left w:w="80" w:type="dxa"/>
              <w:bottom w:w="50" w:type="dxa"/>
              <w:right w:w="80" w:type="dxa"/>
            </w:tcMar>
          </w:tcPr>
          <w:p w14:paraId="3AABD6E5">
            <w:pPr>
              <w:spacing w:line="252" w:lineRule="auto"/>
              <w:jc w:val="left"/>
            </w:pPr>
            <w:r>
              <w:rPr>
                <w:rFonts w:ascii="Arial" w:hAnsi="Arial" w:eastAsia="Arial" w:cs="Arial"/>
                <w:b w:val="0"/>
                <w:bCs w:val="0"/>
                <w:sz w:val="16"/>
                <w:szCs w:val="16"/>
              </w:rPr>
              <w:t>获客</w:t>
            </w:r>
          </w:p>
        </w:tc>
      </w:tr>
      <w:tr w14:paraId="49D6EA9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779B0BC8">
            <w:pPr>
              <w:spacing w:line="252" w:lineRule="auto"/>
              <w:jc w:val="left"/>
            </w:pPr>
            <w:r>
              <w:rPr>
                <w:rFonts w:ascii="Arial" w:hAnsi="Arial" w:eastAsia="Arial" w:cs="Arial"/>
                <w:b/>
                <w:bCs/>
                <w:color w:val="000000"/>
                <w:sz w:val="16"/>
                <w:szCs w:val="16"/>
              </w:rPr>
              <w:t>② 合规托管 (核心)</w:t>
            </w:r>
          </w:p>
        </w:tc>
        <w:tc>
          <w:tcPr>
            <w:tcW w:w="2808" w:type="dxa"/>
            <w:shd w:val="clear" w:color="auto" w:fill="F2F2F2"/>
            <w:tcMar>
              <w:top w:w="50" w:type="dxa"/>
              <w:left w:w="80" w:type="dxa"/>
              <w:bottom w:w="50" w:type="dxa"/>
              <w:right w:w="80" w:type="dxa"/>
            </w:tcMar>
          </w:tcPr>
          <w:p w14:paraId="766ECBCF">
            <w:pPr>
              <w:spacing w:line="252" w:lineRule="auto"/>
              <w:jc w:val="left"/>
            </w:pPr>
            <w:r>
              <w:rPr>
                <w:rFonts w:ascii="Arial" w:hAnsi="Arial" w:eastAsia="Arial" w:cs="Arial"/>
                <w:b w:val="0"/>
                <w:bCs w:val="0"/>
                <w:sz w:val="16"/>
                <w:szCs w:val="16"/>
              </w:rPr>
              <w:t>月度/年度申报、CFDI、本地收款、验证维护</w:t>
            </w:r>
          </w:p>
        </w:tc>
        <w:tc>
          <w:tcPr>
            <w:tcW w:w="1685" w:type="dxa"/>
            <w:shd w:val="clear" w:color="auto" w:fill="F2F2F2"/>
            <w:tcMar>
              <w:top w:w="50" w:type="dxa"/>
              <w:left w:w="80" w:type="dxa"/>
              <w:bottom w:w="50" w:type="dxa"/>
              <w:right w:w="80" w:type="dxa"/>
            </w:tcMar>
          </w:tcPr>
          <w:p w14:paraId="6F60F7C6">
            <w:pPr>
              <w:spacing w:line="252" w:lineRule="auto"/>
              <w:jc w:val="left"/>
            </w:pPr>
            <w:r>
              <w:rPr>
                <w:rFonts w:ascii="Arial" w:hAnsi="Arial" w:eastAsia="Arial" w:cs="Arial"/>
                <w:b w:val="0"/>
                <w:bCs w:val="0"/>
                <w:sz w:val="16"/>
                <w:szCs w:val="16"/>
              </w:rPr>
              <w:t>全部本土主体客户</w:t>
            </w:r>
          </w:p>
        </w:tc>
        <w:tc>
          <w:tcPr>
            <w:tcW w:w="1685" w:type="dxa"/>
            <w:shd w:val="clear" w:color="auto" w:fill="F2F2F2"/>
            <w:tcMar>
              <w:top w:w="50" w:type="dxa"/>
              <w:left w:w="80" w:type="dxa"/>
              <w:bottom w:w="50" w:type="dxa"/>
              <w:right w:w="80" w:type="dxa"/>
            </w:tcMar>
          </w:tcPr>
          <w:p w14:paraId="7440F39C">
            <w:pPr>
              <w:spacing w:line="252" w:lineRule="auto"/>
              <w:jc w:val="left"/>
            </w:pPr>
            <w:r>
              <w:rPr>
                <w:rFonts w:ascii="Arial" w:hAnsi="Arial" w:eastAsia="Arial" w:cs="Arial"/>
                <w:b w:val="0"/>
                <w:bCs w:val="0"/>
                <w:sz w:val="16"/>
                <w:szCs w:val="16"/>
              </w:rPr>
              <w:t>月费/年费订阅</w:t>
            </w:r>
          </w:p>
        </w:tc>
        <w:tc>
          <w:tcPr>
            <w:tcW w:w="1685" w:type="dxa"/>
            <w:shd w:val="clear" w:color="auto" w:fill="F2F2F2"/>
            <w:tcMar>
              <w:top w:w="50" w:type="dxa"/>
              <w:left w:w="80" w:type="dxa"/>
              <w:bottom w:w="50" w:type="dxa"/>
              <w:right w:w="80" w:type="dxa"/>
            </w:tcMar>
          </w:tcPr>
          <w:p w14:paraId="5D0D3ADF">
            <w:pPr>
              <w:spacing w:line="252" w:lineRule="auto"/>
              <w:jc w:val="left"/>
            </w:pPr>
            <w:r>
              <w:rPr>
                <w:rFonts w:ascii="Arial" w:hAnsi="Arial" w:eastAsia="Arial" w:cs="Arial"/>
                <w:b w:val="0"/>
                <w:bCs w:val="0"/>
                <w:sz w:val="16"/>
                <w:szCs w:val="16"/>
              </w:rPr>
              <w:t>现金流+黏性</w:t>
            </w:r>
          </w:p>
        </w:tc>
      </w:tr>
      <w:tr w14:paraId="320967E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431051EE">
            <w:pPr>
              <w:spacing w:line="252" w:lineRule="auto"/>
              <w:jc w:val="left"/>
            </w:pPr>
            <w:r>
              <w:rPr>
                <w:rFonts w:ascii="Arial" w:hAnsi="Arial" w:eastAsia="Arial" w:cs="Arial"/>
                <w:b/>
                <w:bCs/>
                <w:color w:val="000000"/>
                <w:sz w:val="16"/>
                <w:szCs w:val="16"/>
              </w:rPr>
              <w:t>③ 增长运营</w:t>
            </w:r>
          </w:p>
        </w:tc>
        <w:tc>
          <w:tcPr>
            <w:tcW w:w="2808" w:type="dxa"/>
            <w:shd w:val="clear" w:color="auto" w:fill="FFFFFF"/>
            <w:tcMar>
              <w:top w:w="50" w:type="dxa"/>
              <w:left w:w="80" w:type="dxa"/>
              <w:bottom w:w="50" w:type="dxa"/>
              <w:right w:w="80" w:type="dxa"/>
            </w:tcMar>
          </w:tcPr>
          <w:p w14:paraId="5AB3E0D7">
            <w:pPr>
              <w:spacing w:line="252" w:lineRule="auto"/>
              <w:jc w:val="left"/>
            </w:pPr>
            <w:r>
              <w:rPr>
                <w:rFonts w:ascii="Arial" w:hAnsi="Arial" w:eastAsia="Arial" w:cs="Arial"/>
                <w:b w:val="0"/>
                <w:bCs w:val="0"/>
                <w:sz w:val="16"/>
                <w:szCs w:val="16"/>
              </w:rPr>
              <w:t>代运营、Mercado Ads、TikTok内容/达人</w:t>
            </w:r>
          </w:p>
        </w:tc>
        <w:tc>
          <w:tcPr>
            <w:tcW w:w="1685" w:type="dxa"/>
            <w:shd w:val="clear" w:color="auto" w:fill="FFFFFF"/>
            <w:tcMar>
              <w:top w:w="50" w:type="dxa"/>
              <w:left w:w="80" w:type="dxa"/>
              <w:bottom w:w="50" w:type="dxa"/>
              <w:right w:w="80" w:type="dxa"/>
            </w:tcMar>
          </w:tcPr>
          <w:p w14:paraId="0BA1EF99">
            <w:pPr>
              <w:spacing w:line="252" w:lineRule="auto"/>
              <w:jc w:val="left"/>
            </w:pPr>
            <w:r>
              <w:rPr>
                <w:rFonts w:ascii="Arial" w:hAnsi="Arial" w:eastAsia="Arial" w:cs="Arial"/>
                <w:b w:val="0"/>
                <w:bCs w:val="0"/>
                <w:sz w:val="16"/>
                <w:szCs w:val="16"/>
              </w:rPr>
              <w:t>缺运营能力的卖家</w:t>
            </w:r>
          </w:p>
        </w:tc>
        <w:tc>
          <w:tcPr>
            <w:tcW w:w="1685" w:type="dxa"/>
            <w:shd w:val="clear" w:color="auto" w:fill="FFFFFF"/>
            <w:tcMar>
              <w:top w:w="50" w:type="dxa"/>
              <w:left w:w="80" w:type="dxa"/>
              <w:bottom w:w="50" w:type="dxa"/>
              <w:right w:w="80" w:type="dxa"/>
            </w:tcMar>
          </w:tcPr>
          <w:p w14:paraId="551A2BB8">
            <w:pPr>
              <w:spacing w:line="252" w:lineRule="auto"/>
              <w:jc w:val="left"/>
            </w:pPr>
            <w:r>
              <w:rPr>
                <w:rFonts w:ascii="Arial" w:hAnsi="Arial" w:eastAsia="Arial" w:cs="Arial"/>
                <w:b w:val="0"/>
                <w:bCs w:val="0"/>
                <w:sz w:val="16"/>
                <w:szCs w:val="16"/>
              </w:rPr>
              <w:t>月费+提点</w:t>
            </w:r>
          </w:p>
        </w:tc>
        <w:tc>
          <w:tcPr>
            <w:tcW w:w="1685" w:type="dxa"/>
            <w:shd w:val="clear" w:color="auto" w:fill="FFFFFF"/>
            <w:tcMar>
              <w:top w:w="50" w:type="dxa"/>
              <w:left w:w="80" w:type="dxa"/>
              <w:bottom w:w="50" w:type="dxa"/>
              <w:right w:w="80" w:type="dxa"/>
            </w:tcMar>
          </w:tcPr>
          <w:p w14:paraId="3FC367FA">
            <w:pPr>
              <w:spacing w:line="252" w:lineRule="auto"/>
              <w:jc w:val="left"/>
            </w:pPr>
            <w:r>
              <w:rPr>
                <w:rFonts w:ascii="Arial" w:hAnsi="Arial" w:eastAsia="Arial" w:cs="Arial"/>
                <w:b w:val="0"/>
                <w:bCs w:val="0"/>
                <w:sz w:val="16"/>
                <w:szCs w:val="16"/>
              </w:rPr>
              <w:t>客单放大</w:t>
            </w:r>
          </w:p>
        </w:tc>
      </w:tr>
      <w:tr w14:paraId="028C7E7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5055D184">
            <w:pPr>
              <w:spacing w:line="252" w:lineRule="auto"/>
              <w:jc w:val="left"/>
            </w:pPr>
            <w:r>
              <w:rPr>
                <w:rFonts w:ascii="Arial" w:hAnsi="Arial" w:eastAsia="Arial" w:cs="Arial"/>
                <w:b/>
                <w:bCs/>
                <w:color w:val="000000"/>
                <w:sz w:val="16"/>
                <w:szCs w:val="16"/>
              </w:rPr>
              <w:t>④ 架构咨询</w:t>
            </w:r>
          </w:p>
        </w:tc>
        <w:tc>
          <w:tcPr>
            <w:tcW w:w="2808" w:type="dxa"/>
            <w:shd w:val="clear" w:color="auto" w:fill="F2F2F2"/>
            <w:tcMar>
              <w:top w:w="50" w:type="dxa"/>
              <w:left w:w="80" w:type="dxa"/>
              <w:bottom w:w="50" w:type="dxa"/>
              <w:right w:w="80" w:type="dxa"/>
            </w:tcMar>
          </w:tcPr>
          <w:p w14:paraId="36224E6B">
            <w:pPr>
              <w:spacing w:line="252" w:lineRule="auto"/>
              <w:jc w:val="left"/>
            </w:pPr>
            <w:r>
              <w:rPr>
                <w:rFonts w:ascii="Arial" w:hAnsi="Arial" w:eastAsia="Arial" w:cs="Arial"/>
                <w:b w:val="0"/>
                <w:bCs w:val="0"/>
                <w:sz w:val="16"/>
                <w:szCs w:val="16"/>
              </w:rPr>
              <w:t>多主体税务架构、稽查/疑难应对</w:t>
            </w:r>
          </w:p>
        </w:tc>
        <w:tc>
          <w:tcPr>
            <w:tcW w:w="1685" w:type="dxa"/>
            <w:shd w:val="clear" w:color="auto" w:fill="F2F2F2"/>
            <w:tcMar>
              <w:top w:w="50" w:type="dxa"/>
              <w:left w:w="80" w:type="dxa"/>
              <w:bottom w:w="50" w:type="dxa"/>
              <w:right w:w="80" w:type="dxa"/>
            </w:tcMar>
          </w:tcPr>
          <w:p w14:paraId="6F3BEDE4">
            <w:pPr>
              <w:spacing w:line="252" w:lineRule="auto"/>
              <w:jc w:val="left"/>
            </w:pPr>
            <w:r>
              <w:rPr>
                <w:rFonts w:ascii="Arial" w:hAnsi="Arial" w:eastAsia="Arial" w:cs="Arial"/>
                <w:b w:val="0"/>
                <w:bCs w:val="0"/>
                <w:sz w:val="16"/>
                <w:szCs w:val="16"/>
              </w:rPr>
              <w:t>成熟大卖</w:t>
            </w:r>
          </w:p>
        </w:tc>
        <w:tc>
          <w:tcPr>
            <w:tcW w:w="1685" w:type="dxa"/>
            <w:shd w:val="clear" w:color="auto" w:fill="F2F2F2"/>
            <w:tcMar>
              <w:top w:w="50" w:type="dxa"/>
              <w:left w:w="80" w:type="dxa"/>
              <w:bottom w:w="50" w:type="dxa"/>
              <w:right w:w="80" w:type="dxa"/>
            </w:tcMar>
          </w:tcPr>
          <w:p w14:paraId="699E3FF1">
            <w:pPr>
              <w:spacing w:line="252" w:lineRule="auto"/>
              <w:jc w:val="left"/>
            </w:pPr>
            <w:r>
              <w:rPr>
                <w:rFonts w:ascii="Arial" w:hAnsi="Arial" w:eastAsia="Arial" w:cs="Arial"/>
                <w:b w:val="0"/>
                <w:bCs w:val="0"/>
                <w:sz w:val="16"/>
                <w:szCs w:val="16"/>
              </w:rPr>
              <w:t>咨询费</w:t>
            </w:r>
          </w:p>
        </w:tc>
        <w:tc>
          <w:tcPr>
            <w:tcW w:w="1685" w:type="dxa"/>
            <w:shd w:val="clear" w:color="auto" w:fill="F2F2F2"/>
            <w:tcMar>
              <w:top w:w="50" w:type="dxa"/>
              <w:left w:w="80" w:type="dxa"/>
              <w:bottom w:w="50" w:type="dxa"/>
              <w:right w:w="80" w:type="dxa"/>
            </w:tcMar>
          </w:tcPr>
          <w:p w14:paraId="0E0D4535">
            <w:pPr>
              <w:spacing w:line="252" w:lineRule="auto"/>
              <w:jc w:val="left"/>
            </w:pPr>
            <w:r>
              <w:rPr>
                <w:rFonts w:ascii="Arial" w:hAnsi="Arial" w:eastAsia="Arial" w:cs="Arial"/>
                <w:b w:val="0"/>
                <w:bCs w:val="0"/>
                <w:sz w:val="16"/>
                <w:szCs w:val="16"/>
              </w:rPr>
              <w:t>专业溢价</w:t>
            </w:r>
          </w:p>
        </w:tc>
      </w:tr>
      <w:tr w14:paraId="48A02144">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7E1CA0D9">
            <w:pPr>
              <w:spacing w:line="252" w:lineRule="auto"/>
              <w:jc w:val="left"/>
            </w:pPr>
            <w:r>
              <w:rPr>
                <w:rFonts w:ascii="Arial" w:hAnsi="Arial" w:eastAsia="Arial" w:cs="Arial"/>
                <w:b/>
                <w:bCs/>
                <w:color w:val="000000"/>
                <w:sz w:val="16"/>
                <w:szCs w:val="16"/>
              </w:rPr>
              <w:t>⑤ 天机OS产品</w:t>
            </w:r>
          </w:p>
        </w:tc>
        <w:tc>
          <w:tcPr>
            <w:tcW w:w="2808" w:type="dxa"/>
            <w:shd w:val="clear" w:color="auto" w:fill="FFFFFF"/>
            <w:tcMar>
              <w:top w:w="50" w:type="dxa"/>
              <w:left w:w="80" w:type="dxa"/>
              <w:bottom w:w="50" w:type="dxa"/>
              <w:right w:w="80" w:type="dxa"/>
            </w:tcMar>
          </w:tcPr>
          <w:p w14:paraId="5324C66D">
            <w:pPr>
              <w:spacing w:line="252" w:lineRule="auto"/>
              <w:jc w:val="left"/>
            </w:pPr>
            <w:r>
              <w:rPr>
                <w:rFonts w:ascii="Arial" w:hAnsi="Arial" w:eastAsia="Arial" w:cs="Arial"/>
                <w:b w:val="0"/>
                <w:bCs w:val="0"/>
                <w:sz w:val="16"/>
                <w:szCs w:val="16"/>
              </w:rPr>
              <w:t>预扣测算、政策雷达、申报提醒、健康分</w:t>
            </w:r>
          </w:p>
        </w:tc>
        <w:tc>
          <w:tcPr>
            <w:tcW w:w="1685" w:type="dxa"/>
            <w:shd w:val="clear" w:color="auto" w:fill="FFFFFF"/>
            <w:tcMar>
              <w:top w:w="50" w:type="dxa"/>
              <w:left w:w="80" w:type="dxa"/>
              <w:bottom w:w="50" w:type="dxa"/>
              <w:right w:w="80" w:type="dxa"/>
            </w:tcMar>
          </w:tcPr>
          <w:p w14:paraId="5B7BEE65">
            <w:pPr>
              <w:spacing w:line="252" w:lineRule="auto"/>
              <w:jc w:val="left"/>
            </w:pPr>
            <w:r>
              <w:rPr>
                <w:rFonts w:ascii="Arial" w:hAnsi="Arial" w:eastAsia="Arial" w:cs="Arial"/>
                <w:b w:val="0"/>
                <w:bCs w:val="0"/>
                <w:sz w:val="16"/>
                <w:szCs w:val="16"/>
              </w:rPr>
              <w:t>全体+外部</w:t>
            </w:r>
          </w:p>
        </w:tc>
        <w:tc>
          <w:tcPr>
            <w:tcW w:w="1685" w:type="dxa"/>
            <w:shd w:val="clear" w:color="auto" w:fill="FFFFFF"/>
            <w:tcMar>
              <w:top w:w="50" w:type="dxa"/>
              <w:left w:w="80" w:type="dxa"/>
              <w:bottom w:w="50" w:type="dxa"/>
              <w:right w:w="80" w:type="dxa"/>
            </w:tcMar>
          </w:tcPr>
          <w:p w14:paraId="16FA6B44">
            <w:pPr>
              <w:spacing w:line="252" w:lineRule="auto"/>
              <w:jc w:val="left"/>
            </w:pPr>
            <w:r>
              <w:rPr>
                <w:rFonts w:ascii="Arial" w:hAnsi="Arial" w:eastAsia="Arial" w:cs="Arial"/>
                <w:b w:val="0"/>
                <w:bCs w:val="0"/>
                <w:sz w:val="16"/>
                <w:szCs w:val="16"/>
              </w:rPr>
              <w:t>SaaS订阅</w:t>
            </w:r>
          </w:p>
        </w:tc>
        <w:tc>
          <w:tcPr>
            <w:tcW w:w="1685" w:type="dxa"/>
            <w:shd w:val="clear" w:color="auto" w:fill="FFFFFF"/>
            <w:tcMar>
              <w:top w:w="50" w:type="dxa"/>
              <w:left w:w="80" w:type="dxa"/>
              <w:bottom w:w="50" w:type="dxa"/>
              <w:right w:w="80" w:type="dxa"/>
            </w:tcMar>
          </w:tcPr>
          <w:p w14:paraId="7933B8F8">
            <w:pPr>
              <w:spacing w:line="252" w:lineRule="auto"/>
              <w:jc w:val="left"/>
            </w:pPr>
            <w:r>
              <w:rPr>
                <w:rFonts w:ascii="Arial" w:hAnsi="Arial" w:eastAsia="Arial" w:cs="Arial"/>
                <w:b w:val="0"/>
                <w:bCs w:val="0"/>
                <w:sz w:val="16"/>
                <w:szCs w:val="16"/>
              </w:rPr>
              <w:t>规模化壁垒</w:t>
            </w:r>
          </w:p>
        </w:tc>
      </w:tr>
    </w:tbl>
    <w:p w14:paraId="3B4E2B54">
      <w:pPr>
        <w:spacing w:before="40" w:after="160"/>
      </w:pPr>
      <w:r>
        <w:rPr>
          <w:rFonts w:ascii="Arial" w:hAnsi="Arial" w:eastAsia="Arial" w:cs="Arial"/>
          <w:i/>
          <w:iCs/>
          <w:color w:val="808080"/>
          <w:sz w:val="16"/>
          <w:szCs w:val="16"/>
        </w:rPr>
        <w:t>表 9-1：五条产品线。①做钩子、②做复利、③放大客单、④做溢价、⑤做壁垒。</w:t>
      </w:r>
    </w:p>
    <w:p w14:paraId="2D496AE0">
      <w:pPr>
        <w:pStyle w:val="3"/>
        <w:spacing w:before="220" w:after="120"/>
      </w:pPr>
      <w:r>
        <w:rPr>
          <w:rFonts w:ascii="Arial" w:hAnsi="Arial" w:eastAsia="Arial" w:cs="Arial"/>
          <w:b/>
          <w:bCs/>
          <w:color w:val="2E5496"/>
          <w:sz w:val="25"/>
          <w:szCs w:val="25"/>
        </w:rPr>
        <w:t>9.3　目标客户与进入顺序</w:t>
      </w:r>
    </w:p>
    <w:p w14:paraId="29EA9041">
      <w:pPr>
        <w:pStyle w:val="16"/>
        <w:numPr>
          <w:ilvl w:val="0"/>
          <w:numId w:val="1"/>
        </w:numPr>
        <w:spacing w:after="70" w:line="276" w:lineRule="auto"/>
      </w:pPr>
      <w:r>
        <w:rPr>
          <w:rFonts w:ascii="Arial" w:hAnsi="Arial" w:eastAsia="Arial" w:cs="Arial"/>
          <w:b/>
          <w:bCs/>
          <w:sz w:val="21"/>
          <w:szCs w:val="21"/>
        </w:rPr>
        <w:t>先打‘救火型’美客多海外仓卖家：</w:t>
      </w:r>
      <w:r>
        <w:rPr>
          <w:rFonts w:ascii="Arial" w:hAnsi="Arial" w:eastAsia="Arial" w:cs="Arial"/>
          <w:sz w:val="21"/>
          <w:szCs w:val="21"/>
        </w:rPr>
        <w:t>预扣已跳36%、旺季在即，付费意愿最强、决策最快，用于快速建立案例与现金流。</w:t>
      </w:r>
    </w:p>
    <w:p w14:paraId="1F487AFC">
      <w:pPr>
        <w:pStyle w:val="16"/>
        <w:numPr>
          <w:ilvl w:val="0"/>
          <w:numId w:val="1"/>
        </w:numPr>
        <w:spacing w:after="70" w:line="276" w:lineRule="auto"/>
      </w:pPr>
      <w:r>
        <w:rPr>
          <w:rFonts w:ascii="Arial" w:hAnsi="Arial" w:eastAsia="Arial" w:cs="Arial"/>
          <w:b/>
          <w:bCs/>
          <w:sz w:val="21"/>
          <w:szCs w:val="21"/>
        </w:rPr>
        <w:t>再转化为‘成长型’本土店托管客户：</w:t>
      </w:r>
      <w:r>
        <w:rPr>
          <w:rFonts w:ascii="Arial" w:hAnsi="Arial" w:eastAsia="Arial" w:cs="Arial"/>
          <w:sz w:val="21"/>
          <w:szCs w:val="21"/>
        </w:rPr>
        <w:t>把救火客户迁移到自持SA + 托管 + 收款的长期结构，做经常性收入。</w:t>
      </w:r>
    </w:p>
    <w:p w14:paraId="152C2BC9">
      <w:pPr>
        <w:pStyle w:val="16"/>
        <w:numPr>
          <w:ilvl w:val="0"/>
          <w:numId w:val="1"/>
        </w:numPr>
        <w:spacing w:after="70" w:line="276" w:lineRule="auto"/>
      </w:pPr>
      <w:r>
        <w:rPr>
          <w:rFonts w:ascii="Arial" w:hAnsi="Arial" w:eastAsia="Arial" w:cs="Arial"/>
          <w:b/>
          <w:bCs/>
          <w:sz w:val="21"/>
          <w:szCs w:val="21"/>
        </w:rPr>
        <w:t>横向复制到 Amazon / TikTok Shop / Walmart：</w:t>
      </w:r>
      <w:r>
        <w:rPr>
          <w:rFonts w:ascii="Arial" w:hAnsi="Arial" w:eastAsia="Arial" w:cs="Arial"/>
          <w:sz w:val="21"/>
          <w:szCs w:val="21"/>
        </w:rPr>
        <w:t>用同一套合规中台服务多平台，摊薄获客与交付。</w:t>
      </w:r>
    </w:p>
    <w:p w14:paraId="5A87EB00">
      <w:pPr>
        <w:pStyle w:val="3"/>
        <w:spacing w:before="220" w:after="120"/>
      </w:pPr>
      <w:r>
        <w:rPr>
          <w:rFonts w:ascii="Arial" w:hAnsi="Arial" w:eastAsia="Arial" w:cs="Arial"/>
          <w:b/>
          <w:bCs/>
          <w:color w:val="2E5496"/>
          <w:sz w:val="25"/>
          <w:szCs w:val="25"/>
        </w:rPr>
        <w:t>9.4　获客（GTM）</w:t>
      </w:r>
    </w:p>
    <w:p w14:paraId="53D60457">
      <w:pPr>
        <w:pStyle w:val="16"/>
        <w:numPr>
          <w:ilvl w:val="0"/>
          <w:numId w:val="2"/>
        </w:numPr>
        <w:spacing w:after="70" w:line="276" w:lineRule="auto"/>
      </w:pPr>
      <w:r>
        <w:rPr>
          <w:rFonts w:ascii="Arial" w:hAnsi="Arial" w:eastAsia="Arial" w:cs="Arial"/>
          <w:b/>
          <w:bCs/>
          <w:sz w:val="21"/>
          <w:szCs w:val="21"/>
        </w:rPr>
        <w:t>内容获客：</w:t>
      </w:r>
      <w:r>
        <w:rPr>
          <w:rFonts w:ascii="Arial" w:hAnsi="Arial" w:eastAsia="Arial" w:cs="Arial"/>
          <w:sz w:val="21"/>
          <w:szCs w:val="21"/>
        </w:rPr>
        <w:t>以‘政策解读 + 预扣测算工具’做中文内容与SEO（呼应你的Amazon SEO能力），把每次新规变成一波流量。</w:t>
      </w:r>
    </w:p>
    <w:p w14:paraId="0754BEC9">
      <w:pPr>
        <w:pStyle w:val="16"/>
        <w:numPr>
          <w:ilvl w:val="0"/>
          <w:numId w:val="2"/>
        </w:numPr>
        <w:spacing w:after="70" w:line="276" w:lineRule="auto"/>
      </w:pPr>
      <w:r>
        <w:rPr>
          <w:rFonts w:ascii="Arial" w:hAnsi="Arial" w:eastAsia="Arial" w:cs="Arial"/>
          <w:b/>
          <w:bCs/>
          <w:sz w:val="21"/>
          <w:szCs w:val="21"/>
        </w:rPr>
        <w:t>工具获客：</w:t>
      </w:r>
      <w:r>
        <w:rPr>
          <w:rFonts w:ascii="Arial" w:hAnsi="Arial" w:eastAsia="Arial" w:cs="Arial"/>
          <w:sz w:val="21"/>
          <w:szCs w:val="21"/>
        </w:rPr>
        <w:t>免费预扣测算器/合规健康分作为钩子，沉淀线索。</w:t>
      </w:r>
    </w:p>
    <w:p w14:paraId="130427C3">
      <w:pPr>
        <w:pStyle w:val="16"/>
        <w:numPr>
          <w:ilvl w:val="0"/>
          <w:numId w:val="2"/>
        </w:numPr>
        <w:spacing w:after="70" w:line="276" w:lineRule="auto"/>
      </w:pPr>
      <w:r>
        <w:rPr>
          <w:rFonts w:ascii="Arial" w:hAnsi="Arial" w:eastAsia="Arial" w:cs="Arial"/>
          <w:b/>
          <w:bCs/>
          <w:sz w:val="21"/>
          <w:szCs w:val="21"/>
        </w:rPr>
        <w:t>渠道获客：</w:t>
      </w:r>
      <w:r>
        <w:rPr>
          <w:rFonts w:ascii="Arial" w:hAnsi="Arial" w:eastAsia="Arial" w:cs="Arial"/>
          <w:sz w:val="21"/>
          <w:szCs w:val="21"/>
        </w:rPr>
        <w:t>与物流商、ERP、收款商、招商团队做转介分成；进入平台官方服务商目录（如美客多学习中心的背书位）。</w:t>
      </w:r>
    </w:p>
    <w:p w14:paraId="6C5283DA">
      <w:pPr>
        <w:pStyle w:val="16"/>
        <w:numPr>
          <w:ilvl w:val="0"/>
          <w:numId w:val="2"/>
        </w:numPr>
        <w:spacing w:after="70" w:line="276" w:lineRule="auto"/>
      </w:pPr>
      <w:r>
        <w:rPr>
          <w:rFonts w:ascii="Arial" w:hAnsi="Arial" w:eastAsia="Arial" w:cs="Arial"/>
          <w:b/>
          <w:bCs/>
          <w:sz w:val="21"/>
          <w:szCs w:val="21"/>
        </w:rPr>
        <w:t>口碑获客：</w:t>
      </w:r>
      <w:r>
        <w:rPr>
          <w:rFonts w:ascii="Arial" w:hAnsi="Arial" w:eastAsia="Arial" w:cs="Arial"/>
          <w:sz w:val="21"/>
          <w:szCs w:val="21"/>
        </w:rPr>
        <w:t>案例化 + 透明申报，把老客户变成转介来源。</w:t>
      </w:r>
    </w:p>
    <w:p w14:paraId="3645F10A">
      <w:pPr>
        <w:pStyle w:val="3"/>
        <w:spacing w:before="220" w:after="120"/>
      </w:pPr>
      <w:r>
        <w:rPr>
          <w:rFonts w:ascii="Arial" w:hAnsi="Arial" w:eastAsia="Arial" w:cs="Arial"/>
          <w:b/>
          <w:bCs/>
          <w:color w:val="2E5496"/>
          <w:sz w:val="25"/>
          <w:szCs w:val="25"/>
        </w:rPr>
        <w:t>9.5　组织与合作</w:t>
      </w:r>
    </w:p>
    <w:p w14:paraId="715C23E2">
      <w:pPr>
        <w:spacing w:after="140" w:line="288" w:lineRule="auto"/>
        <w:jc w:val="both"/>
      </w:pPr>
      <w:r>
        <w:rPr>
          <w:rFonts w:ascii="Arial" w:hAnsi="Arial" w:eastAsia="Arial" w:cs="Arial"/>
          <w:sz w:val="21"/>
          <w:szCs w:val="21"/>
        </w:rPr>
        <w:t>最小可行团队：你（战略+运营+技术）+ 墨西哥本地会计/法务合作（供应链）+ 中文交付/客服 + 内容/增长。关键是把‘本地专业’通过合作或股权锁定为稳定供给，而不是每单临时外包。</w:t>
      </w:r>
    </w:p>
    <w:p w14:paraId="164E22B5">
      <w:pPr>
        <w:pStyle w:val="3"/>
        <w:spacing w:before="220" w:after="120"/>
      </w:pPr>
      <w:r>
        <w:rPr>
          <w:rFonts w:ascii="Arial" w:hAnsi="Arial" w:eastAsia="Arial" w:cs="Arial"/>
          <w:b/>
          <w:bCs/>
          <w:color w:val="2E5496"/>
          <w:sz w:val="25"/>
          <w:szCs w:val="25"/>
        </w:rPr>
        <w:t>9.6　分阶段执行路线图</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371"/>
        <w:gridCol w:w="1176"/>
        <w:gridCol w:w="1568"/>
        <w:gridCol w:w="3528"/>
        <w:gridCol w:w="2155"/>
      </w:tblGrid>
      <w:tr w14:paraId="447F0B6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310" w:type="dxa"/>
            <w:shd w:val="clear" w:color="auto" w:fill="1F3864"/>
            <w:tcMar>
              <w:top w:w="60" w:type="dxa"/>
              <w:left w:w="80" w:type="dxa"/>
              <w:bottom w:w="60" w:type="dxa"/>
              <w:right w:w="80" w:type="dxa"/>
            </w:tcMar>
          </w:tcPr>
          <w:p w14:paraId="72D8EF14">
            <w:pPr>
              <w:jc w:val="center"/>
            </w:pPr>
            <w:r>
              <w:rPr>
                <w:rFonts w:ascii="Arial" w:hAnsi="Arial" w:eastAsia="Arial" w:cs="Arial"/>
                <w:b/>
                <w:bCs/>
                <w:color w:val="FFFFFF"/>
                <w:sz w:val="18"/>
                <w:szCs w:val="18"/>
              </w:rPr>
              <w:t>阶段</w:t>
            </w:r>
          </w:p>
        </w:tc>
        <w:tc>
          <w:tcPr>
            <w:tcW w:w="1123" w:type="dxa"/>
            <w:shd w:val="clear" w:color="auto" w:fill="1F3864"/>
            <w:tcMar>
              <w:top w:w="60" w:type="dxa"/>
              <w:left w:w="80" w:type="dxa"/>
              <w:bottom w:w="60" w:type="dxa"/>
              <w:right w:w="80" w:type="dxa"/>
            </w:tcMar>
          </w:tcPr>
          <w:p w14:paraId="68E4DB03">
            <w:pPr>
              <w:jc w:val="center"/>
            </w:pPr>
            <w:r>
              <w:rPr>
                <w:rFonts w:ascii="Arial" w:hAnsi="Arial" w:eastAsia="Arial" w:cs="Arial"/>
                <w:b/>
                <w:bCs/>
                <w:color w:val="FFFFFF"/>
                <w:sz w:val="18"/>
                <w:szCs w:val="18"/>
              </w:rPr>
              <w:t>时间(示意)</w:t>
            </w:r>
          </w:p>
        </w:tc>
        <w:tc>
          <w:tcPr>
            <w:tcW w:w="1498" w:type="dxa"/>
            <w:shd w:val="clear" w:color="auto" w:fill="1F3864"/>
            <w:tcMar>
              <w:top w:w="60" w:type="dxa"/>
              <w:left w:w="80" w:type="dxa"/>
              <w:bottom w:w="60" w:type="dxa"/>
              <w:right w:w="80" w:type="dxa"/>
            </w:tcMar>
          </w:tcPr>
          <w:p w14:paraId="18FCA547">
            <w:pPr>
              <w:jc w:val="center"/>
            </w:pPr>
            <w:r>
              <w:rPr>
                <w:rFonts w:ascii="Arial" w:hAnsi="Arial" w:eastAsia="Arial" w:cs="Arial"/>
                <w:b/>
                <w:bCs/>
                <w:color w:val="FFFFFF"/>
                <w:sz w:val="18"/>
                <w:szCs w:val="18"/>
              </w:rPr>
              <w:t>目标</w:t>
            </w:r>
          </w:p>
        </w:tc>
        <w:tc>
          <w:tcPr>
            <w:tcW w:w="3370" w:type="dxa"/>
            <w:shd w:val="clear" w:color="auto" w:fill="1F3864"/>
            <w:tcMar>
              <w:top w:w="60" w:type="dxa"/>
              <w:left w:w="80" w:type="dxa"/>
              <w:bottom w:w="60" w:type="dxa"/>
              <w:right w:w="80" w:type="dxa"/>
            </w:tcMar>
          </w:tcPr>
          <w:p w14:paraId="762F0C04">
            <w:pPr>
              <w:jc w:val="center"/>
            </w:pPr>
            <w:r>
              <w:rPr>
                <w:rFonts w:ascii="Arial" w:hAnsi="Arial" w:eastAsia="Arial" w:cs="Arial"/>
                <w:b/>
                <w:bCs/>
                <w:color w:val="FFFFFF"/>
                <w:sz w:val="18"/>
                <w:szCs w:val="18"/>
              </w:rPr>
              <w:t>关键动作</w:t>
            </w:r>
          </w:p>
        </w:tc>
        <w:tc>
          <w:tcPr>
            <w:tcW w:w="2059" w:type="dxa"/>
            <w:shd w:val="clear" w:color="auto" w:fill="1F3864"/>
            <w:tcMar>
              <w:top w:w="60" w:type="dxa"/>
              <w:left w:w="80" w:type="dxa"/>
              <w:bottom w:w="60" w:type="dxa"/>
              <w:right w:w="80" w:type="dxa"/>
            </w:tcMar>
          </w:tcPr>
          <w:p w14:paraId="1EF3B869">
            <w:pPr>
              <w:jc w:val="center"/>
            </w:pPr>
            <w:r>
              <w:rPr>
                <w:rFonts w:ascii="Arial" w:hAnsi="Arial" w:eastAsia="Arial" w:cs="Arial"/>
                <w:b/>
                <w:bCs/>
                <w:color w:val="FFFFFF"/>
                <w:sz w:val="18"/>
                <w:szCs w:val="18"/>
              </w:rPr>
              <w:t>里程碑</w:t>
            </w:r>
          </w:p>
        </w:tc>
      </w:tr>
      <w:tr w14:paraId="7431A85F">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4E0779DC">
            <w:pPr>
              <w:spacing w:line="252" w:lineRule="auto"/>
              <w:jc w:val="left"/>
            </w:pPr>
            <w:r>
              <w:rPr>
                <w:rFonts w:ascii="Arial" w:hAnsi="Arial" w:eastAsia="Arial" w:cs="Arial"/>
                <w:b/>
                <w:bCs/>
                <w:color w:val="000000"/>
                <w:sz w:val="16"/>
                <w:szCs w:val="16"/>
              </w:rPr>
              <w:t>第一阶段
打地基</w:t>
            </w:r>
          </w:p>
        </w:tc>
        <w:tc>
          <w:tcPr>
            <w:tcW w:w="1123" w:type="dxa"/>
            <w:shd w:val="clear" w:color="auto" w:fill="FFFFFF"/>
            <w:tcMar>
              <w:top w:w="50" w:type="dxa"/>
              <w:left w:w="80" w:type="dxa"/>
              <w:bottom w:w="50" w:type="dxa"/>
              <w:right w:w="80" w:type="dxa"/>
            </w:tcMar>
          </w:tcPr>
          <w:p w14:paraId="6538EC94">
            <w:pPr>
              <w:spacing w:line="252" w:lineRule="auto"/>
              <w:jc w:val="left"/>
            </w:pPr>
            <w:r>
              <w:rPr>
                <w:rFonts w:ascii="Arial" w:hAnsi="Arial" w:eastAsia="Arial" w:cs="Arial"/>
                <w:b w:val="0"/>
                <w:bCs w:val="0"/>
                <w:sz w:val="16"/>
                <w:szCs w:val="16"/>
              </w:rPr>
              <w:t>0–3月</w:t>
            </w:r>
          </w:p>
        </w:tc>
        <w:tc>
          <w:tcPr>
            <w:tcW w:w="1498" w:type="dxa"/>
            <w:shd w:val="clear" w:color="auto" w:fill="FFFFFF"/>
            <w:tcMar>
              <w:top w:w="50" w:type="dxa"/>
              <w:left w:w="80" w:type="dxa"/>
              <w:bottom w:w="50" w:type="dxa"/>
              <w:right w:w="80" w:type="dxa"/>
            </w:tcMar>
          </w:tcPr>
          <w:p w14:paraId="453F7655">
            <w:pPr>
              <w:spacing w:line="252" w:lineRule="auto"/>
              <w:jc w:val="left"/>
            </w:pPr>
            <w:r>
              <w:rPr>
                <w:rFonts w:ascii="Arial" w:hAnsi="Arial" w:eastAsia="Arial" w:cs="Arial"/>
                <w:b w:val="0"/>
                <w:bCs w:val="0"/>
                <w:sz w:val="16"/>
                <w:szCs w:val="16"/>
              </w:rPr>
              <w:t>跑通首批客户</w:t>
            </w:r>
          </w:p>
        </w:tc>
        <w:tc>
          <w:tcPr>
            <w:tcW w:w="3370" w:type="dxa"/>
            <w:shd w:val="clear" w:color="auto" w:fill="FFFFFF"/>
            <w:tcMar>
              <w:top w:w="50" w:type="dxa"/>
              <w:left w:w="80" w:type="dxa"/>
              <w:bottom w:w="50" w:type="dxa"/>
              <w:right w:w="80" w:type="dxa"/>
            </w:tcMar>
          </w:tcPr>
          <w:p w14:paraId="74135F1A">
            <w:pPr>
              <w:spacing w:line="252" w:lineRule="auto"/>
              <w:jc w:val="left"/>
            </w:pPr>
            <w:r>
              <w:rPr>
                <w:rFonts w:ascii="Arial" w:hAnsi="Arial" w:eastAsia="Arial" w:cs="Arial"/>
                <w:b w:val="0"/>
                <w:bCs w:val="0"/>
                <w:sz w:val="16"/>
                <w:szCs w:val="16"/>
              </w:rPr>
              <w:t>自建SA、绑定本地会计、上线预扣测算器、签约首批救火客户</w:t>
            </w:r>
          </w:p>
        </w:tc>
        <w:tc>
          <w:tcPr>
            <w:tcW w:w="2059" w:type="dxa"/>
            <w:shd w:val="clear" w:color="auto" w:fill="FFFFFF"/>
            <w:tcMar>
              <w:top w:w="50" w:type="dxa"/>
              <w:left w:w="80" w:type="dxa"/>
              <w:bottom w:w="50" w:type="dxa"/>
              <w:right w:w="80" w:type="dxa"/>
            </w:tcMar>
          </w:tcPr>
          <w:p w14:paraId="29D6FE62">
            <w:pPr>
              <w:spacing w:line="252" w:lineRule="auto"/>
              <w:jc w:val="left"/>
            </w:pPr>
            <w:r>
              <w:rPr>
                <w:rFonts w:ascii="Arial" w:hAnsi="Arial" w:eastAsia="Arial" w:cs="Arial"/>
                <w:b w:val="0"/>
                <w:bCs w:val="0"/>
                <w:sz w:val="16"/>
                <w:szCs w:val="16"/>
              </w:rPr>
              <w:t>首批付费客户 + 首个案例</w:t>
            </w:r>
          </w:p>
        </w:tc>
      </w:tr>
      <w:tr w14:paraId="03BB4E2E">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76F935DC">
            <w:pPr>
              <w:spacing w:line="252" w:lineRule="auto"/>
              <w:jc w:val="left"/>
            </w:pPr>
            <w:r>
              <w:rPr>
                <w:rFonts w:ascii="Arial" w:hAnsi="Arial" w:eastAsia="Arial" w:cs="Arial"/>
                <w:b/>
                <w:bCs/>
                <w:color w:val="000000"/>
                <w:sz w:val="16"/>
                <w:szCs w:val="16"/>
              </w:rPr>
              <w:t>第二阶段
建复利</w:t>
            </w:r>
          </w:p>
        </w:tc>
        <w:tc>
          <w:tcPr>
            <w:tcW w:w="1123" w:type="dxa"/>
            <w:shd w:val="clear" w:color="auto" w:fill="F2F2F2"/>
            <w:tcMar>
              <w:top w:w="50" w:type="dxa"/>
              <w:left w:w="80" w:type="dxa"/>
              <w:bottom w:w="50" w:type="dxa"/>
              <w:right w:w="80" w:type="dxa"/>
            </w:tcMar>
          </w:tcPr>
          <w:p w14:paraId="3A237571">
            <w:pPr>
              <w:spacing w:line="252" w:lineRule="auto"/>
              <w:jc w:val="left"/>
            </w:pPr>
            <w:r>
              <w:rPr>
                <w:rFonts w:ascii="Arial" w:hAnsi="Arial" w:eastAsia="Arial" w:cs="Arial"/>
                <w:b w:val="0"/>
                <w:bCs w:val="0"/>
                <w:sz w:val="16"/>
                <w:szCs w:val="16"/>
              </w:rPr>
              <w:t>3–9月</w:t>
            </w:r>
          </w:p>
        </w:tc>
        <w:tc>
          <w:tcPr>
            <w:tcW w:w="1498" w:type="dxa"/>
            <w:shd w:val="clear" w:color="auto" w:fill="F2F2F2"/>
            <w:tcMar>
              <w:top w:w="50" w:type="dxa"/>
              <w:left w:w="80" w:type="dxa"/>
              <w:bottom w:w="50" w:type="dxa"/>
              <w:right w:w="80" w:type="dxa"/>
            </w:tcMar>
          </w:tcPr>
          <w:p w14:paraId="5158E84C">
            <w:pPr>
              <w:spacing w:line="252" w:lineRule="auto"/>
              <w:jc w:val="left"/>
            </w:pPr>
            <w:r>
              <w:rPr>
                <w:rFonts w:ascii="Arial" w:hAnsi="Arial" w:eastAsia="Arial" w:cs="Arial"/>
                <w:b w:val="0"/>
                <w:bCs w:val="0"/>
                <w:sz w:val="16"/>
                <w:szCs w:val="16"/>
              </w:rPr>
              <w:t>经常性收入起量</w:t>
            </w:r>
          </w:p>
        </w:tc>
        <w:tc>
          <w:tcPr>
            <w:tcW w:w="3370" w:type="dxa"/>
            <w:shd w:val="clear" w:color="auto" w:fill="F2F2F2"/>
            <w:tcMar>
              <w:top w:w="50" w:type="dxa"/>
              <w:left w:w="80" w:type="dxa"/>
              <w:bottom w:w="50" w:type="dxa"/>
              <w:right w:w="80" w:type="dxa"/>
            </w:tcMar>
          </w:tcPr>
          <w:p w14:paraId="3B155CA0">
            <w:pPr>
              <w:spacing w:line="252" w:lineRule="auto"/>
              <w:jc w:val="left"/>
            </w:pPr>
            <w:r>
              <w:rPr>
                <w:rFonts w:ascii="Arial" w:hAnsi="Arial" w:eastAsia="Arial" w:cs="Arial"/>
                <w:b w:val="0"/>
                <w:bCs w:val="0"/>
                <w:sz w:val="16"/>
                <w:szCs w:val="16"/>
              </w:rPr>
              <w:t>标准化申报SOP、推托管订阅、上线政策雷达、内容获客体系</w:t>
            </w:r>
          </w:p>
        </w:tc>
        <w:tc>
          <w:tcPr>
            <w:tcW w:w="2059" w:type="dxa"/>
            <w:shd w:val="clear" w:color="auto" w:fill="F2F2F2"/>
            <w:tcMar>
              <w:top w:w="50" w:type="dxa"/>
              <w:left w:w="80" w:type="dxa"/>
              <w:bottom w:w="50" w:type="dxa"/>
              <w:right w:w="80" w:type="dxa"/>
            </w:tcMar>
          </w:tcPr>
          <w:p w14:paraId="1B6738F9">
            <w:pPr>
              <w:spacing w:line="252" w:lineRule="auto"/>
              <w:jc w:val="left"/>
            </w:pPr>
            <w:r>
              <w:rPr>
                <w:rFonts w:ascii="Arial" w:hAnsi="Arial" w:eastAsia="Arial" w:cs="Arial"/>
                <w:b w:val="0"/>
                <w:bCs w:val="0"/>
                <w:sz w:val="16"/>
                <w:szCs w:val="16"/>
              </w:rPr>
              <w:t>经常性收入占比过半</w:t>
            </w:r>
          </w:p>
        </w:tc>
      </w:tr>
      <w:tr w14:paraId="1FA3888E">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375564E4">
            <w:pPr>
              <w:spacing w:line="252" w:lineRule="auto"/>
              <w:jc w:val="left"/>
            </w:pPr>
            <w:r>
              <w:rPr>
                <w:rFonts w:ascii="Arial" w:hAnsi="Arial" w:eastAsia="Arial" w:cs="Arial"/>
                <w:b/>
                <w:bCs/>
                <w:color w:val="000000"/>
                <w:sz w:val="16"/>
                <w:szCs w:val="16"/>
              </w:rPr>
              <w:t>第三阶段
扩闭环</w:t>
            </w:r>
          </w:p>
        </w:tc>
        <w:tc>
          <w:tcPr>
            <w:tcW w:w="1123" w:type="dxa"/>
            <w:shd w:val="clear" w:color="auto" w:fill="FFFFFF"/>
            <w:tcMar>
              <w:top w:w="50" w:type="dxa"/>
              <w:left w:w="80" w:type="dxa"/>
              <w:bottom w:w="50" w:type="dxa"/>
              <w:right w:w="80" w:type="dxa"/>
            </w:tcMar>
          </w:tcPr>
          <w:p w14:paraId="33FFEFC5">
            <w:pPr>
              <w:spacing w:line="252" w:lineRule="auto"/>
              <w:jc w:val="left"/>
            </w:pPr>
            <w:r>
              <w:rPr>
                <w:rFonts w:ascii="Arial" w:hAnsi="Arial" w:eastAsia="Arial" w:cs="Arial"/>
                <w:b w:val="0"/>
                <w:bCs w:val="0"/>
                <w:sz w:val="16"/>
                <w:szCs w:val="16"/>
              </w:rPr>
              <w:t>9–18月</w:t>
            </w:r>
          </w:p>
        </w:tc>
        <w:tc>
          <w:tcPr>
            <w:tcW w:w="1498" w:type="dxa"/>
            <w:shd w:val="clear" w:color="auto" w:fill="FFFFFF"/>
            <w:tcMar>
              <w:top w:w="50" w:type="dxa"/>
              <w:left w:w="80" w:type="dxa"/>
              <w:bottom w:w="50" w:type="dxa"/>
              <w:right w:w="80" w:type="dxa"/>
            </w:tcMar>
          </w:tcPr>
          <w:p w14:paraId="38C5EDE2">
            <w:pPr>
              <w:spacing w:line="252" w:lineRule="auto"/>
              <w:jc w:val="left"/>
            </w:pPr>
            <w:r>
              <w:rPr>
                <w:rFonts w:ascii="Arial" w:hAnsi="Arial" w:eastAsia="Arial" w:cs="Arial"/>
                <w:b w:val="0"/>
                <w:bCs w:val="0"/>
                <w:sz w:val="16"/>
                <w:szCs w:val="16"/>
              </w:rPr>
              <w:t>客单放大</w:t>
            </w:r>
          </w:p>
        </w:tc>
        <w:tc>
          <w:tcPr>
            <w:tcW w:w="3370" w:type="dxa"/>
            <w:shd w:val="clear" w:color="auto" w:fill="FFFFFF"/>
            <w:tcMar>
              <w:top w:w="50" w:type="dxa"/>
              <w:left w:w="80" w:type="dxa"/>
              <w:bottom w:w="50" w:type="dxa"/>
              <w:right w:w="80" w:type="dxa"/>
            </w:tcMar>
          </w:tcPr>
          <w:p w14:paraId="3CB154E6">
            <w:pPr>
              <w:spacing w:line="252" w:lineRule="auto"/>
              <w:jc w:val="left"/>
            </w:pPr>
            <w:r>
              <w:rPr>
                <w:rFonts w:ascii="Arial" w:hAnsi="Arial" w:eastAsia="Arial" w:cs="Arial"/>
                <w:b w:val="0"/>
                <w:bCs w:val="0"/>
                <w:sz w:val="16"/>
                <w:szCs w:val="16"/>
              </w:rPr>
              <w:t>上线代运营/广告、横向拓Amazon/TikTok Shop、渠道分成网络</w:t>
            </w:r>
          </w:p>
        </w:tc>
        <w:tc>
          <w:tcPr>
            <w:tcW w:w="2059" w:type="dxa"/>
            <w:shd w:val="clear" w:color="auto" w:fill="FFFFFF"/>
            <w:tcMar>
              <w:top w:w="50" w:type="dxa"/>
              <w:left w:w="80" w:type="dxa"/>
              <w:bottom w:w="50" w:type="dxa"/>
              <w:right w:w="80" w:type="dxa"/>
            </w:tcMar>
          </w:tcPr>
          <w:p w14:paraId="248D474F">
            <w:pPr>
              <w:spacing w:line="252" w:lineRule="auto"/>
              <w:jc w:val="left"/>
            </w:pPr>
            <w:r>
              <w:rPr>
                <w:rFonts w:ascii="Arial" w:hAnsi="Arial" w:eastAsia="Arial" w:cs="Arial"/>
                <w:b w:val="0"/>
                <w:bCs w:val="0"/>
                <w:sz w:val="16"/>
                <w:szCs w:val="16"/>
              </w:rPr>
              <w:t>多平台交付能力成型</w:t>
            </w:r>
          </w:p>
        </w:tc>
      </w:tr>
      <w:tr w14:paraId="624CB82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38FD220F">
            <w:pPr>
              <w:spacing w:line="252" w:lineRule="auto"/>
              <w:jc w:val="left"/>
            </w:pPr>
            <w:r>
              <w:rPr>
                <w:rFonts w:ascii="Arial" w:hAnsi="Arial" w:eastAsia="Arial" w:cs="Arial"/>
                <w:b/>
                <w:bCs/>
                <w:color w:val="000000"/>
                <w:sz w:val="16"/>
                <w:szCs w:val="16"/>
              </w:rPr>
              <w:t>第四阶段
做产品</w:t>
            </w:r>
          </w:p>
        </w:tc>
        <w:tc>
          <w:tcPr>
            <w:tcW w:w="1123" w:type="dxa"/>
            <w:shd w:val="clear" w:color="auto" w:fill="F2F2F2"/>
            <w:tcMar>
              <w:top w:w="50" w:type="dxa"/>
              <w:left w:w="80" w:type="dxa"/>
              <w:bottom w:w="50" w:type="dxa"/>
              <w:right w:w="80" w:type="dxa"/>
            </w:tcMar>
          </w:tcPr>
          <w:p w14:paraId="06415FD6">
            <w:pPr>
              <w:spacing w:line="252" w:lineRule="auto"/>
              <w:jc w:val="left"/>
            </w:pPr>
            <w:r>
              <w:rPr>
                <w:rFonts w:ascii="Arial" w:hAnsi="Arial" w:eastAsia="Arial" w:cs="Arial"/>
                <w:b w:val="0"/>
                <w:bCs w:val="0"/>
                <w:sz w:val="16"/>
                <w:szCs w:val="16"/>
              </w:rPr>
              <w:t>18月+</w:t>
            </w:r>
          </w:p>
        </w:tc>
        <w:tc>
          <w:tcPr>
            <w:tcW w:w="1498" w:type="dxa"/>
            <w:shd w:val="clear" w:color="auto" w:fill="F2F2F2"/>
            <w:tcMar>
              <w:top w:w="50" w:type="dxa"/>
              <w:left w:w="80" w:type="dxa"/>
              <w:bottom w:w="50" w:type="dxa"/>
              <w:right w:w="80" w:type="dxa"/>
            </w:tcMar>
          </w:tcPr>
          <w:p w14:paraId="7F0EF2E0">
            <w:pPr>
              <w:spacing w:line="252" w:lineRule="auto"/>
              <w:jc w:val="left"/>
            </w:pPr>
            <w:r>
              <w:rPr>
                <w:rFonts w:ascii="Arial" w:hAnsi="Arial" w:eastAsia="Arial" w:cs="Arial"/>
                <w:b w:val="0"/>
                <w:bCs w:val="0"/>
                <w:sz w:val="16"/>
                <w:szCs w:val="16"/>
              </w:rPr>
              <w:t>规模化壁垒</w:t>
            </w:r>
          </w:p>
        </w:tc>
        <w:tc>
          <w:tcPr>
            <w:tcW w:w="3370" w:type="dxa"/>
            <w:shd w:val="clear" w:color="auto" w:fill="F2F2F2"/>
            <w:tcMar>
              <w:top w:w="50" w:type="dxa"/>
              <w:left w:w="80" w:type="dxa"/>
              <w:bottom w:w="50" w:type="dxa"/>
              <w:right w:w="80" w:type="dxa"/>
            </w:tcMar>
          </w:tcPr>
          <w:p w14:paraId="0F801903">
            <w:pPr>
              <w:spacing w:line="252" w:lineRule="auto"/>
              <w:jc w:val="left"/>
            </w:pPr>
            <w:r>
              <w:rPr>
                <w:rFonts w:ascii="Arial" w:hAnsi="Arial" w:eastAsia="Arial" w:cs="Arial"/>
                <w:b w:val="0"/>
                <w:bCs w:val="0"/>
                <w:sz w:val="16"/>
                <w:szCs w:val="16"/>
              </w:rPr>
              <w:t>天机OS产品化对外、合规健康分/预测、SaaS订阅</w:t>
            </w:r>
          </w:p>
        </w:tc>
        <w:tc>
          <w:tcPr>
            <w:tcW w:w="2059" w:type="dxa"/>
            <w:shd w:val="clear" w:color="auto" w:fill="F2F2F2"/>
            <w:tcMar>
              <w:top w:w="50" w:type="dxa"/>
              <w:left w:w="80" w:type="dxa"/>
              <w:bottom w:w="50" w:type="dxa"/>
              <w:right w:w="80" w:type="dxa"/>
            </w:tcMar>
          </w:tcPr>
          <w:p w14:paraId="539C6C3D">
            <w:pPr>
              <w:spacing w:line="252" w:lineRule="auto"/>
              <w:jc w:val="left"/>
            </w:pPr>
            <w:r>
              <w:rPr>
                <w:rFonts w:ascii="Arial" w:hAnsi="Arial" w:eastAsia="Arial" w:cs="Arial"/>
                <w:b w:val="0"/>
                <w:bCs w:val="0"/>
                <w:sz w:val="16"/>
                <w:szCs w:val="16"/>
              </w:rPr>
              <w:t>SaaS收入独立成线</w:t>
            </w:r>
          </w:p>
        </w:tc>
      </w:tr>
    </w:tbl>
    <w:p w14:paraId="36F6AA58">
      <w:pPr>
        <w:spacing w:before="40" w:after="160"/>
      </w:pPr>
      <w:r>
        <w:rPr>
          <w:rFonts w:ascii="Arial" w:hAnsi="Arial" w:eastAsia="Arial" w:cs="Arial"/>
          <w:i/>
          <w:iCs/>
          <w:color w:val="808080"/>
          <w:sz w:val="16"/>
          <w:szCs w:val="16"/>
        </w:rPr>
        <w:t>表 9-2：四阶段执行路线图（时间为示意，按资源与市场节奏调整）。</w:t>
      </w:r>
    </w:p>
    <w:p w14:paraId="02FAB1BB">
      <w:pPr>
        <w:pStyle w:val="3"/>
        <w:spacing w:before="220" w:after="120"/>
      </w:pPr>
      <w:r>
        <w:rPr>
          <w:rFonts w:ascii="Arial" w:hAnsi="Arial" w:eastAsia="Arial" w:cs="Arial"/>
          <w:b/>
          <w:bCs/>
          <w:color w:val="2E5496"/>
          <w:sz w:val="25"/>
          <w:szCs w:val="25"/>
        </w:rPr>
        <w:t>9.7　北极星指标</w:t>
      </w:r>
    </w:p>
    <w:p w14:paraId="2F6A7509">
      <w:pPr>
        <w:pStyle w:val="16"/>
        <w:numPr>
          <w:ilvl w:val="0"/>
          <w:numId w:val="2"/>
        </w:numPr>
        <w:spacing w:after="70" w:line="276" w:lineRule="auto"/>
      </w:pPr>
      <w:r>
        <w:rPr>
          <w:rFonts w:ascii="Arial" w:hAnsi="Arial" w:eastAsia="Arial" w:cs="Arial"/>
          <w:sz w:val="21"/>
          <w:szCs w:val="21"/>
        </w:rPr>
        <w:t>经常性收入占比（越高越稳、越值钱）</w:t>
      </w:r>
    </w:p>
    <w:p w14:paraId="544753C5">
      <w:pPr>
        <w:pStyle w:val="16"/>
        <w:numPr>
          <w:ilvl w:val="0"/>
          <w:numId w:val="2"/>
        </w:numPr>
        <w:spacing w:after="70" w:line="276" w:lineRule="auto"/>
      </w:pPr>
      <w:r>
        <w:rPr>
          <w:rFonts w:ascii="Arial" w:hAnsi="Arial" w:eastAsia="Arial" w:cs="Arial"/>
          <w:sz w:val="21"/>
          <w:szCs w:val="21"/>
        </w:rPr>
        <w:t>净收入留存 / 客户净流失率（合规服务的黏性体现）</w:t>
      </w:r>
    </w:p>
    <w:p w14:paraId="4C740013">
      <w:pPr>
        <w:pStyle w:val="16"/>
        <w:numPr>
          <w:ilvl w:val="0"/>
          <w:numId w:val="2"/>
        </w:numPr>
        <w:spacing w:after="70" w:line="276" w:lineRule="auto"/>
      </w:pPr>
      <w:r>
        <w:rPr>
          <w:rFonts w:ascii="Arial" w:hAnsi="Arial" w:eastAsia="Arial" w:cs="Arial"/>
          <w:sz w:val="21"/>
          <w:szCs w:val="21"/>
        </w:rPr>
        <w:t>单客生命周期价值 / 获客成本（LTV/CAC）</w:t>
      </w:r>
    </w:p>
    <w:p w14:paraId="6389923E">
      <w:pPr>
        <w:pStyle w:val="16"/>
        <w:numPr>
          <w:ilvl w:val="0"/>
          <w:numId w:val="2"/>
        </w:numPr>
        <w:spacing w:after="70" w:line="276" w:lineRule="auto"/>
      </w:pPr>
      <w:r>
        <w:rPr>
          <w:rFonts w:ascii="Arial" w:hAnsi="Arial" w:eastAsia="Arial" w:cs="Arial"/>
          <w:sz w:val="21"/>
          <w:szCs w:val="21"/>
        </w:rPr>
        <w:t>每单交付工时（自动化成效）</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09089665">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147C3066">
            <w:pPr>
              <w:spacing w:after="60"/>
            </w:pPr>
            <w:r>
              <w:rPr>
                <w:rFonts w:ascii="Arial" w:hAnsi="Arial" w:eastAsia="Arial" w:cs="Arial"/>
                <w:b/>
                <w:bCs/>
                <w:color w:val="1F3864"/>
                <w:sz w:val="21"/>
                <w:szCs w:val="21"/>
              </w:rPr>
              <w:t>总结 · The Bottom Line</w:t>
            </w:r>
          </w:p>
          <w:p w14:paraId="50B9AEA9">
            <w:pPr>
              <w:spacing w:after="40" w:line="276" w:lineRule="auto"/>
            </w:pPr>
            <w:r>
              <w:rPr>
                <w:rFonts w:ascii="Arial" w:hAnsi="Arial" w:eastAsia="Arial" w:cs="Arial"/>
                <w:b/>
                <w:bCs/>
                <w:color w:val="1F3864"/>
                <w:sz w:val="21"/>
                <w:szCs w:val="21"/>
              </w:rPr>
              <w:t>墨西哥市场的窗口由‘强监管 + 高增长’叠加而成，合规痛点在放大、专业供给仍稀缺。你的独特组合——本地实体（信任）× 运营know-how（闭环）× 全栈AI（规模化）——恰好落在竞品的三重能力缺口上。</w:t>
            </w:r>
          </w:p>
          <w:p w14:paraId="2478A6B8">
            <w:pPr>
              <w:spacing w:after="40" w:line="276" w:lineRule="auto"/>
            </w:pPr>
            <w:r>
              <w:rPr>
                <w:rFonts w:ascii="Arial" w:hAnsi="Arial" w:eastAsia="Arial" w:cs="Arial"/>
                <w:color w:val="1F3864"/>
                <w:sz w:val="21"/>
                <w:szCs w:val="21"/>
              </w:rPr>
              <w:t>先用救火建立现金流与案例，再用托管做复利，用运营放大客单，最终用产品筑壁垒。稳扎稳打，这是一门有护城河、可复利、可退出的好生意。</w:t>
            </w:r>
          </w:p>
        </w:tc>
      </w:tr>
    </w:tbl>
    <w:p w14:paraId="2D73D377">
      <w:pPr>
        <w:pStyle w:val="2"/>
        <w:pageBreakBefore/>
        <w:spacing w:before="240" w:after="160"/>
      </w:pPr>
      <w:r>
        <w:rPr>
          <w:rFonts w:ascii="Arial" w:hAnsi="Arial" w:eastAsia="Arial" w:cs="Arial"/>
          <w:b/>
          <w:bCs/>
          <w:color w:val="1F3864"/>
          <w:sz w:val="30"/>
          <w:szCs w:val="30"/>
        </w:rPr>
        <w:t>附录　数据来源与研究方法</w:t>
      </w:r>
    </w:p>
    <w:p w14:paraId="18FB0D07">
      <w:pPr>
        <w:spacing w:after="140" w:line="288" w:lineRule="auto"/>
        <w:jc w:val="both"/>
      </w:pPr>
      <w:r>
        <w:rPr>
          <w:rFonts w:ascii="Arial" w:hAnsi="Arial" w:eastAsia="Arial" w:cs="Arial"/>
          <w:sz w:val="21"/>
          <w:szCs w:val="21"/>
        </w:rPr>
        <w:t>本报告为第一阶段核心版，整合2026年7月检索的公开来源。政策与费率高频变动，落地前请以SAT及各平台最新官方规则为准。</w:t>
      </w:r>
    </w:p>
    <w:p w14:paraId="3706601C">
      <w:pPr>
        <w:pStyle w:val="3"/>
        <w:spacing w:before="220" w:after="120"/>
      </w:pPr>
      <w:r>
        <w:rPr>
          <w:rFonts w:ascii="Arial" w:hAnsi="Arial" w:eastAsia="Arial" w:cs="Arial"/>
          <w:b/>
          <w:bCs/>
          <w:color w:val="2E5496"/>
          <w:sz w:val="25"/>
          <w:szCs w:val="25"/>
        </w:rPr>
        <w:t>A.1　主要来源类别</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548"/>
        <w:gridCol w:w="3331"/>
        <w:gridCol w:w="3919"/>
      </w:tblGrid>
      <w:tr w14:paraId="35B339A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434" w:type="dxa"/>
            <w:shd w:val="clear" w:color="auto" w:fill="1F3864"/>
            <w:tcMar>
              <w:top w:w="60" w:type="dxa"/>
              <w:left w:w="80" w:type="dxa"/>
              <w:bottom w:w="60" w:type="dxa"/>
              <w:right w:w="80" w:type="dxa"/>
            </w:tcMar>
          </w:tcPr>
          <w:p w14:paraId="1C6A9723">
            <w:pPr>
              <w:jc w:val="center"/>
            </w:pPr>
            <w:r>
              <w:rPr>
                <w:rFonts w:ascii="Arial" w:hAnsi="Arial" w:eastAsia="Arial" w:cs="Arial"/>
                <w:b/>
                <w:bCs/>
                <w:color w:val="FFFFFF"/>
                <w:sz w:val="18"/>
                <w:szCs w:val="18"/>
              </w:rPr>
              <w:t>主题</w:t>
            </w:r>
          </w:p>
        </w:tc>
        <w:tc>
          <w:tcPr>
            <w:tcW w:w="3182" w:type="dxa"/>
            <w:shd w:val="clear" w:color="auto" w:fill="1F3864"/>
            <w:tcMar>
              <w:top w:w="60" w:type="dxa"/>
              <w:left w:w="80" w:type="dxa"/>
              <w:bottom w:w="60" w:type="dxa"/>
              <w:right w:w="80" w:type="dxa"/>
            </w:tcMar>
          </w:tcPr>
          <w:p w14:paraId="6D93FA6F">
            <w:pPr>
              <w:jc w:val="center"/>
            </w:pPr>
            <w:r>
              <w:rPr>
                <w:rFonts w:ascii="Arial" w:hAnsi="Arial" w:eastAsia="Arial" w:cs="Arial"/>
                <w:b/>
                <w:bCs/>
                <w:color w:val="FFFFFF"/>
                <w:sz w:val="18"/>
                <w:szCs w:val="18"/>
              </w:rPr>
              <w:t>来源类型</w:t>
            </w:r>
          </w:p>
        </w:tc>
        <w:tc>
          <w:tcPr>
            <w:tcW w:w="3744" w:type="dxa"/>
            <w:shd w:val="clear" w:color="auto" w:fill="1F3864"/>
            <w:tcMar>
              <w:top w:w="60" w:type="dxa"/>
              <w:left w:w="80" w:type="dxa"/>
              <w:bottom w:w="60" w:type="dxa"/>
              <w:right w:w="80" w:type="dxa"/>
            </w:tcMar>
          </w:tcPr>
          <w:p w14:paraId="5FB59D2A">
            <w:pPr>
              <w:jc w:val="center"/>
            </w:pPr>
            <w:r>
              <w:rPr>
                <w:rFonts w:ascii="Arial" w:hAnsi="Arial" w:eastAsia="Arial" w:cs="Arial"/>
                <w:b/>
                <w:bCs/>
                <w:color w:val="FFFFFF"/>
                <w:sz w:val="18"/>
                <w:szCs w:val="18"/>
              </w:rPr>
              <w:t>可信度说明</w:t>
            </w:r>
          </w:p>
        </w:tc>
      </w:tr>
      <w:tr w14:paraId="783FE89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3DC03F38">
            <w:pPr>
              <w:spacing w:line="252" w:lineRule="auto"/>
              <w:jc w:val="left"/>
            </w:pPr>
            <w:r>
              <w:rPr>
                <w:rFonts w:ascii="Arial" w:hAnsi="Arial" w:eastAsia="Arial" w:cs="Arial"/>
                <w:sz w:val="16"/>
                <w:szCs w:val="16"/>
              </w:rPr>
              <w:t>2026电商预扣税新政</w:t>
            </w:r>
          </w:p>
        </w:tc>
        <w:tc>
          <w:tcPr>
            <w:tcW w:w="3182" w:type="dxa"/>
            <w:shd w:val="clear" w:color="auto" w:fill="FFFFFF"/>
            <w:tcMar>
              <w:top w:w="50" w:type="dxa"/>
              <w:left w:w="80" w:type="dxa"/>
              <w:bottom w:w="50" w:type="dxa"/>
              <w:right w:w="80" w:type="dxa"/>
            </w:tcMar>
          </w:tcPr>
          <w:p w14:paraId="75308652">
            <w:pPr>
              <w:spacing w:line="252" w:lineRule="auto"/>
              <w:jc w:val="left"/>
            </w:pPr>
            <w:r>
              <w:rPr>
                <w:rFonts w:ascii="Arial" w:hAnsi="Arial" w:eastAsia="Arial" w:cs="Arial"/>
                <w:b w:val="0"/>
                <w:bCs w:val="0"/>
                <w:sz w:val="16"/>
                <w:szCs w:val="16"/>
              </w:rPr>
              <w:t>Fonoa、妙手跨境学院、Pyvio、际连、SISA</w:t>
            </w:r>
          </w:p>
        </w:tc>
        <w:tc>
          <w:tcPr>
            <w:tcW w:w="3744" w:type="dxa"/>
            <w:shd w:val="clear" w:color="auto" w:fill="FFFFFF"/>
            <w:tcMar>
              <w:top w:w="50" w:type="dxa"/>
              <w:left w:w="80" w:type="dxa"/>
              <w:bottom w:w="50" w:type="dxa"/>
              <w:right w:w="80" w:type="dxa"/>
            </w:tcMar>
          </w:tcPr>
          <w:p w14:paraId="36D87EBF">
            <w:pPr>
              <w:spacing w:line="252" w:lineRule="auto"/>
              <w:jc w:val="left"/>
            </w:pPr>
            <w:r>
              <w:rPr>
                <w:rFonts w:ascii="Arial" w:hAnsi="Arial" w:eastAsia="Arial" w:cs="Arial"/>
                <w:b w:val="0"/>
                <w:bCs w:val="0"/>
                <w:sz w:val="16"/>
                <w:szCs w:val="16"/>
              </w:rPr>
              <w:t>行业二手 + 服务商，需与SAT一手核对</w:t>
            </w:r>
          </w:p>
        </w:tc>
      </w:tr>
      <w:tr w14:paraId="0A070BE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5CEBD49B">
            <w:pPr>
              <w:spacing w:line="252" w:lineRule="auto"/>
              <w:jc w:val="left"/>
            </w:pPr>
            <w:r>
              <w:rPr>
                <w:rFonts w:ascii="Arial" w:hAnsi="Arial" w:eastAsia="Arial" w:cs="Arial"/>
                <w:sz w:val="16"/>
                <w:szCs w:val="16"/>
              </w:rPr>
              <w:t>RFC制度与四路径</w:t>
            </w:r>
          </w:p>
        </w:tc>
        <w:tc>
          <w:tcPr>
            <w:tcW w:w="3182" w:type="dxa"/>
            <w:shd w:val="clear" w:color="auto" w:fill="F2F2F2"/>
            <w:tcMar>
              <w:top w:w="50" w:type="dxa"/>
              <w:left w:w="80" w:type="dxa"/>
              <w:bottom w:w="50" w:type="dxa"/>
              <w:right w:w="80" w:type="dxa"/>
            </w:tcMar>
          </w:tcPr>
          <w:p w14:paraId="0739F4F9">
            <w:pPr>
              <w:spacing w:line="252" w:lineRule="auto"/>
              <w:jc w:val="left"/>
            </w:pPr>
            <w:r>
              <w:rPr>
                <w:rFonts w:ascii="Arial" w:hAnsi="Arial" w:eastAsia="Arial" w:cs="Arial"/>
                <w:b w:val="0"/>
                <w:bCs w:val="0"/>
                <w:sz w:val="16"/>
                <w:szCs w:val="16"/>
              </w:rPr>
              <w:t>Signzy、墨尔海、蓝鲸BI、AMZ123、知乎专业专栏</w:t>
            </w:r>
          </w:p>
        </w:tc>
        <w:tc>
          <w:tcPr>
            <w:tcW w:w="3744" w:type="dxa"/>
            <w:shd w:val="clear" w:color="auto" w:fill="F2F2F2"/>
            <w:tcMar>
              <w:top w:w="50" w:type="dxa"/>
              <w:left w:w="80" w:type="dxa"/>
              <w:bottom w:w="50" w:type="dxa"/>
              <w:right w:w="80" w:type="dxa"/>
            </w:tcMar>
          </w:tcPr>
          <w:p w14:paraId="7F9C838F">
            <w:pPr>
              <w:spacing w:line="252" w:lineRule="auto"/>
              <w:jc w:val="left"/>
            </w:pPr>
            <w:r>
              <w:rPr>
                <w:rFonts w:ascii="Arial" w:hAnsi="Arial" w:eastAsia="Arial" w:cs="Arial"/>
                <w:b w:val="0"/>
                <w:bCs w:val="0"/>
                <w:sz w:val="16"/>
                <w:szCs w:val="16"/>
              </w:rPr>
              <w:t>综合二手，费用为估算</w:t>
            </w:r>
          </w:p>
        </w:tc>
      </w:tr>
      <w:tr w14:paraId="657F45D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3C64C5F6">
            <w:pPr>
              <w:spacing w:line="252" w:lineRule="auto"/>
              <w:jc w:val="left"/>
            </w:pPr>
            <w:r>
              <w:rPr>
                <w:rFonts w:ascii="Arial" w:hAnsi="Arial" w:eastAsia="Arial" w:cs="Arial"/>
                <w:sz w:val="16"/>
                <w:szCs w:val="16"/>
              </w:rPr>
              <w:t>CFDI 4.0 / Carta Porte</w:t>
            </w:r>
          </w:p>
        </w:tc>
        <w:tc>
          <w:tcPr>
            <w:tcW w:w="3182" w:type="dxa"/>
            <w:shd w:val="clear" w:color="auto" w:fill="FFFFFF"/>
            <w:tcMar>
              <w:top w:w="50" w:type="dxa"/>
              <w:left w:w="80" w:type="dxa"/>
              <w:bottom w:w="50" w:type="dxa"/>
              <w:right w:w="80" w:type="dxa"/>
            </w:tcMar>
          </w:tcPr>
          <w:p w14:paraId="656C85A3">
            <w:pPr>
              <w:spacing w:line="252" w:lineRule="auto"/>
              <w:jc w:val="left"/>
            </w:pPr>
            <w:r>
              <w:rPr>
                <w:rFonts w:ascii="Arial" w:hAnsi="Arial" w:eastAsia="Arial" w:cs="Arial"/>
                <w:b w:val="0"/>
                <w:bCs w:val="0"/>
                <w:sz w:val="16"/>
                <w:szCs w:val="16"/>
              </w:rPr>
              <w:t>Vertex、EDICOM、发票合规厂商、VATupdate</w:t>
            </w:r>
          </w:p>
        </w:tc>
        <w:tc>
          <w:tcPr>
            <w:tcW w:w="3744" w:type="dxa"/>
            <w:shd w:val="clear" w:color="auto" w:fill="FFFFFF"/>
            <w:tcMar>
              <w:top w:w="50" w:type="dxa"/>
              <w:left w:w="80" w:type="dxa"/>
              <w:bottom w:w="50" w:type="dxa"/>
              <w:right w:w="80" w:type="dxa"/>
            </w:tcMar>
          </w:tcPr>
          <w:p w14:paraId="4B6006A5">
            <w:pPr>
              <w:spacing w:line="252" w:lineRule="auto"/>
              <w:jc w:val="left"/>
            </w:pPr>
            <w:r>
              <w:rPr>
                <w:rFonts w:ascii="Arial" w:hAnsi="Arial" w:eastAsia="Arial" w:cs="Arial"/>
                <w:b w:val="0"/>
                <w:bCs w:val="0"/>
                <w:sz w:val="16"/>
                <w:szCs w:val="16"/>
              </w:rPr>
              <w:t>专业厂商，制度性内容可信度较高</w:t>
            </w:r>
          </w:p>
        </w:tc>
      </w:tr>
      <w:tr w14:paraId="03CE8304">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3FE2401E">
            <w:pPr>
              <w:spacing w:line="252" w:lineRule="auto"/>
              <w:jc w:val="left"/>
            </w:pPr>
            <w:r>
              <w:rPr>
                <w:rFonts w:ascii="Arial" w:hAnsi="Arial" w:eastAsia="Arial" w:cs="Arial"/>
                <w:sz w:val="16"/>
                <w:szCs w:val="16"/>
              </w:rPr>
              <w:t>SAT 30-B条实时监管</w:t>
            </w:r>
          </w:p>
        </w:tc>
        <w:tc>
          <w:tcPr>
            <w:tcW w:w="3182" w:type="dxa"/>
            <w:shd w:val="clear" w:color="auto" w:fill="F2F2F2"/>
            <w:tcMar>
              <w:top w:w="50" w:type="dxa"/>
              <w:left w:w="80" w:type="dxa"/>
              <w:bottom w:w="50" w:type="dxa"/>
              <w:right w:w="80" w:type="dxa"/>
            </w:tcMar>
          </w:tcPr>
          <w:p w14:paraId="17286721">
            <w:pPr>
              <w:spacing w:line="252" w:lineRule="auto"/>
              <w:jc w:val="left"/>
            </w:pPr>
            <w:r>
              <w:rPr>
                <w:rFonts w:ascii="Arial" w:hAnsi="Arial" w:eastAsia="Arial" w:cs="Arial"/>
                <w:b w:val="0"/>
                <w:bCs w:val="0"/>
                <w:sz w:val="16"/>
                <w:szCs w:val="16"/>
              </w:rPr>
              <w:t>EDICOM、VATupdate、妙手</w:t>
            </w:r>
          </w:p>
        </w:tc>
        <w:tc>
          <w:tcPr>
            <w:tcW w:w="3744" w:type="dxa"/>
            <w:shd w:val="clear" w:color="auto" w:fill="F2F2F2"/>
            <w:tcMar>
              <w:top w:w="50" w:type="dxa"/>
              <w:left w:w="80" w:type="dxa"/>
              <w:bottom w:w="50" w:type="dxa"/>
              <w:right w:w="80" w:type="dxa"/>
            </w:tcMar>
          </w:tcPr>
          <w:p w14:paraId="3CB229EC">
            <w:pPr>
              <w:spacing w:line="252" w:lineRule="auto"/>
              <w:jc w:val="left"/>
            </w:pPr>
            <w:r>
              <w:rPr>
                <w:rFonts w:ascii="Arial" w:hAnsi="Arial" w:eastAsia="Arial" w:cs="Arial"/>
                <w:b w:val="0"/>
                <w:bCs w:val="0"/>
                <w:sz w:val="16"/>
                <w:szCs w:val="16"/>
              </w:rPr>
              <w:t>多源交叉印证</w:t>
            </w:r>
          </w:p>
        </w:tc>
      </w:tr>
      <w:tr w14:paraId="7CA9F3A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46A1A091">
            <w:pPr>
              <w:spacing w:line="252" w:lineRule="auto"/>
              <w:jc w:val="left"/>
            </w:pPr>
            <w:r>
              <w:rPr>
                <w:rFonts w:ascii="Arial" w:hAnsi="Arial" w:eastAsia="Arial" w:cs="Arial"/>
                <w:sz w:val="16"/>
                <w:szCs w:val="16"/>
              </w:rPr>
              <w:t>美客多市场与增长</w:t>
            </w:r>
          </w:p>
        </w:tc>
        <w:tc>
          <w:tcPr>
            <w:tcW w:w="3182" w:type="dxa"/>
            <w:shd w:val="clear" w:color="auto" w:fill="FFFFFF"/>
            <w:tcMar>
              <w:top w:w="50" w:type="dxa"/>
              <w:left w:w="80" w:type="dxa"/>
              <w:bottom w:w="50" w:type="dxa"/>
              <w:right w:w="80" w:type="dxa"/>
            </w:tcMar>
          </w:tcPr>
          <w:p w14:paraId="24D4DADC">
            <w:pPr>
              <w:spacing w:line="252" w:lineRule="auto"/>
              <w:jc w:val="left"/>
            </w:pPr>
            <w:r>
              <w:rPr>
                <w:rFonts w:ascii="Arial" w:hAnsi="Arial" w:eastAsia="Arial" w:cs="Arial"/>
                <w:b w:val="0"/>
                <w:bCs w:val="0"/>
                <w:sz w:val="16"/>
                <w:szCs w:val="16"/>
              </w:rPr>
              <w:t>MELI 8-K/新闻稿、TradingView、Mexico Business News</w:t>
            </w:r>
          </w:p>
        </w:tc>
        <w:tc>
          <w:tcPr>
            <w:tcW w:w="3744" w:type="dxa"/>
            <w:shd w:val="clear" w:color="auto" w:fill="FFFFFF"/>
            <w:tcMar>
              <w:top w:w="50" w:type="dxa"/>
              <w:left w:w="80" w:type="dxa"/>
              <w:bottom w:w="50" w:type="dxa"/>
              <w:right w:w="80" w:type="dxa"/>
            </w:tcMar>
          </w:tcPr>
          <w:p w14:paraId="3801298E">
            <w:pPr>
              <w:spacing w:line="252" w:lineRule="auto"/>
              <w:jc w:val="left"/>
            </w:pPr>
            <w:r>
              <w:rPr>
                <w:rFonts w:ascii="Arial" w:hAnsi="Arial" w:eastAsia="Arial" w:cs="Arial"/>
                <w:b w:val="0"/>
                <w:bCs w:val="0"/>
                <w:sz w:val="16"/>
                <w:szCs w:val="16"/>
              </w:rPr>
              <w:t>官方财报，可信度高</w:t>
            </w:r>
          </w:p>
        </w:tc>
      </w:tr>
      <w:tr w14:paraId="41D4170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768BC39F">
            <w:pPr>
              <w:spacing w:line="252" w:lineRule="auto"/>
              <w:jc w:val="left"/>
            </w:pPr>
            <w:r>
              <w:rPr>
                <w:rFonts w:ascii="Arial" w:hAnsi="Arial" w:eastAsia="Arial" w:cs="Arial"/>
                <w:sz w:val="16"/>
                <w:szCs w:val="16"/>
              </w:rPr>
              <w:t>电商大盘</w:t>
            </w:r>
          </w:p>
        </w:tc>
        <w:tc>
          <w:tcPr>
            <w:tcW w:w="3182" w:type="dxa"/>
            <w:shd w:val="clear" w:color="auto" w:fill="F2F2F2"/>
            <w:tcMar>
              <w:top w:w="50" w:type="dxa"/>
              <w:left w:w="80" w:type="dxa"/>
              <w:bottom w:w="50" w:type="dxa"/>
              <w:right w:w="80" w:type="dxa"/>
            </w:tcMar>
          </w:tcPr>
          <w:p w14:paraId="18C76B8E">
            <w:pPr>
              <w:spacing w:line="252" w:lineRule="auto"/>
              <w:jc w:val="left"/>
            </w:pPr>
            <w:r>
              <w:rPr>
                <w:rFonts w:ascii="Arial" w:hAnsi="Arial" w:eastAsia="Arial" w:cs="Arial"/>
                <w:b w:val="0"/>
                <w:bCs w:val="0"/>
                <w:sz w:val="16"/>
                <w:szCs w:val="16"/>
              </w:rPr>
              <w:t>Mordor Intelligence、Statista、INEGI</w:t>
            </w:r>
          </w:p>
        </w:tc>
        <w:tc>
          <w:tcPr>
            <w:tcW w:w="3744" w:type="dxa"/>
            <w:shd w:val="clear" w:color="auto" w:fill="F2F2F2"/>
            <w:tcMar>
              <w:top w:w="50" w:type="dxa"/>
              <w:left w:w="80" w:type="dxa"/>
              <w:bottom w:w="50" w:type="dxa"/>
              <w:right w:w="80" w:type="dxa"/>
            </w:tcMar>
          </w:tcPr>
          <w:p w14:paraId="4A506DD0">
            <w:pPr>
              <w:spacing w:line="252" w:lineRule="auto"/>
              <w:jc w:val="left"/>
            </w:pPr>
            <w:r>
              <w:rPr>
                <w:rFonts w:ascii="Arial" w:hAnsi="Arial" w:eastAsia="Arial" w:cs="Arial"/>
                <w:b w:val="0"/>
                <w:bCs w:val="0"/>
                <w:sz w:val="16"/>
                <w:szCs w:val="16"/>
              </w:rPr>
              <w:t>机构估算，区间参考</w:t>
            </w:r>
          </w:p>
        </w:tc>
      </w:tr>
      <w:tr w14:paraId="12175AA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373E71FD">
            <w:pPr>
              <w:spacing w:line="252" w:lineRule="auto"/>
              <w:jc w:val="left"/>
            </w:pPr>
            <w:r>
              <w:rPr>
                <w:rFonts w:ascii="Arial" w:hAnsi="Arial" w:eastAsia="Arial" w:cs="Arial"/>
                <w:sz w:val="16"/>
                <w:szCs w:val="16"/>
              </w:rPr>
              <w:t>Amazon/Walmart/TikTok Shop MX</w:t>
            </w:r>
          </w:p>
        </w:tc>
        <w:tc>
          <w:tcPr>
            <w:tcW w:w="3182" w:type="dxa"/>
            <w:shd w:val="clear" w:color="auto" w:fill="FFFFFF"/>
            <w:tcMar>
              <w:top w:w="50" w:type="dxa"/>
              <w:left w:w="80" w:type="dxa"/>
              <w:bottom w:w="50" w:type="dxa"/>
              <w:right w:w="80" w:type="dxa"/>
            </w:tcMar>
          </w:tcPr>
          <w:p w14:paraId="011EFFF6">
            <w:pPr>
              <w:spacing w:line="252" w:lineRule="auto"/>
              <w:jc w:val="left"/>
            </w:pPr>
            <w:r>
              <w:rPr>
                <w:rFonts w:ascii="Arial" w:hAnsi="Arial" w:eastAsia="Arial" w:cs="Arial"/>
                <w:b w:val="0"/>
                <w:bCs w:val="0"/>
                <w:sz w:val="16"/>
                <w:szCs w:val="16"/>
              </w:rPr>
              <w:t>Retail Dive、Modern Retail、Nova、官方公告</w:t>
            </w:r>
          </w:p>
        </w:tc>
        <w:tc>
          <w:tcPr>
            <w:tcW w:w="3744" w:type="dxa"/>
            <w:shd w:val="clear" w:color="auto" w:fill="FFFFFF"/>
            <w:tcMar>
              <w:top w:w="50" w:type="dxa"/>
              <w:left w:w="80" w:type="dxa"/>
              <w:bottom w:w="50" w:type="dxa"/>
              <w:right w:w="80" w:type="dxa"/>
            </w:tcMar>
          </w:tcPr>
          <w:p w14:paraId="4C949235">
            <w:pPr>
              <w:spacing w:line="252" w:lineRule="auto"/>
              <w:jc w:val="left"/>
            </w:pPr>
            <w:r>
              <w:rPr>
                <w:rFonts w:ascii="Arial" w:hAnsi="Arial" w:eastAsia="Arial" w:cs="Arial"/>
                <w:b w:val="0"/>
                <w:bCs w:val="0"/>
                <w:sz w:val="16"/>
                <w:szCs w:val="16"/>
              </w:rPr>
              <w:t>行业媒体 + 官方</w:t>
            </w:r>
          </w:p>
        </w:tc>
      </w:tr>
      <w:tr w14:paraId="60C5284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14D8535C">
            <w:pPr>
              <w:spacing w:line="252" w:lineRule="auto"/>
              <w:jc w:val="left"/>
            </w:pPr>
            <w:r>
              <w:rPr>
                <w:rFonts w:ascii="Arial" w:hAnsi="Arial" w:eastAsia="Arial" w:cs="Arial"/>
                <w:sz w:val="16"/>
                <w:szCs w:val="16"/>
              </w:rPr>
              <w:t>公司类型 SA/SAS/S.de R.L.</w:t>
            </w:r>
          </w:p>
        </w:tc>
        <w:tc>
          <w:tcPr>
            <w:tcW w:w="3182" w:type="dxa"/>
            <w:shd w:val="clear" w:color="auto" w:fill="F2F2F2"/>
            <w:tcMar>
              <w:top w:w="50" w:type="dxa"/>
              <w:left w:w="80" w:type="dxa"/>
              <w:bottom w:w="50" w:type="dxa"/>
              <w:right w:w="80" w:type="dxa"/>
            </w:tcMar>
          </w:tcPr>
          <w:p w14:paraId="63F66C06">
            <w:pPr>
              <w:spacing w:line="252" w:lineRule="auto"/>
              <w:jc w:val="left"/>
            </w:pPr>
            <w:r>
              <w:rPr>
                <w:rFonts w:ascii="Arial" w:hAnsi="Arial" w:eastAsia="Arial" w:cs="Arial"/>
                <w:b w:val="0"/>
                <w:bCs w:val="0"/>
                <w:sz w:val="16"/>
                <w:szCs w:val="16"/>
              </w:rPr>
              <w:t>际连、搜狐、知乎专业专栏</w:t>
            </w:r>
          </w:p>
        </w:tc>
        <w:tc>
          <w:tcPr>
            <w:tcW w:w="3744" w:type="dxa"/>
            <w:shd w:val="clear" w:color="auto" w:fill="F2F2F2"/>
            <w:tcMar>
              <w:top w:w="50" w:type="dxa"/>
              <w:left w:w="80" w:type="dxa"/>
              <w:bottom w:w="50" w:type="dxa"/>
              <w:right w:w="80" w:type="dxa"/>
            </w:tcMar>
          </w:tcPr>
          <w:p w14:paraId="39CEEA43">
            <w:pPr>
              <w:spacing w:line="252" w:lineRule="auto"/>
              <w:jc w:val="left"/>
            </w:pPr>
            <w:r>
              <w:rPr>
                <w:rFonts w:ascii="Arial" w:hAnsi="Arial" w:eastAsia="Arial" w:cs="Arial"/>
                <w:b w:val="0"/>
                <w:bCs w:val="0"/>
                <w:sz w:val="16"/>
                <w:szCs w:val="16"/>
              </w:rPr>
              <w:t>综合二手，需一手核实</w:t>
            </w:r>
          </w:p>
        </w:tc>
      </w:tr>
      <w:tr w14:paraId="34AA068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266C212B">
            <w:pPr>
              <w:spacing w:line="252" w:lineRule="auto"/>
              <w:jc w:val="left"/>
            </w:pPr>
            <w:r>
              <w:rPr>
                <w:rFonts w:ascii="Arial" w:hAnsi="Arial" w:eastAsia="Arial" w:cs="Arial"/>
                <w:sz w:val="16"/>
                <w:szCs w:val="16"/>
              </w:rPr>
              <w:t>竞品与本土机构</w:t>
            </w:r>
          </w:p>
        </w:tc>
        <w:tc>
          <w:tcPr>
            <w:tcW w:w="3182" w:type="dxa"/>
            <w:shd w:val="clear" w:color="auto" w:fill="FFFFFF"/>
            <w:tcMar>
              <w:top w:w="50" w:type="dxa"/>
              <w:left w:w="80" w:type="dxa"/>
              <w:bottom w:w="50" w:type="dxa"/>
              <w:right w:w="80" w:type="dxa"/>
            </w:tcMar>
          </w:tcPr>
          <w:p w14:paraId="08671B0D">
            <w:pPr>
              <w:spacing w:line="252" w:lineRule="auto"/>
              <w:jc w:val="left"/>
            </w:pPr>
            <w:r>
              <w:rPr>
                <w:rFonts w:ascii="Arial" w:hAnsi="Arial" w:eastAsia="Arial" w:cs="Arial"/>
                <w:b w:val="0"/>
                <w:bCs w:val="0"/>
                <w:sz w:val="16"/>
                <w:szCs w:val="16"/>
              </w:rPr>
              <w:t>各服务商官网/公众号 + 美客多学习中心</w:t>
            </w:r>
          </w:p>
        </w:tc>
        <w:tc>
          <w:tcPr>
            <w:tcW w:w="3744" w:type="dxa"/>
            <w:shd w:val="clear" w:color="auto" w:fill="FFFFFF"/>
            <w:tcMar>
              <w:top w:w="50" w:type="dxa"/>
              <w:left w:w="80" w:type="dxa"/>
              <w:bottom w:w="50" w:type="dxa"/>
              <w:right w:w="80" w:type="dxa"/>
            </w:tcMar>
          </w:tcPr>
          <w:p w14:paraId="50B0ECDF">
            <w:pPr>
              <w:spacing w:line="252" w:lineRule="auto"/>
              <w:jc w:val="left"/>
            </w:pPr>
            <w:r>
              <w:rPr>
                <w:rFonts w:ascii="Arial" w:hAnsi="Arial" w:eastAsia="Arial" w:cs="Arial"/>
                <w:b w:val="0"/>
                <w:bCs w:val="0"/>
                <w:sz w:val="16"/>
                <w:szCs w:val="16"/>
              </w:rPr>
              <w:t>自宣传渠道，仅供定位参考</w:t>
            </w:r>
          </w:p>
        </w:tc>
      </w:tr>
    </w:tbl>
    <w:p w14:paraId="590F8BE5">
      <w:pPr>
        <w:pStyle w:val="3"/>
        <w:spacing w:before="220" w:after="120"/>
      </w:pPr>
      <w:r>
        <w:rPr>
          <w:rFonts w:ascii="Arial" w:hAnsi="Arial" w:eastAsia="Arial" w:cs="Arial"/>
          <w:b/>
          <w:bCs/>
          <w:color w:val="2E5496"/>
          <w:sz w:val="25"/>
          <w:szCs w:val="25"/>
        </w:rPr>
        <w:t>A.2　方法与局限</w:t>
      </w:r>
    </w:p>
    <w:p w14:paraId="49A49578">
      <w:pPr>
        <w:pStyle w:val="16"/>
        <w:numPr>
          <w:ilvl w:val="0"/>
          <w:numId w:val="2"/>
        </w:numPr>
        <w:spacing w:after="70" w:line="276" w:lineRule="auto"/>
      </w:pPr>
      <w:r>
        <w:rPr>
          <w:rFonts w:ascii="Arial" w:hAnsi="Arial" w:eastAsia="Arial" w:cs="Arial"/>
          <w:sz w:val="21"/>
          <w:szCs w:val="21"/>
        </w:rPr>
        <w:t>方法：桌面研究（desk research）+ 结构化竞品分析 + 加权评分建模。</w:t>
      </w:r>
    </w:p>
    <w:p w14:paraId="7E53BDC9">
      <w:pPr>
        <w:pStyle w:val="16"/>
        <w:numPr>
          <w:ilvl w:val="0"/>
          <w:numId w:val="2"/>
        </w:numPr>
        <w:spacing w:after="70" w:line="276" w:lineRule="auto"/>
      </w:pPr>
      <w:r>
        <w:rPr>
          <w:rFonts w:ascii="Arial" w:hAnsi="Arial" w:eastAsia="Arial" w:cs="Arial"/>
          <w:sz w:val="21"/>
          <w:szCs w:val="21"/>
        </w:rPr>
        <w:t>局限一：费率/费用为区间估算，随汇率、州、公司规模、服务商而变。</w:t>
      </w:r>
    </w:p>
    <w:p w14:paraId="3210EFB7">
      <w:pPr>
        <w:pStyle w:val="16"/>
        <w:numPr>
          <w:ilvl w:val="0"/>
          <w:numId w:val="2"/>
        </w:numPr>
        <w:spacing w:after="70" w:line="276" w:lineRule="auto"/>
      </w:pPr>
      <w:r>
        <w:rPr>
          <w:rFonts w:ascii="Arial" w:hAnsi="Arial" w:eastAsia="Arial" w:cs="Arial"/>
          <w:sz w:val="21"/>
          <w:szCs w:val="21"/>
        </w:rPr>
        <w:t>局限二：竞品信息多来自其自身宣传，可能夸大；本报告不做质量背书。</w:t>
      </w:r>
    </w:p>
    <w:p w14:paraId="6B9F3F0C">
      <w:pPr>
        <w:pStyle w:val="16"/>
        <w:numPr>
          <w:ilvl w:val="0"/>
          <w:numId w:val="2"/>
        </w:numPr>
        <w:spacing w:after="70" w:line="276" w:lineRule="auto"/>
      </w:pPr>
      <w:r>
        <w:rPr>
          <w:rFonts w:ascii="Arial" w:hAnsi="Arial" w:eastAsia="Arial" w:cs="Arial"/>
          <w:sz w:val="21"/>
          <w:szCs w:val="21"/>
        </w:rPr>
        <w:t>局限三：本土Top100机构名录本阶段仅核实约15家真实样本，其余为可扩展框架（详见配套矩阵Tab③与扩展方法）。</w:t>
      </w:r>
    </w:p>
    <w:p w14:paraId="11A0397A">
      <w:pPr>
        <w:pStyle w:val="16"/>
        <w:numPr>
          <w:ilvl w:val="0"/>
          <w:numId w:val="2"/>
        </w:numPr>
        <w:spacing w:after="70" w:line="276" w:lineRule="auto"/>
      </w:pPr>
      <w:r>
        <w:rPr>
          <w:rFonts w:ascii="Arial" w:hAnsi="Arial" w:eastAsia="Arial" w:cs="Arial"/>
          <w:sz w:val="21"/>
          <w:szCs w:val="21"/>
        </w:rPr>
        <w:t>局限四：政策处于高频变动期（2026上半年多项新规），使用前必须一手核实。</w:t>
      </w:r>
    </w:p>
    <w:p w14:paraId="0A0C835B">
      <w:pPr>
        <w:pStyle w:val="3"/>
        <w:spacing w:before="220" w:after="120"/>
      </w:pPr>
      <w:r>
        <w:rPr>
          <w:rFonts w:ascii="Arial" w:hAnsi="Arial" w:eastAsia="Arial" w:cs="Arial"/>
          <w:b/>
          <w:bCs/>
          <w:color w:val="2E5496"/>
          <w:sz w:val="25"/>
          <w:szCs w:val="25"/>
        </w:rPr>
        <w:t>A.3　配套交付物</w:t>
      </w:r>
    </w:p>
    <w:p w14:paraId="475A8A34">
      <w:pPr>
        <w:pStyle w:val="16"/>
        <w:numPr>
          <w:ilvl w:val="0"/>
          <w:numId w:val="2"/>
        </w:numPr>
        <w:spacing w:after="70" w:line="276" w:lineRule="auto"/>
      </w:pPr>
      <w:r>
        <w:rPr>
          <w:rFonts w:ascii="Arial" w:hAnsi="Arial" w:eastAsia="Arial" w:cs="Arial"/>
          <w:sz w:val="21"/>
          <w:szCs w:val="21"/>
        </w:rPr>
        <w:t>《竞品对比矩阵 Competitor Matrix 2026》(xlsx)：6个Tab——竞品总览、服务·定价对比、本土公司名录（含Top100扩展模板）、差异化定位、可编辑加权评分模型、数据来源。</w:t>
      </w:r>
    </w:p>
    <w:p w14:paraId="02FA1FFE">
      <w:pPr>
        <w:pStyle w:val="3"/>
        <w:spacing w:before="220" w:after="120"/>
      </w:pPr>
      <w:r>
        <w:rPr>
          <w:rFonts w:ascii="Arial" w:hAnsi="Arial" w:eastAsia="Arial" w:cs="Arial"/>
          <w:b/>
          <w:bCs/>
          <w:color w:val="2E5496"/>
          <w:sz w:val="25"/>
          <w:szCs w:val="25"/>
        </w:rPr>
        <w:t>A.4　下一阶段扩展建议（第二阶段）</w:t>
      </w:r>
    </w:p>
    <w:p w14:paraId="2F35B141">
      <w:pPr>
        <w:spacing w:after="140" w:line="288" w:lineRule="auto"/>
        <w:jc w:val="both"/>
      </w:pPr>
      <w:r>
        <w:rPr>
          <w:rFonts w:ascii="Arial" w:hAnsi="Arial" w:eastAsia="Arial" w:cs="Arial"/>
          <w:sz w:val="21"/>
          <w:szCs w:val="21"/>
        </w:rPr>
        <w:t>在本核心版验证质量后，第二阶段可扩展为完整版：① 一手访谈（本地会计师、卖家、平台招商）；② Top100本土机构逐条核实与分级；③ 财务模型细化（三情景P&amp;L、现金流、敏感性分析）；④ 各平台运营SOP手册；⑤ 天机OS产品PRD与技术架构。</w:t>
      </w:r>
    </w:p>
    <w:sectPr>
      <w:headerReference r:id="rId3" w:type="default"/>
      <w:footerReference r:id="rId4" w:type="default"/>
      <w:pgSz w:w="11906" w:h="16838"/>
      <w:pgMar w:top="1200" w:right="1134" w:bottom="120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F55D9">
    <w:pPr>
      <w:pBdr>
        <w:top w:val="single" w:color="BFBFBF" w:sz="4" w:space="4"/>
      </w:pBdr>
      <w:jc w:val="center"/>
    </w:pPr>
    <w:r>
      <w:rPr>
        <w:rFonts w:ascii="Arial" w:hAnsi="Arial" w:eastAsia="Arial" w:cs="Arial"/>
        <w:color w:val="808080"/>
        <w:sz w:val="15"/>
        <w:szCs w:val="15"/>
      </w:rPr>
      <w:t xml:space="preserve">机密 CONFIDENTIAL   ·   第 </w:t>
    </w:r>
    <w:r>
      <w:rPr>
        <w:rFonts w:ascii="Arial" w:hAnsi="Arial" w:eastAsia="Arial" w:cs="Arial"/>
        <w:color w:val="808080"/>
        <w:sz w:val="15"/>
        <w:szCs w:val="15"/>
      </w:rPr>
      <w:fldChar w:fldCharType="begin"/>
    </w:r>
    <w:r>
      <w:rPr>
        <w:rFonts w:ascii="Arial" w:hAnsi="Arial" w:eastAsia="Arial" w:cs="Arial"/>
        <w:color w:val="808080"/>
        <w:sz w:val="15"/>
        <w:szCs w:val="15"/>
      </w:rPr>
      <w:instrText xml:space="preserve">PAGE</w:instrText>
    </w:r>
    <w:r>
      <w:rPr>
        <w:rFonts w:ascii="Arial" w:hAnsi="Arial" w:eastAsia="Arial" w:cs="Arial"/>
        <w:color w:val="808080"/>
        <w:sz w:val="15"/>
        <w:szCs w:val="15"/>
      </w:rPr>
      <w:fldChar w:fldCharType="separate"/>
    </w:r>
    <w:r>
      <w:rPr>
        <w:rFonts w:ascii="Arial" w:hAnsi="Arial" w:eastAsia="Arial" w:cs="Arial"/>
        <w:color w:val="808080"/>
        <w:sz w:val="15"/>
        <w:szCs w:val="15"/>
      </w:rPr>
      <w:fldChar w:fldCharType="end"/>
    </w:r>
    <w:r>
      <w:rPr>
        <w:rFonts w:ascii="Arial" w:hAnsi="Arial" w:eastAsia="Arial" w:cs="Arial"/>
        <w:color w:val="808080"/>
        <w:sz w:val="15"/>
        <w:szCs w:val="15"/>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CB61F">
    <w:pPr>
      <w:pBdr>
        <w:bottom w:val="single" w:color="BFBFBF" w:sz="4" w:space="4"/>
      </w:pBdr>
      <w:jc w:val="right"/>
    </w:pPr>
    <w:r>
      <w:rPr>
        <w:rFonts w:ascii="Arial" w:hAnsi="Arial" w:eastAsia="Arial" w:cs="Arial"/>
        <w:color w:val="808080"/>
        <w:sz w:val="15"/>
        <w:szCs w:val="15"/>
      </w:rPr>
      <w:t>墨西哥跨境企业服务行业研究报告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420" w:hanging="260"/>
      </w:pPr>
      <w:rPr>
        <w:b/>
        <w:bCs/>
        <w:color w:val="2E5496"/>
      </w:rPr>
    </w:lvl>
  </w:abstractNum>
  <w:abstractNum w:abstractNumId="1">
    <w:nsid w:val="0053208E"/>
    <w:multiLevelType w:val="singleLevel"/>
    <w:tmpl w:val="0053208E"/>
    <w:lvl w:ilvl="0" w:tentative="0">
      <w:start w:val="1"/>
      <w:numFmt w:val="decimal"/>
      <w:lvlText w:val="%1."/>
      <w:lvlJc w:val="left"/>
      <w:pPr>
        <w:ind w:left="420" w:hanging="260"/>
      </w:pPr>
      <w:rPr>
        <w:b/>
        <w:bCs/>
        <w:color w:val="2E5496"/>
      </w:rPr>
    </w:lvl>
  </w:abstractNum>
  <w:abstractNum w:abstractNumId="2">
    <w:nsid w:val="25B654F3"/>
    <w:multiLevelType w:val="singleLevel"/>
    <w:tmpl w:val="25B654F3"/>
    <w:lvl w:ilvl="0" w:tentative="0">
      <w:start w:val="1"/>
      <w:numFmt w:val="decimal"/>
      <w:lvlText w:val="%1."/>
      <w:lvlJc w:val="left"/>
      <w:pPr>
        <w:ind w:left="420" w:hanging="260"/>
      </w:pPr>
      <w:rPr>
        <w:b/>
        <w:bCs/>
        <w:color w:val="2E5496"/>
      </w:rPr>
    </w:lvl>
  </w:abstractNum>
  <w:abstractNum w:abstractNumId="3">
    <w:nsid w:val="59ADCABA"/>
    <w:multiLevelType w:val="multilevel"/>
    <w:tmpl w:val="59ADCABA"/>
    <w:lvl w:ilvl="0" w:tentative="0">
      <w:start w:val="1"/>
      <w:numFmt w:val="bullet"/>
      <w:lvlText w:val="•"/>
      <w:lvlJc w:val="left"/>
      <w:pPr>
        <w:ind w:left="420" w:hanging="220"/>
      </w:pPr>
      <w:rPr>
        <w:color w:val="2E5496"/>
      </w:rPr>
    </w:lvl>
    <w:lvl w:ilvl="1" w:tentative="0">
      <w:start w:val="1"/>
      <w:numFmt w:val="bullet"/>
      <w:lvlText w:val="–"/>
      <w:lvlJc w:val="left"/>
      <w:pPr>
        <w:ind w:left="780" w:hanging="220"/>
      </w:p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useFELayout/>
    <w:compatSetting w:name="compatibilityMode" w:uri="http://schemas.microsoft.com/office/word" w:val="15"/>
  </w:compat>
  <w:rsids>
    <w:rsidRoot w:val="00000000"/>
    <w:rsid w:val="13145418"/>
    <w:rsid w:val="66497C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1"/>
      <w:szCs w:val="21"/>
    </w:rPr>
  </w:style>
  <w:style w:type="paragraph" w:styleId="2">
    <w:name w:val="heading 1"/>
    <w:next w:val="1"/>
    <w:qFormat/>
    <w:uiPriority w:val="0"/>
    <w:rPr>
      <w:rFonts w:ascii="Arial" w:hAnsi="Arial" w:eastAsia="Arial" w:cs="Arial"/>
      <w:b/>
      <w:bCs/>
      <w:color w:val="1F3864"/>
      <w:sz w:val="30"/>
      <w:szCs w:val="30"/>
    </w:rPr>
  </w:style>
  <w:style w:type="paragraph" w:styleId="3">
    <w:name w:val="heading 2"/>
    <w:next w:val="1"/>
    <w:qFormat/>
    <w:uiPriority w:val="0"/>
    <w:rPr>
      <w:rFonts w:ascii="Arial" w:hAnsi="Arial" w:eastAsia="Arial" w:cs="Arial"/>
      <w:b/>
      <w:bCs/>
      <w:color w:val="2E5496"/>
      <w:sz w:val="25"/>
      <w:szCs w:val="25"/>
    </w:rPr>
  </w:style>
  <w:style w:type="paragraph" w:styleId="4">
    <w:name w:val="heading 3"/>
    <w:next w:val="1"/>
    <w:qFormat/>
    <w:uiPriority w:val="0"/>
    <w:rPr>
      <w:rFonts w:ascii="Arial" w:hAnsi="Arial" w:eastAsia="Arial" w:cs="Arial"/>
      <w:b/>
      <w:bCs/>
      <w:color w:val="404040"/>
      <w:sz w:val="22"/>
      <w:szCs w:val="22"/>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1177</Words>
  <Characters>1491</Characters>
  <TotalTime>0</TotalTime>
  <ScaleCrop>false</ScaleCrop>
  <LinksUpToDate>false</LinksUpToDate>
  <CharactersWithSpaces>1571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2026-07-27T06:41:00Z</dcterms:created>
  <dc:creator>Strategy Research</dc:creator>
  <cp:lastModifiedBy>孤独不苦1416034621</cp:lastModifiedBy>
  <dcterms:modified xsi:type="dcterms:W3CDTF">2026-07-27T07:17:31Z</dcterms:modified>
  <dc:title>墨西哥跨境企业服务行业研究报告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2052-12.1.0.26895</vt:lpwstr>
  </property>
  <property fmtid="{D5CDD505-2E9C-101B-9397-08002B2CF9AE}" pid="4" name="ICV">
    <vt:lpwstr>71621792A1FF408B8B4D60872E10EBEE_13</vt:lpwstr>
  </property>
</Properties>
</file>