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7FC8C">
      <w:pPr>
        <w:spacing w:before="1500"/>
      </w:pPr>
      <w:bookmarkStart w:id="0" w:name="_GoBack"/>
      <w:bookmarkEnd w:id="0"/>
    </w:p>
    <w:p w14:paraId="46FF0B7C">
      <w:pPr>
        <w:spacing w:after="60"/>
        <w:jc w:val="center"/>
      </w:pPr>
      <w:r>
        <w:rPr>
          <w:rFonts w:ascii="Arial" w:hAnsi="Arial" w:eastAsia="Arial" w:cs="Arial"/>
          <w:b/>
          <w:bCs/>
          <w:color w:val="2E5496"/>
          <w:sz w:val="26"/>
          <w:szCs w:val="26"/>
        </w:rPr>
        <w:t>第二阶段 · 产品需求文档</w:t>
      </w:r>
    </w:p>
    <w:p w14:paraId="7FA4F323">
      <w:pPr>
        <w:spacing w:after="12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天机OS · 墨西哥合规智能模块</w:t>
      </w:r>
    </w:p>
    <w:p w14:paraId="736A7000">
      <w:pPr>
        <w:spacing w:after="30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产品需求文档 PRD</w:t>
      </w:r>
    </w:p>
    <w:p w14:paraId="2B3C9529">
      <w:pPr>
        <w:spacing w:after="300"/>
        <w:jc w:val="center"/>
      </w:pPr>
      <w:r>
        <w:rPr>
          <w:rFonts w:ascii="Arial" w:hAnsi="Arial" w:eastAsia="Arial" w:cs="Arial"/>
          <w:i/>
          <w:iCs/>
          <w:color w:val="595959"/>
          <w:sz w:val="17"/>
          <w:szCs w:val="17"/>
        </w:rPr>
        <w:t>Tianji OS — Mexico Compliance Intelligence Modules · Product Requirements Document</w:t>
      </w:r>
    </w:p>
    <w:p w14:paraId="2F0F0968">
      <w:pPr>
        <w:jc w:val="center"/>
      </w:pPr>
      <w:r>
        <w:rPr>
          <w:rFonts w:ascii="Arial" w:hAnsi="Arial" w:eastAsia="Arial" w:cs="Arial"/>
          <w:color w:val="595959"/>
          <w:sz w:val="18"/>
          <w:szCs w:val="18"/>
        </w:rPr>
        <w:t>v0.1　2026年7月 · 机密 · 内部产品文件</w:t>
      </w:r>
    </w:p>
    <w:p w14:paraId="06C9A7B8">
      <w:r>
        <w:br w:type="page"/>
      </w:r>
    </w:p>
    <w:p w14:paraId="7A5543B4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一、产品概述</w:t>
      </w:r>
    </w:p>
    <w:p w14:paraId="09C0560C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1.1　背景与定位</w:t>
      </w:r>
    </w:p>
    <w:p w14:paraId="11B6BA3A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墨西哥跨境合规的成本主要压在‘重复性专业工时’上：预扣计算、发票核验、申报数据整理、政策解读、客户答疑。这些任务规则明确、高频重复、文本密集——正是AI最擅长的类型。天机OS的墨西哥合规模块，目标是把这些工时变成算力，形成竞品无法在短期复制的‘税务专业 × 运营know-how × 全栈AI’三角壁垒。</w:t>
      </w:r>
    </w:p>
    <w:tbl>
      <w:tblPr>
        <w:tblStyle w:val="11"/>
        <w:tblW w:w="5000" w:type="pct"/>
        <w:tblInd w:w="0" w:type="dxa"/>
        <w:tblBorders>
          <w:top w:val="single" w:color="FFF2CC" w:sz="2" w:space="0"/>
          <w:left w:val="single" w:color="C00000" w:sz="30" w:space="0"/>
          <w:bottom w:val="single" w:color="FFF2CC" w:sz="2" w:space="0"/>
          <w:right w:val="single" w:color="FFF2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5AC19131">
        <w:tblPrEx>
          <w:tblBorders>
            <w:top w:val="single" w:color="FFF2CC" w:sz="2" w:space="0"/>
            <w:left w:val="single" w:color="C00000" w:sz="30" w:space="0"/>
            <w:bottom w:val="single" w:color="FFF2CC" w:sz="2" w:space="0"/>
            <w:right w:val="single" w:color="FFF2CC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C3FA36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一句话产品定位</w:t>
            </w:r>
          </w:p>
          <w:p w14:paraId="29453EC6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面向中国跨境卖家的‘墨西哥合规智能副驾’：把预扣测算、政策监控、CFDI核验、申报整理、合规健康分做成自助工具与内部提效引擎——对内降本、对外获客、长期成为SaaS订阅收入。</w:t>
            </w:r>
          </w:p>
        </w:tc>
      </w:tr>
    </w:tbl>
    <w:p w14:paraId="692DE2AE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1.2　三重战略价值</w:t>
      </w:r>
    </w:p>
    <w:p w14:paraId="3F4D09C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对内提效（毛利）：</w:t>
      </w:r>
      <w:r>
        <w:rPr>
          <w:rFonts w:ascii="Arial" w:hAnsi="Arial" w:eastAsia="Arial" w:cs="Arial"/>
          <w:sz w:val="21"/>
          <w:szCs w:val="21"/>
        </w:rPr>
        <w:t>把交付团队的重复工时自动化，降低单客交付成本，直接改善财务模型里的‘交付成本/活跃客户’。</w:t>
      </w:r>
    </w:p>
    <w:p w14:paraId="06AA79A9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对外获客（钩子）：</w:t>
      </w:r>
      <w:r>
        <w:rPr>
          <w:rFonts w:ascii="Arial" w:hAnsi="Arial" w:eastAsia="Arial" w:cs="Arial"/>
          <w:sz w:val="21"/>
          <w:szCs w:val="21"/>
        </w:rPr>
        <w:t>免费的‘预扣测算器/合规健康分’作为流量入口与线索沉淀，呼应GTM的内容+工具获客。</w:t>
      </w:r>
    </w:p>
    <w:p w14:paraId="3012ECC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长期壁垒（估值）：</w:t>
      </w:r>
      <w:r>
        <w:rPr>
          <w:rFonts w:ascii="Arial" w:hAnsi="Arial" w:eastAsia="Arial" w:cs="Arial"/>
          <w:sz w:val="21"/>
          <w:szCs w:val="21"/>
        </w:rPr>
        <w:t>模块产品化后可独立成SaaS订阅（财务模型第⑤条收入线），极高毛利、可规模化、有估值想象空间。</w:t>
      </w:r>
    </w:p>
    <w:p w14:paraId="3D0B5363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1.3　目标用户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5"/>
        <w:gridCol w:w="3919"/>
        <w:gridCol w:w="3724"/>
      </w:tblGrid>
      <w:tr w14:paraId="32C642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59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902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用户角色</w:t>
            </w:r>
          </w:p>
        </w:tc>
        <w:tc>
          <w:tcPr>
            <w:tcW w:w="374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62A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3557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94A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核心诉求</w:t>
            </w:r>
          </w:p>
        </w:tc>
      </w:tr>
      <w:tr w14:paraId="643B45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43F5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跨境卖家（自助）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AF5F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算清预扣、判断该选哪种税号、看政策</w:t>
            </w:r>
          </w:p>
        </w:tc>
        <w:tc>
          <w:tcPr>
            <w:tcW w:w="355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5793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简单、准确、中文、免费入口</w:t>
            </w:r>
          </w:p>
        </w:tc>
      </w:tr>
      <w:tr w14:paraId="7171C7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B310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公司交付/顾问团队</w:t>
            </w:r>
          </w:p>
        </w:tc>
        <w:tc>
          <w:tcPr>
            <w:tcW w:w="374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DEEC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为客户做测算、申报整理、健康巡检</w:t>
            </w:r>
          </w:p>
        </w:tc>
        <w:tc>
          <w:tcPr>
            <w:tcW w:w="355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1237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效率、准确、可追溯、减少人工错</w:t>
            </w:r>
          </w:p>
        </w:tc>
      </w:tr>
      <w:tr w14:paraId="0BF301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41F2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外部SaaS订阅者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3A1F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长期使用测算/监控/提醒</w:t>
            </w:r>
          </w:p>
        </w:tc>
        <w:tc>
          <w:tcPr>
            <w:tcW w:w="355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7E2C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稳定、可靠、可集成</w:t>
            </w:r>
          </w:p>
        </w:tc>
      </w:tr>
    </w:tbl>
    <w:p w14:paraId="5F44453E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二、功能模块（对应报告第八章六场景）</w:t>
      </w:r>
    </w:p>
    <w:p w14:paraId="57AEF619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六个模块按‘见效速度 + 壁垒高度’排优先级：先做①②快速见效并获客，再向⑤⑥壁垒型能力演进。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1764"/>
        <w:gridCol w:w="1764"/>
        <w:gridCol w:w="1568"/>
        <w:gridCol w:w="2939"/>
      </w:tblGrid>
      <w:tr w14:paraId="62BA86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793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EE3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对应场景</w:t>
            </w:r>
          </w:p>
        </w:tc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D2D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AI能力</w:t>
            </w:r>
          </w:p>
        </w:tc>
        <w:tc>
          <w:tcPr>
            <w:tcW w:w="149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4F7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80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739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价值</w:t>
            </w:r>
          </w:p>
        </w:tc>
      </w:tr>
      <w:tr w14:paraId="3F266C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5ED5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① 预扣税测算器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67E4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预扣计算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E768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规则引擎+计算</w:t>
            </w:r>
          </w:p>
        </w:tc>
        <w:tc>
          <w:tcPr>
            <w:tcW w:w="1498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6DC8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P0 MVP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1744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获客钩子+对内提效</w:t>
            </w:r>
          </w:p>
        </w:tc>
      </w:tr>
      <w:tr w14:paraId="360495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07E5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② 政策雷达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F461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政策监控摘要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00D5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LLM检索+摘要</w:t>
            </w:r>
          </w:p>
        </w:tc>
        <w:tc>
          <w:tcPr>
            <w:tcW w:w="1498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20FC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P0 MVP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F899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预警+专业形象</w:t>
            </w:r>
          </w:p>
        </w:tc>
      </w:tr>
      <w:tr w14:paraId="054701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E166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③ 申报提醒/日历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1996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申报数据整理(前置)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C552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日历+规则提醒</w:t>
            </w:r>
          </w:p>
        </w:tc>
        <w:tc>
          <w:tcPr>
            <w:tcW w:w="1498" w:type="dxa"/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4084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P1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C9AA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黏性+降漏报</w:t>
            </w:r>
          </w:p>
        </w:tc>
      </w:tr>
      <w:tr w14:paraId="353BF7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097B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④ CFDI 核验助手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68F6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发票核验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7041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文档抽取+校验</w:t>
            </w:r>
          </w:p>
        </w:tc>
        <w:tc>
          <w:tcPr>
            <w:tcW w:w="1498" w:type="dxa"/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58E1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P1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EA93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降开票失败率</w:t>
            </w:r>
          </w:p>
        </w:tc>
      </w:tr>
      <w:tr w14:paraId="4EB9CF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8703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⑤ 智能答疑 Agent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650A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智能客服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58B4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RAG问答</w:t>
            </w:r>
          </w:p>
        </w:tc>
        <w:tc>
          <w:tcPr>
            <w:tcW w:w="1498" w:type="dxa"/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1111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P2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595F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7×24降客服成本</w:t>
            </w:r>
          </w:p>
        </w:tc>
      </w:tr>
      <w:tr w14:paraId="01CB8B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E4A0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⑥ 合规健康分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8DC0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健康分/预测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0577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评分+预测模型</w:t>
            </w:r>
          </w:p>
        </w:tc>
        <w:tc>
          <w:tcPr>
            <w:tcW w:w="1498" w:type="dxa"/>
            <w:shd w:val="clear" w:color="auto" w:fill="FFC7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1F63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P2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7B0E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主动风控+高壁垒</w:t>
            </w:r>
          </w:p>
        </w:tc>
      </w:tr>
    </w:tbl>
    <w:p w14:paraId="49A01FC5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2-1：模块优先级。P0=MVP首发，P1=第二批，P2=壁垒型能力。</w:t>
      </w:r>
    </w:p>
    <w:p w14:paraId="3A068719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三、模块详细需求</w:t>
      </w:r>
    </w:p>
    <w:p w14:paraId="4BA6F3F2">
      <w:pPr>
        <w:spacing w:before="200" w:after="80"/>
      </w:pPr>
      <w:r>
        <w:rPr>
          <w:rFonts w:ascii="Arial" w:hAnsi="Arial" w:eastAsia="Arial" w:cs="Arial"/>
          <w:b/>
          <w:bCs/>
          <w:color w:val="2E5496"/>
          <w:sz w:val="24"/>
          <w:szCs w:val="24"/>
        </w:rPr>
        <w:t>模块① 预扣税测算器 Withholding Calculator（P0）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4"/>
        <w:gridCol w:w="8034"/>
      </w:tblGrid>
      <w:tr w14:paraId="73B911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A6F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项</w:t>
            </w:r>
          </w:p>
        </w:tc>
        <w:tc>
          <w:tcPr>
            <w:tcW w:w="76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FD2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292D69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3269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用户故事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9D3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作为卖家，我输入客单价/月销量/主体类型/收款账户地，就能立刻算清我被预扣多少、以及月度还要补缴多少，并知道换成本土RFC+本地账户能省多少。</w:t>
            </w:r>
          </w:p>
        </w:tc>
      </w:tr>
      <w:tr w14:paraId="0210A1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94C2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核心功能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BBD7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① 三变量档位判定（有无RFC/是否本土/账户在不在境内）→ 10.5/16/18.5/36；② 两步计算：含税价÷1.16倒推不含税→按档预扣→拆分IVA/ISR；③ 差额补缴估算；④ 方案对比（当前 vs 建议路径的省钱额）。</w:t>
            </w:r>
          </w:p>
        </w:tc>
      </w:tr>
      <w:tr w14:paraId="0EA484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B7F7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输入 / 输出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B3E9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输入：含税单价、预计月销量、主体类型、账户地、品类税率(默认16%)。输出：预扣额/率、IVA与ISR拆分、月度补缴估算、方案对比表、‘立即咨询’CTA。</w:t>
            </w:r>
          </w:p>
        </w:tc>
      </w:tr>
      <w:tr w14:paraId="5974BE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C1EF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规则 / 数据依赖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1F2B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预扣规则表（可配置，随SAT政策更新）、IVA标准/边境税率、ISR预扣率、平台差异参数。</w:t>
            </w:r>
          </w:p>
        </w:tc>
      </w:tr>
      <w:tr w14:paraId="5BB1A1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7323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技术要点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C38F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纯前端规则引擎即可实现MVP（呼应报告：低难度）；规则参数集中配置，便于政策变动热更新；结果可导出/分享做获客。</w:t>
            </w:r>
          </w:p>
        </w:tc>
      </w:tr>
      <w:tr w14:paraId="370386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64B6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验收标准</w:t>
            </w:r>
          </w:p>
        </w:tc>
        <w:tc>
          <w:tcPr>
            <w:tcW w:w="7675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B87A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给定标准案例，计算结果与人工核算一致；政策参数改动后结果自动更新；移动端可用；有免费额度+留资转化。</w:t>
            </w:r>
          </w:p>
        </w:tc>
      </w:tr>
      <w:tr w14:paraId="1AA9A3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130C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风险 / 边界</w:t>
            </w:r>
          </w:p>
        </w:tc>
        <w:tc>
          <w:tcPr>
            <w:tcW w:w="7675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DFCA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税务免责声明必显；结果标注‘估算，非最终税负，需申报核实’；不替代持牌会计师。</w:t>
            </w:r>
          </w:p>
        </w:tc>
      </w:tr>
    </w:tbl>
    <w:p w14:paraId="49358191">
      <w:pPr>
        <w:spacing w:before="200" w:after="80"/>
      </w:pPr>
      <w:r>
        <w:rPr>
          <w:rFonts w:ascii="Arial" w:hAnsi="Arial" w:eastAsia="Arial" w:cs="Arial"/>
          <w:b/>
          <w:bCs/>
          <w:color w:val="2E5496"/>
          <w:sz w:val="24"/>
          <w:szCs w:val="24"/>
        </w:rPr>
        <w:t>模块② 政策雷达 Policy Radar（P0）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4"/>
        <w:gridCol w:w="8034"/>
      </w:tblGrid>
      <w:tr w14:paraId="565007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539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项</w:t>
            </w:r>
          </w:p>
        </w:tc>
        <w:tc>
          <w:tcPr>
            <w:tcW w:w="76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D58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118862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0511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用户故事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3451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作为顾问/卖家，我希望SAT与各平台的新规一出，就收到中文摘要与影响提示，不用自己盯西语公告。</w:t>
            </w:r>
          </w:p>
        </w:tc>
      </w:tr>
      <w:tr w14:paraId="7C8C61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C97D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核心功能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2C06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① 来源监控（SAT、平台公告、权威税务源）；② LLM生成中文摘要+‘对谁有影响/建议动作’；③ 分级推送（重大/一般）；④ 归档形成政策时间线。</w:t>
            </w:r>
          </w:p>
        </w:tc>
      </w:tr>
      <w:tr w14:paraId="11873A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2D40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输入 / 输出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A0F2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输入：监控源列表、关键词。输出：中文摘要卡片（原文链接+影响+建议）、推送、政策时间线。</w:t>
            </w:r>
          </w:p>
        </w:tc>
      </w:tr>
      <w:tr w14:paraId="4BFB9C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96B8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规则 / 数据依赖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3737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可信来源白名单（SAT官网、四大/合规厂商、平台公告）；RAG接真实来源、可溯源。</w:t>
            </w:r>
          </w:p>
        </w:tc>
      </w:tr>
      <w:tr w14:paraId="3C5C11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25B1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技术要点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71B3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检索+LLM摘要管道；必须可溯源、防幻觉（政策类不得编造条款）；人工审核开关（重大政策发布前顾问复核）。</w:t>
            </w:r>
          </w:p>
        </w:tc>
      </w:tr>
      <w:tr w14:paraId="3FD021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84AF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验收标准</w:t>
            </w:r>
          </w:p>
        </w:tc>
        <w:tc>
          <w:tcPr>
            <w:tcW w:w="7675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7995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重大新规48小时内产出摘要；摘要附可点击原文；抽检准确率达标；误报率受控。</w:t>
            </w:r>
          </w:p>
        </w:tc>
      </w:tr>
      <w:tr w14:paraId="30C831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F479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风险 / 边界</w:t>
            </w:r>
          </w:p>
        </w:tc>
        <w:tc>
          <w:tcPr>
            <w:tcW w:w="7675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22A1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政策解读错误风险高——必须标注来源、保留人工复核、免责声明；不得断言未证实条款。</w:t>
            </w:r>
          </w:p>
        </w:tc>
      </w:tr>
    </w:tbl>
    <w:p w14:paraId="14D5EF50">
      <w:pPr>
        <w:spacing w:before="200" w:after="80"/>
      </w:pPr>
      <w:r>
        <w:rPr>
          <w:rFonts w:ascii="Arial" w:hAnsi="Arial" w:eastAsia="Arial" w:cs="Arial"/>
          <w:b/>
          <w:bCs/>
          <w:color w:val="2E5496"/>
          <w:sz w:val="24"/>
          <w:szCs w:val="24"/>
        </w:rPr>
        <w:t>模块③ 申报提醒与合规日历 Filing Calendar（P1）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4"/>
        <w:gridCol w:w="8034"/>
      </w:tblGrid>
      <w:tr w14:paraId="055D24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BB1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项</w:t>
            </w:r>
          </w:p>
        </w:tc>
        <w:tc>
          <w:tcPr>
            <w:tcW w:w="76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EC9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76E161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93E0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用户故事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4EE9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作为交付团队，我希望每个客户的月度/年度申报、CFDI取消窗口、验证复查都能自动提醒，避免漏报导致CSD吊销。</w:t>
            </w:r>
          </w:p>
        </w:tc>
      </w:tr>
      <w:tr w14:paraId="736595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22B8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核心功能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2E02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① 按主体生成合规日历（月度约次月25日、年度、CFDI当年取消窗口、RFC验证复查）；② 到期提醒+负责人指派；③ 完成度看板。</w:t>
            </w:r>
          </w:p>
        </w:tc>
      </w:tr>
      <w:tr w14:paraId="7BB497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6371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输入 / 输出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A87B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输入：客户主体清单、申报周期。输出：日历、提醒、完成度看板、逾期预警。</w:t>
            </w:r>
          </w:p>
        </w:tc>
      </w:tr>
      <w:tr w14:paraId="3FB4F8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33E3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规则 / 数据依赖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A2AF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申报周期规则、各客户主体档案、任务状态。</w:t>
            </w:r>
          </w:p>
        </w:tc>
      </w:tr>
      <w:tr w14:paraId="68A539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1009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技术要点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2856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日历+任务引擎；与客户主体档案打通；可与外部日历/IM集成。</w:t>
            </w:r>
          </w:p>
        </w:tc>
      </w:tr>
      <w:tr w14:paraId="7B8624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0EEF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验收标准</w:t>
            </w:r>
          </w:p>
        </w:tc>
        <w:tc>
          <w:tcPr>
            <w:tcW w:w="7675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AFAA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关键截止日不漏提醒；逾期即时预警；看板反映真实完成度。</w:t>
            </w:r>
          </w:p>
        </w:tc>
      </w:tr>
      <w:tr w14:paraId="15EE83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5D43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风险 / 边界</w:t>
            </w:r>
          </w:p>
        </w:tc>
        <w:tc>
          <w:tcPr>
            <w:tcW w:w="7675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ABF7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提醒≠代办；仍需人工执行申报；数据准确性依赖主体档案维护。</w:t>
            </w:r>
          </w:p>
        </w:tc>
      </w:tr>
    </w:tbl>
    <w:p w14:paraId="568D89F1">
      <w:pPr>
        <w:spacing w:before="200" w:after="80"/>
      </w:pPr>
      <w:r>
        <w:rPr>
          <w:rFonts w:ascii="Arial" w:hAnsi="Arial" w:eastAsia="Arial" w:cs="Arial"/>
          <w:b/>
          <w:bCs/>
          <w:color w:val="2E5496"/>
          <w:sz w:val="24"/>
          <w:szCs w:val="24"/>
        </w:rPr>
        <w:t>模块④ CFDI 核验助手 CFDI Validator（P1）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4"/>
        <w:gridCol w:w="8034"/>
      </w:tblGrid>
      <w:tr w14:paraId="33EC37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9DB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项</w:t>
            </w:r>
          </w:p>
        </w:tc>
        <w:tc>
          <w:tcPr>
            <w:tcW w:w="76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E0E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080BC9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05BF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用户故事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356B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作为交付团队，我希望开票前能预校验收件方RFC/名称/税制/用途与SAT是否一致，降低timbrar失败与作废返工。</w:t>
            </w:r>
          </w:p>
        </w:tc>
      </w:tr>
      <w:tr w14:paraId="5EEE13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9E33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核心功能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90DA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① 抽取发票要素；② 校验RFC/名称/Régimen/Uso一致性；③ 缺失complemento（如Carta Porte）提示；④ 批量校验。</w:t>
            </w:r>
          </w:p>
        </w:tc>
      </w:tr>
      <w:tr w14:paraId="4EECF5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9AB6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输入 / 输出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D87E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输入：发票草稿/CSV/客户税务信息。输出：校验报告（通过/问题项+修正建议）。</w:t>
            </w:r>
          </w:p>
        </w:tc>
      </w:tr>
      <w:tr w14:paraId="5C45B9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2162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规则 / 数据依赖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B4C1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RFC验证API（如Signzy/TaxDo）、SAT catálogos、complemento规则。</w:t>
            </w:r>
          </w:p>
        </w:tc>
      </w:tr>
      <w:tr w14:paraId="5304D8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486B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技术要点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9180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文档抽取+规则校验+验证API；对接PAC前置；批量处理。</w:t>
            </w:r>
          </w:p>
        </w:tc>
      </w:tr>
      <w:tr w14:paraId="6CDC2B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C673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验收标准</w:t>
            </w:r>
          </w:p>
        </w:tc>
        <w:tc>
          <w:tcPr>
            <w:tcW w:w="7675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203C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常见错误（RFC不符/税制错误/缺complemento）能被拦截；批量校验稳定。</w:t>
            </w:r>
          </w:p>
        </w:tc>
      </w:tr>
      <w:tr w14:paraId="4C4512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0E5D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风险 / 边界</w:t>
            </w:r>
          </w:p>
        </w:tc>
        <w:tc>
          <w:tcPr>
            <w:tcW w:w="7675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4359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以SAT实时数据为准；API配额与稳定性；不保证100%覆盖SAT所有校验。</w:t>
            </w:r>
          </w:p>
        </w:tc>
      </w:tr>
    </w:tbl>
    <w:p w14:paraId="4B5FD073">
      <w:pPr>
        <w:spacing w:before="200" w:after="80"/>
      </w:pPr>
      <w:r>
        <w:rPr>
          <w:rFonts w:ascii="Arial" w:hAnsi="Arial" w:eastAsia="Arial" w:cs="Arial"/>
          <w:b/>
          <w:bCs/>
          <w:color w:val="2E5496"/>
          <w:sz w:val="24"/>
          <w:szCs w:val="24"/>
        </w:rPr>
        <w:t>模块⑤ 智能答疑 Agent Compliance Copilot（P2）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4"/>
        <w:gridCol w:w="8034"/>
      </w:tblGrid>
      <w:tr w14:paraId="7BF207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34B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项</w:t>
            </w:r>
          </w:p>
        </w:tc>
        <w:tc>
          <w:tcPr>
            <w:tcW w:w="76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86E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2A32E1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5443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用户故事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0C1B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作为卖家，我半夜有RFC/申报/开票问题，希望AI用中文基于真实规则即时回答，复杂问题再转人工。</w:t>
            </w:r>
          </w:p>
        </w:tc>
      </w:tr>
      <w:tr w14:paraId="4708AB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C79E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核心功能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A915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① RAG问答（接政策库+SOP库）；② 溯源引用；③ 置信度低/涉具体税务结论时转人工；④ 沉淀高频问题。</w:t>
            </w:r>
          </w:p>
        </w:tc>
      </w:tr>
      <w:tr w14:paraId="12D698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0EE1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输入 / 输出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9A44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输入：自然语言问题。输出：带来源的中文回答、置信度、转人工入口。</w:t>
            </w:r>
          </w:p>
        </w:tc>
      </w:tr>
      <w:tr w14:paraId="597B76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B5B7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规则 / 数据依赖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9211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政策库、SOP库、FAQ；与②政策雷达共享知识库。</w:t>
            </w:r>
          </w:p>
        </w:tc>
      </w:tr>
      <w:tr w14:paraId="648F47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6251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技术要点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5863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RAG+护栏；政策/税务结论必须溯源、标注置信度；低置信转人工。</w:t>
            </w:r>
          </w:p>
        </w:tc>
      </w:tr>
      <w:tr w14:paraId="65401C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E434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验收标准</w:t>
            </w:r>
          </w:p>
        </w:tc>
        <w:tc>
          <w:tcPr>
            <w:tcW w:w="7675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A839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高频问题准确可溯源；不编造；顺畅转人工；降低重复客服量。</w:t>
            </w:r>
          </w:p>
        </w:tc>
      </w:tr>
      <w:tr w14:paraId="34FD87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2C74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风险 / 边界</w:t>
            </w:r>
          </w:p>
        </w:tc>
        <w:tc>
          <w:tcPr>
            <w:tcW w:w="7675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BC46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幻觉与错误税务意见风险——AI做助手不做裁决，关键结论人工复核。</w:t>
            </w:r>
          </w:p>
        </w:tc>
      </w:tr>
    </w:tbl>
    <w:p w14:paraId="099C7465">
      <w:pPr>
        <w:spacing w:before="200" w:after="80"/>
      </w:pPr>
      <w:r>
        <w:rPr>
          <w:rFonts w:ascii="Arial" w:hAnsi="Arial" w:eastAsia="Arial" w:cs="Arial"/>
          <w:b/>
          <w:bCs/>
          <w:color w:val="2E5496"/>
          <w:sz w:val="24"/>
          <w:szCs w:val="24"/>
        </w:rPr>
        <w:t>模块⑥ 合规健康分 Compliance Health Score（P2·壁垒）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4"/>
        <w:gridCol w:w="8034"/>
      </w:tblGrid>
      <w:tr w14:paraId="3E9A09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071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项</w:t>
            </w:r>
          </w:p>
        </w:tc>
        <w:tc>
          <w:tcPr>
            <w:tcW w:w="76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C52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078D0E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E3F8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用户故事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3291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作为顾问，我希望系统给每个客户打‘合规健康分’，提前预警验证/稽查/跳档风险，主动干预。</w:t>
            </w:r>
          </w:p>
        </w:tc>
      </w:tr>
      <w:tr w14:paraId="77154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FE1E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核心功能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00D6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① 多因子评分（主体一致性、账户合规、申报及时率、CFDI异常、预扣档位）；② 风险预测与预警；③ 改进建议清单。</w:t>
            </w:r>
          </w:p>
        </w:tc>
      </w:tr>
      <w:tr w14:paraId="5C8876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C88B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输入 / 输出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F2E5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输入：客户合规数据（主体、申报、发票、预扣）。输出：健康分、风险预警、改进建议。</w:t>
            </w:r>
          </w:p>
        </w:tc>
      </w:tr>
      <w:tr w14:paraId="07C499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7511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规则 / 数据依赖</w:t>
            </w:r>
          </w:p>
        </w:tc>
        <w:tc>
          <w:tcPr>
            <w:tcW w:w="767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89C6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客户全量合规数据（跨模块聚合）、历史风险样本。</w:t>
            </w:r>
          </w:p>
        </w:tc>
      </w:tr>
      <w:tr w14:paraId="0CD3CE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4F84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技术要点</w:t>
            </w:r>
          </w:p>
        </w:tc>
        <w:tc>
          <w:tcPr>
            <w:tcW w:w="7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5A21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评分模型（起步用规则权重，积累数据后上模型）；跨模块数据聚合；是最高壁垒模块。</w:t>
            </w:r>
          </w:p>
        </w:tc>
      </w:tr>
      <w:tr w14:paraId="6704D3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920F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验收标准</w:t>
            </w:r>
          </w:p>
        </w:tc>
        <w:tc>
          <w:tcPr>
            <w:tcW w:w="7675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70DC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健康分与真实风险相关；高风险客户能被提前识别；建议可执行。</w:t>
            </w:r>
          </w:p>
        </w:tc>
      </w:tr>
      <w:tr w14:paraId="5CEF18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607A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风险 / 边界</w:t>
            </w:r>
          </w:p>
        </w:tc>
        <w:tc>
          <w:tcPr>
            <w:tcW w:w="7675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9EF3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预测非保证；需持续用真实结果校准；数据质量是前提。</w:t>
            </w:r>
          </w:p>
        </w:tc>
      </w:tr>
    </w:tbl>
    <w:p w14:paraId="523B32E4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四、技术架构与数据合规</w:t>
      </w:r>
    </w:p>
    <w:p w14:paraId="64A2FF91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4.1　架构原则</w:t>
      </w:r>
    </w:p>
    <w:p w14:paraId="03AA2BF8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规则与数据分离：预扣/申报/税率等规则集中可配置，政策变动热更新，不改代码。</w:t>
      </w:r>
    </w:p>
    <w:p w14:paraId="54456C21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可溯源优先：所有政策/税务类AI输出必须接真实来源、标注置信度，防幻觉。</w:t>
      </w:r>
    </w:p>
    <w:p w14:paraId="1C219DC5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人在环中：AI做助手不做最终裁决，关键税务/法律结论由持牌专业人士复核。</w:t>
      </w:r>
    </w:p>
    <w:p w14:paraId="50025487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模块解耦、数据聚合：六模块可独立上线，又共享客户主体档案与政策知识库，为⑥健康分聚合数据。</w:t>
      </w:r>
    </w:p>
    <w:p w14:paraId="44922E0D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4.2　与天机OS/智能体平台的结合</w:t>
      </w:r>
    </w:p>
    <w:p w14:paraId="080CF053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上述模块沉淀为天机智能决策OS的可复用能力（预扣模拟器、政策雷达、申报提醒、合规健康分），并可由智能体平台编排成端到端工作流（如‘新客入驻→测算→建主体→配日历→上线巡检’）。这把你的个人能力放大成公司级、可复制、可售卖的产品资产。</w:t>
      </w:r>
    </w:p>
    <w:p w14:paraId="7232B1DD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4.3　数据合规</w:t>
      </w:r>
    </w:p>
    <w:p w14:paraId="10543D59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客户税务数据敏感：符合墨西哥/中国数据与隐私要求，做隔离与最小化收集。</w:t>
      </w:r>
    </w:p>
    <w:p w14:paraId="13FCCC15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留痕与审计：关键操作留痕，支撑SAT防御性文档与内部质控。</w:t>
      </w:r>
    </w:p>
    <w:tbl>
      <w:tblPr>
        <w:tblStyle w:val="11"/>
        <w:tblW w:w="5000" w:type="pct"/>
        <w:tblInd w:w="0" w:type="dxa"/>
        <w:tblBorders>
          <w:top w:val="single" w:color="FFF2CC" w:sz="2" w:space="0"/>
          <w:left w:val="single" w:color="C00000" w:sz="30" w:space="0"/>
          <w:bottom w:val="single" w:color="FFF2CC" w:sz="2" w:space="0"/>
          <w:right w:val="single" w:color="FFF2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37F4C330">
        <w:tblPrEx>
          <w:tblBorders>
            <w:top w:val="single" w:color="FFF2CC" w:sz="2" w:space="0"/>
            <w:left w:val="single" w:color="C00000" w:sz="30" w:space="0"/>
            <w:bottom w:val="single" w:color="FFF2CC" w:sz="2" w:space="0"/>
            <w:right w:val="single" w:color="FFF2CC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4D5770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护城河逻辑</w:t>
            </w:r>
          </w:p>
          <w:p w14:paraId="6B334A55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竞品要么懂税务不懂技术，要么懂物流/支付不懂财税产品化。‘税务专业 × 运营know-how × 全栈AI’的交汇处无人占据——PRD的意义就是把这个交汇处一步步变成可运行、可售卖的产品。</w:t>
            </w:r>
          </w:p>
        </w:tc>
      </w:tr>
    </w:tbl>
    <w:p w14:paraId="2A9BFC7A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五、产品路线图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6"/>
        <w:gridCol w:w="1371"/>
        <w:gridCol w:w="3920"/>
        <w:gridCol w:w="3331"/>
      </w:tblGrid>
      <w:tr w14:paraId="1282AC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23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8B5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131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082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时间(示意)</w:t>
            </w:r>
          </w:p>
        </w:tc>
        <w:tc>
          <w:tcPr>
            <w:tcW w:w="374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590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交付模块</w:t>
            </w:r>
          </w:p>
        </w:tc>
        <w:tc>
          <w:tcPr>
            <w:tcW w:w="3182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EFB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目标</w:t>
            </w:r>
          </w:p>
        </w:tc>
      </w:tr>
      <w:tr w14:paraId="7508D5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07BA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MVP</w:t>
            </w:r>
          </w:p>
        </w:tc>
        <w:tc>
          <w:tcPr>
            <w:tcW w:w="131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09D4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0–3月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EF41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① 预扣测算器　② 政策雷达</w:t>
            </w:r>
          </w:p>
        </w:tc>
        <w:tc>
          <w:tcPr>
            <w:tcW w:w="31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4CCF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上线获客工具、验证需求、沉淀线索</w:t>
            </w:r>
          </w:p>
        </w:tc>
      </w:tr>
      <w:tr w14:paraId="2E0F4B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121F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V1</w:t>
            </w:r>
          </w:p>
        </w:tc>
        <w:tc>
          <w:tcPr>
            <w:tcW w:w="131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E89C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3–9月</w:t>
            </w:r>
          </w:p>
        </w:tc>
        <w:tc>
          <w:tcPr>
            <w:tcW w:w="374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593D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③ 申报提醒　④ CFDI核验</w:t>
            </w:r>
          </w:p>
        </w:tc>
        <w:tc>
          <w:tcPr>
            <w:tcW w:w="318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F7B5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对内提效、降漏报/开票失败</w:t>
            </w:r>
          </w:p>
        </w:tc>
      </w:tr>
      <w:tr w14:paraId="7FCCB1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A9EA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V2</w:t>
            </w:r>
          </w:p>
        </w:tc>
        <w:tc>
          <w:tcPr>
            <w:tcW w:w="131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E1A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9–18月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47B1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⑤ 答疑Agent　⑥ 合规健康分</w:t>
            </w:r>
          </w:p>
        </w:tc>
        <w:tc>
          <w:tcPr>
            <w:tcW w:w="31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F3D5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降客服成本、主动风控、建壁垒</w:t>
            </w:r>
          </w:p>
        </w:tc>
      </w:tr>
      <w:tr w14:paraId="7D8F2A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8040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V3</w:t>
            </w:r>
          </w:p>
        </w:tc>
        <w:tc>
          <w:tcPr>
            <w:tcW w:w="131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3DA6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18月+</w:t>
            </w:r>
          </w:p>
        </w:tc>
        <w:tc>
          <w:tcPr>
            <w:tcW w:w="374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8F15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SaaS化对外 + 工作流编排</w:t>
            </w:r>
          </w:p>
        </w:tc>
        <w:tc>
          <w:tcPr>
            <w:tcW w:w="318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49BF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独立SaaS收入线、平台化</w:t>
            </w:r>
          </w:p>
        </w:tc>
      </w:tr>
    </w:tbl>
    <w:p w14:paraId="09A7633A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5-1：产品路线图，与商业计划四阶段对齐（打地基→建复利→扩闭环→做产品）。</w:t>
      </w:r>
    </w:p>
    <w:p w14:paraId="5CC5B1E9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5.1　北极星与度量</w:t>
      </w:r>
    </w:p>
    <w:p w14:paraId="7119CE7C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工具MAU与留资转化率（获客价值）</w:t>
      </w:r>
    </w:p>
    <w:p w14:paraId="37195671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单客交付工时下降幅度（对内提效，回写财务模型交付成本）</w:t>
      </w:r>
    </w:p>
    <w:p w14:paraId="287C5C2C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政策雷达覆盖率与摘要准确率（专业可信度）</w:t>
      </w:r>
    </w:p>
    <w:p w14:paraId="172E6578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SaaS订阅数与续费率（长期壁垒与收入）</w:t>
      </w:r>
    </w:p>
    <w:tbl>
      <w:tblPr>
        <w:tblStyle w:val="11"/>
        <w:tblW w:w="5000" w:type="pct"/>
        <w:tblInd w:w="0" w:type="dxa"/>
        <w:tblBorders>
          <w:top w:val="single" w:color="E2EFDA" w:sz="2" w:space="0"/>
          <w:left w:val="single" w:color="C6EFCE" w:sz="30" w:space="0"/>
          <w:bottom w:val="single" w:color="E2EFDA" w:sz="2" w:space="0"/>
          <w:right w:val="single" w:color="E2EFDA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64A1A537">
        <w:tblPrEx>
          <w:tblBorders>
            <w:top w:val="single" w:color="E2EFDA" w:sz="2" w:space="0"/>
            <w:left w:val="single" w:color="C6EFCE" w:sz="30" w:space="0"/>
            <w:bottom w:val="single" w:color="E2EFDA" w:sz="2" w:space="0"/>
            <w:right w:val="single" w:color="E2EFDA" w:sz="2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850925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PRD 总结</w:t>
            </w:r>
          </w:p>
          <w:p w14:paraId="206F472E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先用①②两个轻量模块把‘技术感知’的品牌与获客工具立起来，再用③④⑤⑥把专业工时转成算力、把服务转成产品。这份PRD是把你的技术优势，从‘一个人的能力’变成‘一家公司的护城河’的施工图。</w:t>
            </w:r>
          </w:p>
        </w:tc>
      </w:tr>
    </w:tbl>
    <w:p w14:paraId="4B0516DC"/>
    <w:sectPr>
      <w:headerReference r:id="rId3" w:type="default"/>
      <w:footerReference r:id="rId4" w:type="default"/>
      <w:pgSz w:w="11906" w:h="16838"/>
      <w:pgMar w:top="1200" w:right="1134" w:bottom="12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67140">
    <w:pPr>
      <w:pBdr>
        <w:top w:val="single" w:color="BFBFBF" w:sz="4" w:space="4"/>
      </w:pBdr>
      <w:jc w:val="center"/>
    </w:pPr>
    <w:r>
      <w:rPr>
        <w:rFonts w:ascii="Arial" w:hAnsi="Arial" w:eastAsia="Arial" w:cs="Arial"/>
        <w:color w:val="808080"/>
        <w:sz w:val="15"/>
        <w:szCs w:val="15"/>
      </w:rPr>
      <w:t xml:space="preserve">机密 CONFIDENTIAL   ·   第 </w:t>
    </w:r>
    <w:r>
      <w:rPr>
        <w:rFonts w:ascii="Arial" w:hAnsi="Arial" w:eastAsia="Arial" w:cs="Arial"/>
        <w:color w:val="808080"/>
        <w:sz w:val="15"/>
        <w:szCs w:val="15"/>
      </w:rPr>
      <w:fldChar w:fldCharType="begin"/>
    </w:r>
    <w:r>
      <w:rPr>
        <w:rFonts w:ascii="Arial" w:hAnsi="Arial" w:eastAsia="Arial" w:cs="Arial"/>
        <w:color w:val="808080"/>
        <w:sz w:val="15"/>
        <w:szCs w:val="15"/>
      </w:rPr>
      <w:instrText xml:space="preserve">PAGE</w:instrText>
    </w:r>
    <w:r>
      <w:rPr>
        <w:rFonts w:ascii="Arial" w:hAnsi="Arial" w:eastAsia="Arial" w:cs="Arial"/>
        <w:color w:val="808080"/>
        <w:sz w:val="15"/>
        <w:szCs w:val="15"/>
      </w:rPr>
      <w:fldChar w:fldCharType="separate"/>
    </w:r>
    <w:r>
      <w:rPr>
        <w:rFonts w:ascii="Arial" w:hAnsi="Arial" w:eastAsia="Arial" w:cs="Arial"/>
        <w:color w:val="808080"/>
        <w:sz w:val="15"/>
        <w:szCs w:val="15"/>
      </w:rPr>
      <w:fldChar w:fldCharType="end"/>
    </w:r>
    <w:r>
      <w:rPr>
        <w:rFonts w:ascii="Arial" w:hAnsi="Arial" w:eastAsia="Arial" w:cs="Arial"/>
        <w:color w:val="808080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161CA">
    <w:pPr>
      <w:pBdr>
        <w:bottom w:val="single" w:color="BFBFBF" w:sz="4" w:space="4"/>
      </w:pBdr>
      <w:jc w:val="right"/>
    </w:pPr>
    <w:r>
      <w:rPr>
        <w:rFonts w:ascii="Arial" w:hAnsi="Arial" w:eastAsia="Arial" w:cs="Arial"/>
        <w:color w:val="808080"/>
        <w:sz w:val="15"/>
        <w:szCs w:val="15"/>
      </w:rPr>
      <w:t>天机OS 墨西哥合规模块 PRD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260"/>
      </w:pPr>
      <w:rPr>
        <w:b/>
        <w:bCs/>
        <w:color w:val="2E5496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420" w:hanging="220"/>
      </w:pPr>
      <w:rPr>
        <w:color w:val="2E5496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86463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b/>
      <w:bCs/>
      <w:color w:val="2E5496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681</Words>
  <Characters>788</Characters>
  <TotalTime>0</TotalTime>
  <ScaleCrop>false</ScaleCrop>
  <LinksUpToDate>false</LinksUpToDate>
  <CharactersWithSpaces>819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2026-07-27T07:40:00Z</dcterms:created>
  <dc:creator>Strategy Research</dc:creator>
  <cp:lastModifiedBy>孤独不苦1416034621</cp:lastModifiedBy>
  <dcterms:modified xsi:type="dcterms:W3CDTF">2026-07-27T07:49:50Z</dcterms:modified>
  <dc:title>天机OS 墨西哥合规模块 PRD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06DE892D87324FD2AC53F1EB000A7C22_13</vt:lpwstr>
  </property>
</Properties>
</file>